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709"/>
        </w:tabs>
        <w:spacing w:line="276" w:lineRule="auto"/>
        <w:ind w:right="49"/>
        <w:jc w:val="center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РЕШЕНИЕ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leader="none" w:pos="709"/>
        </w:tabs>
        <w:spacing w:line="276" w:lineRule="auto"/>
        <w:ind w:right="49"/>
        <w:jc w:val="center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№ РН–266-24-26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left" w:leader="none" w:pos="709"/>
        </w:tabs>
        <w:spacing w:line="276" w:lineRule="auto"/>
        <w:ind w:right="49"/>
        <w:jc w:val="center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leader="none" w:pos="709"/>
        </w:tabs>
        <w:spacing w:line="276" w:lineRule="auto"/>
        <w:ind w:right="4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ab/>
        <w:t xml:space="preserve">Днес, 16.09.2024 г., Комисията за противодействие на корупцията /КПК, Комисията/, в състав:</w:t>
      </w:r>
    </w:p>
    <w:p w:rsidR="00000000" w:rsidDel="00000000" w:rsidP="00000000" w:rsidRDefault="00000000" w:rsidRPr="00000000" w14:paraId="00000006">
      <w:pPr>
        <w:tabs>
          <w:tab w:val="left" w:leader="none" w:pos="426"/>
        </w:tabs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            </w:t>
      </w: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Заместник-председател: Антон Славчев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firstLine="709"/>
        <w:jc w:val="both"/>
        <w:rPr>
          <w:b w:val="0"/>
          <w:bCs w:val="0"/>
          <w:sz w:val="24"/>
          <w:szCs w:val="24"/>
          <w:u w:val="single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Член: Антоанета Цонкова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firstLine="709"/>
        <w:jc w:val="both"/>
        <w:rPr>
          <w:b w:val="0"/>
          <w:bCs w:val="0"/>
          <w:sz w:val="24"/>
          <w:szCs w:val="24"/>
          <w:u w:val="single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Член: Пламен Йоцов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leader="none" w:pos="709"/>
        </w:tabs>
        <w:spacing w:line="276" w:lineRule="auto"/>
        <w:ind w:right="4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leader="none" w:pos="709"/>
        </w:tabs>
        <w:spacing w:line="276" w:lineRule="auto"/>
        <w:ind w:right="49"/>
        <w:jc w:val="center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У С Т А Н О В 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left" w:leader="none" w:pos="709"/>
        </w:tabs>
        <w:spacing w:line="276" w:lineRule="auto"/>
        <w:ind w:right="4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Проверката е по реда на чл. 13, ал. 1, т. 8 от Закона за противодействие на корупцията (ЗПК), образувано е въз основа на Решение № КИ-160 от 15.04.2024 г. по сигнал с рег. № С-266/05.04.2024 г. на КПК.</w:t>
      </w:r>
    </w:p>
    <w:p w:rsidR="00000000" w:rsidDel="00000000" w:rsidP="00000000" w:rsidRDefault="00000000" w:rsidRPr="00000000" w14:paraId="0000000D">
      <w:pPr>
        <w:ind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Проверката е образувана срещу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Севделина Траянова, в качеството ѝ на общински съветник и председател на Общински съвет С.</w:t>
      </w:r>
    </w:p>
    <w:p w:rsidR="00000000" w:rsidDel="00000000" w:rsidP="00000000" w:rsidRDefault="00000000" w:rsidRPr="00000000" w14:paraId="0000000E">
      <w:pPr>
        <w:ind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В сигнала са изнесени данни за това, че освен общински съветник и председател на Общински съвет С., към 01.02.2024 г. Севделина Траянова е и управител на центрове за настаняване от семеен тип за пълнолетни лица с психични разстройства (ЦНСТПЛПР), финансирани с общински средства. Последните са посочени като ЦНСТПЛПР „Н.“, „В.“, „М.“ и „С.“, находящи се в с. К., общ. С. Във връзка с изложеното се сочи, че в качеството си на общински съветник и председател на Общински съвет С., Траянова не е изпълнила своевременно задължението си по чл. 34, ал. 6 от Закона за местното самоуправление и местната администрация (ЗМСМА).</w:t>
      </w:r>
    </w:p>
    <w:p w:rsidR="00000000" w:rsidDel="00000000" w:rsidP="00000000" w:rsidRDefault="00000000" w:rsidRPr="00000000" w14:paraId="0000000F">
      <w:pPr>
        <w:ind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Към сигнала не са приложени доказателства.</w:t>
      </w:r>
    </w:p>
    <w:p w:rsidR="00000000" w:rsidDel="00000000" w:rsidP="00000000" w:rsidRDefault="00000000" w:rsidRPr="00000000" w14:paraId="00000010">
      <w:pPr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С оглед изнесените твърдения, Комисията е изискала и е събрала заверени копия от следните доказателства: Удостоверение за избран общински съветник № 7/30.10.2023 г. на Общинска избирателна комисия (ОИК) – С., Декларация за несъвместимост по чл. 49, ал. 1, т. 1 от ЗПК на Севделина Траянова и Решение № 3 по Протокол № 1/14.11.2023 г. на Общински съвет С., приложени с писмо с вх. № КПК-7163-2/02.07.2024 г. на КПК от председателя на Общинския съвет; Трудови договори № ДЗИДП-58/31.03.2023 г.,</w:t>
      </w:r>
      <w:r w:rsidDel="00000000" w:rsidR="00000000" w:rsidRPr="00000000">
        <w:rPr>
          <w:vertAlign w:val="baseline"/>
          <w:rtl w:val="0"/>
        </w:rPr>
        <w:t xml:space="preserve"> 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№ ДЗИДП-59/31.03.2023 г., № ДЗИДП-60/31.03.2023 г. и № ДЗИДП-61/31.03.2023 г., приложени с писмо с вх. № КПК-7163-4/09.07.2024 г. на КПК; Клетвен лист на Севделина Траянова от 14.11.2023 г., приложен с писмо с вх. № КПК-7163-7/03.09.2024 г. на КПК.</w:t>
      </w:r>
    </w:p>
    <w:p w:rsidR="00000000" w:rsidDel="00000000" w:rsidP="00000000" w:rsidRDefault="00000000" w:rsidRPr="00000000" w14:paraId="00000011">
      <w:pPr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ind w:firstLine="720"/>
        <w:jc w:val="both"/>
        <w:rPr>
          <w:i w:val="0"/>
          <w:iCs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i w:val="1"/>
          <w:iCs w:val="1"/>
          <w:color w:val="000000"/>
          <w:sz w:val="24"/>
          <w:szCs w:val="24"/>
          <w:vertAlign w:val="baseline"/>
          <w:rtl w:val="0"/>
        </w:rPr>
        <w:t xml:space="preserve">След като обсъди събраните в хода на административното производство доказателства, Комисията установи следното от фактическа страна: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Сигнал с вх. № С-266/05.04.2024 г. на КПК е подаден от физическо лице с посочени три имена, адрес и телефон за връзка, като същият е и подписан от подателя.</w:t>
      </w:r>
    </w:p>
    <w:p w:rsidR="00000000" w:rsidDel="00000000" w:rsidP="00000000" w:rsidRDefault="00000000" w:rsidRPr="00000000" w14:paraId="00000015">
      <w:pPr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От приложени по преписката Удостоверение за избран общински съветник № 7/30.10.2023 г. на ОИК – С. и Клетвен лист от 14.11.2023 г. се установи, че на произведените на 29.10.2023 г. местни избори Севделина Траянова е избрана за общински съветник в Общински съвет С. за мандат 2023 – 2027 г., като същата е встъпила в длъжността на 14.11.2023 г., подписвайки клетвен лист. С Решение № 3</w:t>
      </w:r>
      <w:r w:rsidDel="00000000" w:rsidR="00000000" w:rsidRPr="00000000">
        <w:rPr>
          <w:vertAlign w:val="baseline"/>
          <w:rtl w:val="0"/>
        </w:rPr>
        <w:t xml:space="preserve"> 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по Протокол № 1/14.11.2023 г. на Общински съвет С., Траянова е избрана за председател на Общинския съвет. В качеството си на общински съветник и председател на Общински съвет С., на 04.12.2023 г. Траянова е подала Декларация за несъвместимост по чл. 49, ал. 1, т. 1 от ЗПК, в която е посочила, че не заема друга длъжност и не извършва дейност, несъвместими със служебното ѝ положение. </w:t>
      </w:r>
    </w:p>
    <w:p w:rsidR="00000000" w:rsidDel="00000000" w:rsidP="00000000" w:rsidRDefault="00000000" w:rsidRPr="00000000" w14:paraId="00000016">
      <w:pPr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Наред с изложеното, по преписката се установи още, че считано от 02.04.2023 г. Траянова изпълнява длъжност като управител на четири</w:t>
      </w:r>
      <w:r w:rsidDel="00000000" w:rsidR="00000000" w:rsidRPr="00000000">
        <w:rPr>
          <w:vertAlign w:val="baseline"/>
          <w:rtl w:val="0"/>
        </w:rPr>
        <w:t xml:space="preserve"> 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социални центрове, а именно на ЦНСТПЛПР „В.“ с ЕИК *************, ЦНСТПЛПР „Н.“ с ЕИК *************, ЦНСТПЛПР „М.“ с ЕИК *************и „С.“</w:t>
      </w:r>
      <w:r w:rsidDel="00000000" w:rsidR="00000000" w:rsidRPr="00000000">
        <w:rPr>
          <w:vertAlign w:val="baseline"/>
          <w:rtl w:val="0"/>
        </w:rPr>
        <w:t xml:space="preserve"> 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с ЕИК *************, находящи се в с. К., общ. С. Траянова изпълнява съответната длъжност по силата на различни трудови договори, установени съответно като Трудови договори № ДЗИДП-58/31.03.2023 г., № ДЗИДП-59/31.03.2023 г., № ДЗИДП-60/31.03.2023 г. и № ДЗИДП-61/31.03.2023 г., сключени между нея и кмета на община С., в качеството му на представляващ Общинската администрация.</w:t>
      </w:r>
    </w:p>
    <w:p w:rsidR="00000000" w:rsidDel="00000000" w:rsidP="00000000" w:rsidRDefault="00000000" w:rsidRPr="00000000" w14:paraId="00000017">
      <w:pPr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Досежно горепосочените социални центрове се установи, че същите са неюридически лица - специализирани институции за предоставяне на социални услуги на територията на община С., чийто собственик е Общината. Изграждането и развитието им е свързано с различни програми и проекти по национални стратегии, финансирани както от Републиканския бюджет, така и от Европейския социален фонд.</w:t>
      </w:r>
    </w:p>
    <w:p w:rsidR="00000000" w:rsidDel="00000000" w:rsidP="00000000" w:rsidRDefault="00000000" w:rsidRPr="00000000" w14:paraId="00000018">
      <w:pPr>
        <w:jc w:val="both"/>
        <w:rPr>
          <w:i w:val="0"/>
          <w:i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firstLine="720"/>
        <w:jc w:val="both"/>
        <w:rPr>
          <w:i w:val="0"/>
          <w:iCs w:val="0"/>
          <w:sz w:val="24"/>
          <w:szCs w:val="24"/>
          <w:vertAlign w:val="baseline"/>
        </w:rPr>
      </w:pPr>
      <w:r w:rsidDel="00000000" w:rsidR="00000000" w:rsidRPr="00000000">
        <w:rPr>
          <w:i w:val="1"/>
          <w:iCs w:val="1"/>
          <w:sz w:val="24"/>
          <w:szCs w:val="24"/>
          <w:vertAlign w:val="baseline"/>
          <w:rtl w:val="0"/>
        </w:rPr>
        <w:t xml:space="preserve">Въз основа на така изяснената фактическа обстановка, Комисията за противодействие на корупцията установи  следното от правна страна: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ind w:firstLine="720"/>
        <w:jc w:val="both"/>
        <w:rPr>
          <w:i w:val="0"/>
          <w:i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            Сигнал с вх. № С-266/05.04.2024 г. на КПК е подаден от лице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, идентифицирано по реда на чл. 62, ал. 2 от ЗПК във връзка с чл. 15, ал. 2 от Закона за защита на лицата, подаващи сигнали или публично оповестяващи информация за нарушения (ЗЗЛПСПОИН). </w:t>
      </w:r>
    </w:p>
    <w:p w:rsidR="00000000" w:rsidDel="00000000" w:rsidP="00000000" w:rsidRDefault="00000000" w:rsidRPr="00000000" w14:paraId="0000001C">
      <w:pPr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            В качеството си на общински съветник и председател на Общински съвет С., Севделина Траянова е лице, заемащо публична длъжност по чл. 6, ал. 1, т. 32 от ЗПК.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            Съгласно разпоредбата на чл. 13, ал. 1, т. 8 от ЗПК, в правомощията на Комисията е да проверява сигнали във връзка с декларациите за несъвместимост на лицата, заемащи публични длъжности, като при установена несъвместимост – да сезира органа по избора или назначаването им за предприемане на съответните действия. С оглед изложеното, компетентна да извърши проверка във връзка с наличието или липсата на несъвместимост в настоящия случай е Комисията за противодействие на корупцията. </w:t>
      </w:r>
    </w:p>
    <w:p w:rsidR="00000000" w:rsidDel="00000000" w:rsidP="00000000" w:rsidRDefault="00000000" w:rsidRPr="00000000" w14:paraId="0000001E">
      <w:pPr>
        <w:ind w:firstLine="72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Несъвместимостта по смисъла на § 1, т. 4 от ДР на ЗПК съставлява заемането на друга длъжност или извършването на дейност, които съгласно Конституцията или закон са несъвместими с положението на лицето, като заемащо публична длъжност. Но ЗПК не посочва самостоятелни основания за несъвместимост на изброените в чл. 6, ал. 1 от закона длъжности. Поради разнородността на правомощията, произтичащи от всяка от последните, за всяка от тях са налице и различни предпоставки за възникване на несъвместимост.</w:t>
      </w:r>
    </w:p>
    <w:p w:rsidR="00000000" w:rsidDel="00000000" w:rsidP="00000000" w:rsidRDefault="00000000" w:rsidRPr="00000000" w14:paraId="0000001F">
      <w:pPr>
        <w:ind w:firstLine="72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С оглед основните характеристики на института, настоящата проверка изисква извършване на индивидуална и диференцирана преценка касателно предпоставките за несъвместимост, относими към конкретния случай. Нарушение може да се установи само и доколкото установените фактически положения съвпадат с хипотезата на съдържащите се в специалните закони ограничения и забрани. Затова при практическото прилагане на института на несъвместимостта е необходимо точно да се установи кои са приложимите разпоредби от Конституцията и/ или от специалните закони, да се съпостави фактическата обстановка с възведените в тях забрани, за да се направи обоснован извод за наличието на нарушение, водещо до несъвместимост. В тази връзка и предвид служебното положение на Севделина Траянова, като общински съветник и председател на Общински съвет С., приложение във връзка с установяването на наличието или липсата на несъвместимост за същата намират разпоредбите на ЗМСМА.</w:t>
      </w:r>
    </w:p>
    <w:p w:rsidR="00000000" w:rsidDel="00000000" w:rsidP="00000000" w:rsidRDefault="00000000" w:rsidRPr="00000000" w14:paraId="00000020">
      <w:pPr>
        <w:ind w:firstLine="72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Изискванията към общинските съветници, а така също и длъжностите и дейностите, несъвместими с положението им като такива, са изчерпателно изброени в разпоредбата на чл. 34, ал. 5 от ЗМСМА, същите намират пряко приложение и по отношение на председателите на общинските съвети – качество, произтичащо на първо място от носеното качеството като общински съветник. Сред лимитативно изброените в посочената норма са включително забраните такова лице да бъде член на управителен, надзорен или контролен съвет, съвет на директорите, контрольор, управител, прокурист, търговски пълномощник, синдик или ликвидатор на </w:t>
      </w: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търговски дружества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с общинско участие или директор на общинско предприятие.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ind w:firstLine="72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Във връзка с горното, следва да се вземе предвид, че и четирите социални центрове, а именно ЦНСТПЛПР „В.“ с ЕИК *************, ЦНСТПЛПР „Н.“ с ЕИК *************, ЦНСТПЛПР „М.“ с ЕИК *************и „С.“ с ЕИК *************, чийто директор е Севделина Траянова, са неюридически лица. Центровете са специализирани институции за предоставяне на социални услуги на територията на община С., финансирани със средства от Републиканския бюджет и от структурни фондове на Европейския съюз, а като такива са икономически обособени структурни единици, включени в консолидираната фискална програма. </w:t>
      </w: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В този смисъл центровете не са търговски дружества с общинско участие, не са и общински предприятия.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            Предвид, че нарушение във връзка с несъвместимостта на лицата, заемащи публични длъжности, може да се установи само и доколкото установените фактически положения съвпадат с хипотезата на съдържащите се в специалните закони ограничения и забрани, по отношение на Севделина Траянова, в качеството ѝ на общински съветник и председател на Общински съвет С.,</w:t>
      </w:r>
      <w:r w:rsidDel="00000000" w:rsidR="00000000" w:rsidRPr="00000000">
        <w:rPr>
          <w:vertAlign w:val="baseline"/>
          <w:rtl w:val="0"/>
        </w:rPr>
        <w:t xml:space="preserve">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безспорно не е налице несъвместимост във връзка със съвместяването на посочената длъжност с длъжността като директор на ЦНСТПЛПР „В.“ с ЕИК *************, ЦНСТПЛПР „Н.“ с ЕИК *************, ЦНСТПЛПР „М.“ с ЕИК *************и „С.“ с ЕИК *************, с. К., общ. С.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Съобразно разпоредбата на чл. 90, ал. 5 от ЗПК, Комисията прави своите изводи на база доказателства, събрани по реда на Административнопроцесуалния кодекс, а в случая събраните такива налагат безспорен извод, че не са налице предпоставките, обосноваващи наличието на несъвместимост.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ind w:right="-68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            Предвид изложеното и на основание чл. 92, ал. 1 и ал. 2 във вр. с чл. 13, ал. 1, т. 8 от ЗПК, във връзка с § 7, ал. 2 от ПЗР на ЗПК, Комисията за противодействие на корупцията</w:t>
      </w:r>
    </w:p>
    <w:p w:rsidR="00000000" w:rsidDel="00000000" w:rsidP="00000000" w:rsidRDefault="00000000" w:rsidRPr="00000000" w14:paraId="00000025">
      <w:pPr>
        <w:ind w:right="-68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ind w:left="3540" w:right="-68" w:firstLine="708.0000000000001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РЕШИ: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ind w:firstLine="708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НЕ УСТАНОВЯВА НЕСЪВМЕСТИМОСТ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по отношение на</w:t>
      </w: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Севделина Траянова с ЕГН **********, в качеството й на общински съветник и председател на Общински съвет С. - лице, заемащо публична длъжност по чл. 6, ал. 1, т. 32 от ЗПК, във връзка със заеманата от същата длъжност като директор на ЦНСТПЛПР „В.“ с ЕИК *************, ЦНСТПЛПР „Н.“ с ЕИК *************, ЦНСТПЛПР „М.“ с ЕИК *************и „С.“ с ЕИК *************, с. К., общ. С.</w:t>
      </w:r>
    </w:p>
    <w:p w:rsidR="00000000" w:rsidDel="00000000" w:rsidP="00000000" w:rsidRDefault="00000000" w:rsidRPr="00000000" w14:paraId="00000029">
      <w:pPr>
        <w:tabs>
          <w:tab w:val="left" w:leader="none" w:pos="6300"/>
        </w:tabs>
        <w:ind w:right="-68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tabs>
          <w:tab w:val="left" w:leader="none" w:pos="6300"/>
        </w:tabs>
        <w:ind w:right="-68" w:firstLine="709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                КОМИСИЯ: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tabs>
          <w:tab w:val="left" w:leader="none" w:pos="6300"/>
        </w:tabs>
        <w:ind w:right="-68" w:firstLine="709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ind w:left="2112" w:right="-68" w:firstLine="11.999999999999886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ЗАМЕСТНИК-ПРЕДСЕДАТЕЛ:............................/АНТОН СЛАВЧЕВ/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ind w:left="2112" w:right="-68" w:firstLine="11.999999999999886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ind w:left="2112" w:right="-68" w:firstLine="11.999999999999886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ЧЛЕН.............................................................../АНТОАНЕТА ЦОНКОВА/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right="-68" w:firstLine="72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ind w:right="-68" w:firstLine="72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ab/>
        <w:tab/>
        <w:t xml:space="preserve">ЧЛЕН.........................................................................../ПЛАМЕН ЙОЦОВ/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tabs>
          <w:tab w:val="left" w:leader="none" w:pos="5400"/>
        </w:tabs>
        <w:ind w:right="-68" w:firstLine="72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tabs>
          <w:tab w:val="left" w:leader="none" w:pos="5400"/>
        </w:tabs>
        <w:ind w:right="-68" w:firstLine="72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tabs>
          <w:tab w:val="left" w:leader="none" w:pos="5400"/>
        </w:tabs>
        <w:ind w:right="-68" w:firstLine="72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tabs>
          <w:tab w:val="left" w:leader="none" w:pos="5400"/>
        </w:tabs>
        <w:ind w:right="-68" w:firstLine="72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tabs>
          <w:tab w:val="left" w:leader="none" w:pos="5400"/>
        </w:tabs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headerReference r:id="rId8" w:type="even"/>
      <w:footerReference r:id="rId9" w:type="default"/>
      <w:footerReference r:id="rId10" w:type="first"/>
      <w:footerReference r:id="rId11" w:type="even"/>
      <w:pgSz w:h="16834" w:w="11909" w:orient="portrait"/>
      <w:pgMar w:bottom="851" w:top="851" w:left="1134" w:right="1134" w:header="284" w:footer="56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1">
    <w:pPr>
      <w:keepNext w:val="0"/>
      <w:keepLines w:val="0"/>
      <w:pageBreakBefore w:val="0"/>
      <w:widowControl w:val="1"/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6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b w:val="0"/>
        <w:bCs w:val="0"/>
        <w:sz w:val="24"/>
        <w:szCs w:val="24"/>
        <w:vertAlign w:val="baseline"/>
      </w:rPr>
    </w:pPr>
    <w:r w:rsidDel="00000000" w:rsidR="00000000" w:rsidRPr="00000000">
      <w:rPr>
        <w:rtl w:val="0"/>
      </w:rPr>
    </w:r>
  </w:p>
  <w:tbl>
    <w:tblPr>
      <w:tblStyle w:val="Table1"/>
      <w:tblW w:w="10348.999999999998" w:type="dxa"/>
      <w:jc w:val="left"/>
      <w:tblInd w:w="-426.0" w:type="dxa"/>
      <w:tblLayout w:type="fixed"/>
      <w:tblLook w:val="0000"/>
    </w:tblPr>
    <w:tblGrid>
      <w:gridCol w:w="426"/>
      <w:gridCol w:w="9923"/>
      <w:tblGridChange w:id="0">
        <w:tblGrid>
          <w:gridCol w:w="426"/>
          <w:gridCol w:w="9923"/>
        </w:tblGrid>
      </w:tblGridChange>
    </w:tblGrid>
    <w:tr>
      <w:trPr>
        <w:cantSplit w:val="0"/>
        <w:trHeight w:val="705" w:hRule="atLeast"/>
        <w:tblHeader w:val="0"/>
      </w:trPr>
      <w:tc>
        <w:tcPr>
          <w:vAlign w:val="center"/>
        </w:tcPr>
        <w:p w:rsidR="00000000" w:rsidDel="00000000" w:rsidP="00000000" w:rsidRDefault="00000000" w:rsidRPr="00000000" w14:paraId="00000037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20" w:before="20" w:line="240" w:lineRule="auto"/>
            <w:ind w:left="-142" w:right="0" w:firstLine="0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38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20" w:before="20" w:line="240" w:lineRule="auto"/>
            <w:ind w:left="-1578" w:right="0" w:firstLine="1578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Р Е П У Б Л И К А   Б Ъ Л Г А Р И Я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9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color="000000" w:space="1" w:sz="6" w:val="single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20" w:before="20" w:line="240" w:lineRule="auto"/>
            <w:ind w:left="-1578" w:right="0" w:firstLine="1578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К О М И С И Я   З А   П Р О Т И В О Д Е Й С Т В И Е   Н А   К О Р У П Ц И Я Т А   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A">
          <w:pPr>
            <w:pBdr>
              <w:bottom w:color="000000" w:space="1" w:sz="6" w:val="single"/>
            </w:pBdr>
            <w:tabs>
              <w:tab w:val="center" w:leader="none" w:pos="4153"/>
              <w:tab w:val="right" w:leader="none" w:pos="8306"/>
            </w:tabs>
            <w:spacing w:after="20" w:before="20" w:lineRule="auto"/>
            <w:ind w:left="-1578" w:firstLine="1578"/>
            <w:jc w:val="center"/>
            <w:rPr>
              <w:b w:val="0"/>
              <w:bCs w:val="0"/>
              <w:sz w:val="16"/>
              <w:szCs w:val="16"/>
              <w:u w:val="single"/>
              <w:vertAlign w:val="baseline"/>
            </w:rPr>
          </w:pPr>
          <w:r w:rsidDel="00000000" w:rsidR="00000000" w:rsidRPr="00000000">
            <w:rPr>
              <w:b w:val="1"/>
              <w:bCs w:val="1"/>
              <w:i w:val="1"/>
              <w:iCs w:val="1"/>
              <w:sz w:val="16"/>
              <w:szCs w:val="16"/>
              <w:vertAlign w:val="baseline"/>
              <w:rtl w:val="0"/>
            </w:rPr>
            <w:t xml:space="preserve">София 1000, пл. "Света Неделя" №6,  тел: (+359 2)   9401 444, факс: (+359 2) 9401 595 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3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bg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spacing w:after="60" w:lineRule="auto"/>
      <w:jc w:val="center"/>
    </w:pPr>
    <w:rPr>
      <w:rFonts w:ascii="Cambria" w:cs="Cambria" w:eastAsia="Cambria" w:hAnsi="Cambria"/>
      <w:sz w:val="24"/>
      <w:szCs w:val="24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9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header" Target="header3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