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709"/>
          <w:tab w:val="left" w:leader="none" w:pos="3528"/>
        </w:tabs>
        <w:spacing w:line="276" w:lineRule="auto"/>
        <w:jc w:val="center"/>
        <w:rPr>
          <w:b w:val="0"/>
          <w:bCs w:val="0"/>
          <w:color w:val="000000"/>
          <w:vertAlign w:val="baseline"/>
        </w:rPr>
      </w:pPr>
      <w:r w:rsidDel="00000000" w:rsidR="00000000" w:rsidRPr="00000000">
        <w:rPr>
          <w:b w:val="1"/>
          <w:bCs w:val="1"/>
          <w:color w:val="000000"/>
          <w:vertAlign w:val="baseline"/>
          <w:rtl w:val="0"/>
        </w:rPr>
        <w:t xml:space="preserve">РЕШЕНИЕ</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709"/>
          <w:tab w:val="left" w:leader="none" w:pos="3528"/>
        </w:tabs>
        <w:spacing w:line="276" w:lineRule="auto"/>
        <w:jc w:val="center"/>
        <w:rPr>
          <w:b w:val="0"/>
          <w:bCs w:val="0"/>
          <w:color w:val="000000"/>
          <w:vertAlign w:val="baseline"/>
        </w:rPr>
      </w:pPr>
      <w:r w:rsidDel="00000000" w:rsidR="00000000" w:rsidRPr="00000000">
        <w:rPr>
          <w:b w:val="1"/>
          <w:bCs w:val="1"/>
          <w:color w:val="000000"/>
          <w:vertAlign w:val="baseline"/>
          <w:rtl w:val="0"/>
        </w:rPr>
        <w:t xml:space="preserve">№ РС-582-25-002</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709"/>
          <w:tab w:val="left" w:leader="none" w:pos="3528"/>
        </w:tabs>
        <w:spacing w:line="276" w:lineRule="auto"/>
        <w:jc w:val="center"/>
        <w:rPr>
          <w:color w:val="000000"/>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709"/>
          <w:tab w:val="left" w:leader="none" w:pos="3528"/>
        </w:tabs>
        <w:spacing w:line="276" w:lineRule="auto"/>
        <w:jc w:val="both"/>
        <w:rPr>
          <w:color w:val="000000"/>
          <w:vertAlign w:val="baseline"/>
        </w:rPr>
      </w:pPr>
      <w:r w:rsidDel="00000000" w:rsidR="00000000" w:rsidRPr="00000000">
        <w:rPr>
          <w:color w:val="000000"/>
          <w:vertAlign w:val="baseline"/>
          <w:rtl w:val="0"/>
        </w:rPr>
        <w:tab/>
        <w:t xml:space="preserve">Днес, 12.01.2026 г., Комисията за противодействие на корупцията /КПК/, в състав:</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709"/>
          <w:tab w:val="left" w:leader="none" w:pos="3528"/>
        </w:tabs>
        <w:spacing w:line="276" w:lineRule="auto"/>
        <w:jc w:val="both"/>
        <w:rPr>
          <w:color w:val="000000"/>
          <w:vertAlign w:val="baseline"/>
        </w:rPr>
      </w:pPr>
      <w:r w:rsidDel="00000000" w:rsidR="00000000" w:rsidRPr="00000000">
        <w:rPr>
          <w:rtl w:val="0"/>
        </w:rPr>
      </w:r>
    </w:p>
    <w:p w:rsidR="00000000" w:rsidDel="00000000" w:rsidP="00000000" w:rsidRDefault="00000000" w:rsidRPr="00000000" w14:paraId="00000006">
      <w:pPr>
        <w:tabs>
          <w:tab w:val="left" w:leader="none" w:pos="426"/>
        </w:tabs>
        <w:ind w:firstLine="709"/>
        <w:jc w:val="both"/>
        <w:rPr>
          <w:b w:val="0"/>
          <w:bCs w:val="0"/>
          <w:vertAlign w:val="baseline"/>
        </w:rPr>
      </w:pPr>
      <w:r w:rsidDel="00000000" w:rsidR="00000000" w:rsidRPr="00000000">
        <w:rPr>
          <w:b w:val="1"/>
          <w:bCs w:val="1"/>
          <w:vertAlign w:val="baseline"/>
          <w:rtl w:val="0"/>
        </w:rPr>
        <w:t xml:space="preserve">За председател: Антон Славчев</w:t>
      </w:r>
      <w:r w:rsidDel="00000000" w:rsidR="00000000" w:rsidRPr="00000000">
        <w:rPr>
          <w:rtl w:val="0"/>
        </w:rPr>
      </w:r>
    </w:p>
    <w:p w:rsidR="00000000" w:rsidDel="00000000" w:rsidP="00000000" w:rsidRDefault="00000000" w:rsidRPr="00000000" w14:paraId="00000007">
      <w:pPr>
        <w:tabs>
          <w:tab w:val="left" w:leader="none" w:pos="426"/>
        </w:tabs>
        <w:ind w:firstLine="709"/>
        <w:jc w:val="both"/>
        <w:rPr>
          <w:b w:val="0"/>
          <w:bCs w:val="0"/>
          <w:vertAlign w:val="baseline"/>
        </w:rPr>
      </w:pPr>
      <w:r w:rsidDel="00000000" w:rsidR="00000000" w:rsidRPr="00000000">
        <w:rPr>
          <w:b w:val="1"/>
          <w:bCs w:val="1"/>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8">
      <w:pPr>
        <w:ind w:firstLine="709"/>
        <w:jc w:val="both"/>
        <w:rPr>
          <w:b w:val="0"/>
          <w:bCs w:val="0"/>
          <w:u w:val="single"/>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9">
      <w:pPr>
        <w:tabs>
          <w:tab w:val="left" w:leader="none" w:pos="709"/>
        </w:tabs>
        <w:spacing w:line="276" w:lineRule="auto"/>
        <w:jc w:val="both"/>
        <w:rPr>
          <w:color w:val="000000"/>
          <w:vertAlign w:val="baseline"/>
        </w:rPr>
      </w:pPr>
      <w:r w:rsidDel="00000000" w:rsidR="00000000" w:rsidRPr="00000000">
        <w:rPr>
          <w:b w:val="1"/>
          <w:bCs w:val="1"/>
          <w:vertAlign w:val="baseline"/>
          <w:rtl w:val="0"/>
        </w:rPr>
        <w:tab/>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09"/>
          <w:tab w:val="left" w:leader="none" w:pos="3528"/>
        </w:tabs>
        <w:spacing w:line="276" w:lineRule="auto"/>
        <w:jc w:val="center"/>
        <w:rPr>
          <w:b w:val="0"/>
          <w:bCs w:val="0"/>
          <w:color w:val="000000"/>
          <w:vertAlign w:val="baseline"/>
        </w:rPr>
      </w:pPr>
      <w:r w:rsidDel="00000000" w:rsidR="00000000" w:rsidRPr="00000000">
        <w:rPr>
          <w:b w:val="1"/>
          <w:bCs w:val="1"/>
          <w:color w:val="000000"/>
          <w:vertAlign w:val="baseline"/>
          <w:rtl w:val="0"/>
        </w:rPr>
        <w:t xml:space="preserve">У С Т А Н О В И:</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709"/>
          <w:tab w:val="left" w:leader="none" w:pos="3528"/>
        </w:tabs>
        <w:spacing w:line="276" w:lineRule="auto"/>
        <w:jc w:val="both"/>
        <w:rPr>
          <w:color w:val="000000"/>
          <w:vertAlign w:val="baseline"/>
        </w:rPr>
      </w:pPr>
      <w:r w:rsidDel="00000000" w:rsidR="00000000" w:rsidRPr="00000000">
        <w:rPr>
          <w:rtl w:val="0"/>
        </w:rPr>
      </w:r>
    </w:p>
    <w:p w:rsidR="00000000" w:rsidDel="00000000" w:rsidP="00000000" w:rsidRDefault="00000000" w:rsidRPr="00000000" w14:paraId="0000000C">
      <w:pPr>
        <w:tabs>
          <w:tab w:val="left" w:leader="none" w:pos="709"/>
          <w:tab w:val="left" w:leader="none" w:pos="3528"/>
        </w:tabs>
        <w:jc w:val="both"/>
        <w:rPr>
          <w:color w:val="000000"/>
          <w:vertAlign w:val="baseline"/>
        </w:rPr>
      </w:pPr>
      <w:r w:rsidDel="00000000" w:rsidR="00000000" w:rsidRPr="00000000">
        <w:rPr>
          <w:color w:val="000000"/>
          <w:vertAlign w:val="baseline"/>
          <w:rtl w:val="0"/>
        </w:rPr>
        <w:tab/>
        <w:t xml:space="preserve">Производството е по реда на чл. 89 ал. 1, пр. 1 от Закона за противодействие на корупцията (ЗПК), образувано въз основа на Решение за образуване на производство за конфликт на интереси № КИ-260/25.08.2025 г. на Комисия за противодействие на корупцията (КПК) по сигнал с рег. № С-582/18.08.2025 г.</w:t>
      </w:r>
    </w:p>
    <w:p w:rsidR="00000000" w:rsidDel="00000000" w:rsidP="00000000" w:rsidRDefault="00000000" w:rsidRPr="00000000" w14:paraId="0000000D">
      <w:pPr>
        <w:tabs>
          <w:tab w:val="left" w:leader="none" w:pos="709"/>
          <w:tab w:val="left" w:leader="none" w:pos="3528"/>
        </w:tabs>
        <w:jc w:val="both"/>
        <w:rPr>
          <w:color w:val="000000"/>
          <w:vertAlign w:val="baseline"/>
        </w:rPr>
      </w:pPr>
      <w:r w:rsidDel="00000000" w:rsidR="00000000" w:rsidRPr="00000000">
        <w:rPr>
          <w:color w:val="000000"/>
          <w:vertAlign w:val="baseline"/>
          <w:rtl w:val="0"/>
        </w:rPr>
        <w:tab/>
        <w:t xml:space="preserve">Производството е образувано срещу Петко Ахмаков – общински съветник в Общински съвет В.</w:t>
      </w:r>
    </w:p>
    <w:p w:rsidR="00000000" w:rsidDel="00000000" w:rsidP="00000000" w:rsidRDefault="00000000" w:rsidRPr="00000000" w14:paraId="0000000E">
      <w:pPr>
        <w:tabs>
          <w:tab w:val="left" w:leader="none" w:pos="709"/>
          <w:tab w:val="left" w:leader="none" w:pos="3528"/>
        </w:tabs>
        <w:jc w:val="both"/>
        <w:rPr>
          <w:color w:val="000000"/>
          <w:vertAlign w:val="baseline"/>
        </w:rPr>
      </w:pPr>
      <w:r w:rsidDel="00000000" w:rsidR="00000000" w:rsidRPr="00000000">
        <w:rPr>
          <w:color w:val="000000"/>
          <w:vertAlign w:val="baseline"/>
          <w:rtl w:val="0"/>
        </w:rPr>
        <w:tab/>
        <w:t xml:space="preserve">По същество в сигнала се твърди, че освен общински съветник, Петко Ахмаков е и адвокат, а като такъв е предоставял правни консултации и съдействие на посочени в сигнала различни лица, сред които и лицето Г. Р. С., посочена като племенница на заместник-кмета на община В. – В. Ч. Твърди се, че осъщественото от Ахмаков правно съдействие е във връзка с издаването на констативни нотариални актове за два поземлени имота, посочени в сигнала със своите стари и нови идентификатори, които след време Г. С. е продала ведно с други три имота на М. З.А. – сестра на В. Ч.</w:t>
      </w:r>
    </w:p>
    <w:p w:rsidR="00000000" w:rsidDel="00000000" w:rsidP="00000000" w:rsidRDefault="00000000" w:rsidRPr="00000000" w14:paraId="0000000F">
      <w:pPr>
        <w:tabs>
          <w:tab w:val="left" w:leader="none" w:pos="709"/>
          <w:tab w:val="left" w:leader="none" w:pos="3528"/>
        </w:tabs>
        <w:jc w:val="both"/>
        <w:rPr>
          <w:color w:val="000000"/>
          <w:vertAlign w:val="baseline"/>
        </w:rPr>
      </w:pPr>
      <w:r w:rsidDel="00000000" w:rsidR="00000000" w:rsidRPr="00000000">
        <w:rPr>
          <w:color w:val="000000"/>
          <w:vertAlign w:val="baseline"/>
          <w:rtl w:val="0"/>
        </w:rPr>
        <w:tab/>
        <w:t xml:space="preserve">Наред с горното, в сигнала се твърди, че в качеството си на общински съветник в Общински съвет В., на проведени на 15.12.2023 г. и 19.04.2024 г. съвместни заседания на постоянни комисии към Общинския съвет, Петко Ахмаков е ръководил процеса по внасянето на Подробни устройствени планове – Парцеларни планове /ПУП - ПП/ за въздушни електропроводи по отношение на одобряването на внасянето им за разглеждане от Общински съвет В. Твърди се още, че на проведените в последствие заседания на Общински съвет В., а именно заседанията от 20.12.2023 г. и 19.04.2024 г.,  Ахмаков е гласувал „За“ във връзка с приемането на съответните ПУП-ПП, а именно ПУП – ПП за въздушен електропровод „Чукура“/ „Писанец“ и ПУП – ПП за въздушен електропровод „Каменово“.</w:t>
      </w:r>
    </w:p>
    <w:p w:rsidR="00000000" w:rsidDel="00000000" w:rsidP="00000000" w:rsidRDefault="00000000" w:rsidRPr="00000000" w14:paraId="00000010">
      <w:pPr>
        <w:tabs>
          <w:tab w:val="left" w:leader="none" w:pos="709"/>
          <w:tab w:val="left" w:leader="none" w:pos="3528"/>
        </w:tabs>
        <w:jc w:val="both"/>
        <w:rPr>
          <w:color w:val="000000"/>
          <w:vertAlign w:val="baseline"/>
        </w:rPr>
      </w:pPr>
      <w:r w:rsidDel="00000000" w:rsidR="00000000" w:rsidRPr="00000000">
        <w:rPr>
          <w:color w:val="000000"/>
          <w:vertAlign w:val="baseline"/>
          <w:rtl w:val="0"/>
        </w:rPr>
        <w:tab/>
        <w:t xml:space="preserve">На следващо място се твърди, че вносител по гласуваното на 19.04.2024 г. предложение за ПУП-ПП на въздушен електропровод „Каменово“ е заместник-кметът В. Ч. Сочи се, че в резултат от така одобрените ПУП-ПП са учредени сервитутни права върху имоти, включително върху придобитите от М. З. А., за което последната пък е получила парични обезщетения.</w:t>
      </w:r>
    </w:p>
    <w:p w:rsidR="00000000" w:rsidDel="00000000" w:rsidP="00000000" w:rsidRDefault="00000000" w:rsidRPr="00000000" w14:paraId="00000011">
      <w:pPr>
        <w:tabs>
          <w:tab w:val="left" w:leader="none" w:pos="709"/>
          <w:tab w:val="left" w:leader="none" w:pos="3528"/>
        </w:tabs>
        <w:jc w:val="both"/>
        <w:rPr>
          <w:vertAlign w:val="baseline"/>
        </w:rPr>
      </w:pPr>
      <w:r w:rsidDel="00000000" w:rsidR="00000000" w:rsidRPr="00000000">
        <w:rPr>
          <w:color w:val="000000"/>
          <w:vertAlign w:val="baseline"/>
          <w:rtl w:val="0"/>
        </w:rPr>
        <w:tab/>
      </w:r>
      <w:r w:rsidDel="00000000" w:rsidR="00000000" w:rsidRPr="00000000">
        <w:rPr>
          <w:vertAlign w:val="baseline"/>
          <w:rtl w:val="0"/>
        </w:rPr>
        <w:t xml:space="preserve">В обобщение на горното в сигнала са възведени твърдения, че гласуването по отношение на посочените ПУП – ПП, осъществено от Петко Ахмаков, в качеството му на общински съветник в Общински съвет В., е във връзка с облагодетелстването на М. З. А., която е била клиент на Ахмаков в качеството му на практикуващ адвокат.</w:t>
      </w:r>
    </w:p>
    <w:p w:rsidR="00000000" w:rsidDel="00000000" w:rsidP="00000000" w:rsidRDefault="00000000" w:rsidRPr="00000000" w14:paraId="00000012">
      <w:pPr>
        <w:tabs>
          <w:tab w:val="left" w:leader="none" w:pos="709"/>
          <w:tab w:val="left" w:leader="none" w:pos="3528"/>
        </w:tabs>
        <w:jc w:val="both"/>
        <w:rPr>
          <w:vertAlign w:val="baseline"/>
        </w:rPr>
      </w:pPr>
      <w:r w:rsidDel="00000000" w:rsidR="00000000" w:rsidRPr="00000000">
        <w:rPr>
          <w:vertAlign w:val="baseline"/>
          <w:rtl w:val="0"/>
        </w:rPr>
        <w:tab/>
        <w:t xml:space="preserve">От председателя на Постоянната комисия по етика и установяване на конфликт на интереси при Общински съвет В. са изискани и с писмо с вх.№ КПК-11042-1/08.10.2025 г. на КПК са представени: клетвен лист на Петко Ахмаков от 08.11.2023 г., Удостоверение № 14/08.11.2023 г. на ОИК В., Трудов договор № 51/08.06.2020 г. на В. Р. Ч., заверено копие от Подробен устройствен план – Парцеларен план на въздушен електропровод 20 кV „Чукура“ и въздушен електропровод 20 кV „Писанец“, землище В., община В., собственост на „Електроразпределение Север“ АД, ведно с административната преписка свързана с процедирането, Решение № 36 от Протокол № 6/20.12.2023 г. на Общински съвет В., заверено копие от Подробен устройствен план – Парцеларен план за Нова част въздушен електропровод 110 кV „Каменово“, собственост на „Електроенергиен системен оператор“ ЕАД, ведно с административната преписка свързана с процедирането и Решение № 122 от Протокол № 13/19.04.2024 г. на Общински съвет В.</w:t>
      </w:r>
    </w:p>
    <w:p w:rsidR="00000000" w:rsidDel="00000000" w:rsidP="00000000" w:rsidRDefault="00000000" w:rsidRPr="00000000" w14:paraId="00000013">
      <w:pPr>
        <w:tabs>
          <w:tab w:val="left" w:leader="none" w:pos="709"/>
          <w:tab w:val="left" w:leader="none" w:pos="3528"/>
        </w:tabs>
        <w:jc w:val="both"/>
        <w:rPr>
          <w:vertAlign w:val="baseline"/>
        </w:rPr>
      </w:pPr>
      <w:r w:rsidDel="00000000" w:rsidR="00000000" w:rsidRPr="00000000">
        <w:rPr>
          <w:color w:val="000000"/>
          <w:vertAlign w:val="baseline"/>
          <w:rtl w:val="0"/>
        </w:rPr>
        <w:tab/>
      </w:r>
      <w:r w:rsidDel="00000000" w:rsidR="00000000" w:rsidRPr="00000000">
        <w:rPr>
          <w:vertAlign w:val="baseline"/>
          <w:rtl w:val="0"/>
        </w:rPr>
        <w:t xml:space="preserve">Служебно е извършена справка в Регистър НБД „Население.</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709"/>
          <w:tab w:val="left" w:leader="none" w:pos="3528"/>
        </w:tabs>
        <w:jc w:val="center"/>
        <w:rPr>
          <w:i w:val="0"/>
          <w:iCs w:val="0"/>
          <w:vertAlign w:val="baseline"/>
        </w:rPr>
      </w:pPr>
      <w:r w:rsidDel="00000000" w:rsidR="00000000" w:rsidRPr="00000000">
        <w:rPr>
          <w:i w:val="1"/>
          <w:iCs w:val="1"/>
          <w:vertAlign w:val="baseline"/>
          <w:rtl w:val="0"/>
        </w:rPr>
        <w:t xml:space="preserve">От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Сигналът е подаден от лице, с посочени три имена, адрес и е подписан.</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Петко Ахмаков е избран за общински съветник в Общински съвет В., мандат 2023 – 2027 г. и е положил клетва на 08.11.2023 г.</w:t>
      </w:r>
    </w:p>
    <w:p w:rsidR="00000000" w:rsidDel="00000000" w:rsidP="00000000" w:rsidRDefault="00000000" w:rsidRPr="00000000" w14:paraId="00000019">
      <w:pPr>
        <w:tabs>
          <w:tab w:val="left" w:leader="none" w:pos="709"/>
          <w:tab w:val="left" w:leader="none" w:pos="3528"/>
        </w:tabs>
        <w:jc w:val="both"/>
        <w:rPr>
          <w:vertAlign w:val="baseline"/>
        </w:rPr>
      </w:pPr>
      <w:r w:rsidDel="00000000" w:rsidR="00000000" w:rsidRPr="00000000">
        <w:rPr>
          <w:vertAlign w:val="baseline"/>
          <w:rtl w:val="0"/>
        </w:rPr>
        <w:tab/>
        <w:t xml:space="preserve">В. Р. Ч. заема длъжността „заместник-кмет“ на Община В. по силата на трудов договор № 51/08.06.2020 г., сключен  на основание чл. 67, ал. 1 т. 1от КТ с кмета на Община В., считано от 08.06.2020 г.</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От извършена справка в Регистър НБД „Население“ се установява, че В. Р. Ч. е брат на М. З. А. Не се установява родство между Петко Ахмаков и М. З. А., както и между Петко Ахмаков и В. Р. Ч.. Също така не се установява родство между В. Р. Ч. и Г. Р.С.</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На 17.10.2023 г. в Община В. е постъпило заявление с вх. № УТ-2117-26/17.10.2023 г. от „Електроразпределение Север“ АД за одобряване на Подробен устройствен план (ПУП) – Парцеларен план (ПП) за обект: „Ново трасе на част от ВЕЛ 20 кV „Чукура“ и на ВЕЛ 20 кV „Писанец“, землища на гр. В., Община В.“.</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Изработеният Парцеларен план показва засегнатите имоти от стъпките на новите стълбове и площта на новообразувания сервитут. В ПУП-ПП е определено местоположението и размерите на сервитутните зони в засегнатите имоти, изчертани във формата на ивица с широчина общо 7,5 м., като за всеки имот, засегнат от новото трасе (включително неговия сервитут), се определя засегнатата площ, с цел определяне на обезщетение по чл. 210 от ЗУТ, във връзка с чл. 64 от Закона за енергетиката. Изработени са регистри на координатите на точките на новите стълбове: на сервитутната линия в ляво и дясно от оста на ВЛ 20 кV „Чукура“.</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Видно от представеното Приложение № 3А Регистър на засегнатите имоти от новото трасе на ВЕ 20 кV „Чукура“, са засегнати имоти общинска публична собственост и собственост на частни лица, в това число и имоти № 7.6 и 7.7, с начин на трайно ползване ниви/орна земя, IV категория, с обща площ на имота съответно 1.683 дка. и 1.978 дка. и площ за право на преминаване и ограничение за ползване, съответно 0. 193 дка., площ за отчуждаване (стъпка на стълб) 0,001 дка. и 0.209 дка. - собственост на М. З. А.</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На 14.12.2023 г. кметът на Община В. внася в Общински съвет В. Предложение с вх. № ОбС-ДЗ-218/14.12.2023 г. на Общински съвет В., относно: Одобряване на  Подробен устройствен план (ПУП) – Парцеларен план (ПП) на въздушен електропровод (ВЕ) 20 кV „Чукура“ и  ВЕ 20 кV „Писанец“, землище В., собственост на „Електроразпределение Север“ АД.</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В Предложението сочи, че с Решение № 788 по Протокол № 67/31.05.2023 г. на Общински съвет В. е одобрено Задание за Подробен устройствен план – Парцеларен план на въздушен електропровод (ВЕ) 20 кV „Чукура“ и  ВЕ 20 кV „Писанец“ - собственост на „Електроразпределение Север“ АД и е разрешено изработването му. Проектът за ПУП-ПП е разгледан и приет от Общинския експертен съвет по устройство на територията на Община В. на 06.12.2023 г., който предлага на Общински съвет В., на основание чл. 21, ал. 1, т. 11 от ЗМСМА и чл. 129, ал. 1 от ЗУТ, да приеме решение, с което да одобри ПУП-ПП на ВЕ20 кV „Чукура“ и ВЕ 20 кV „Писанец“, землище В., собственост на „Електроразпределение Север“ АД.</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С Решение № 37 от Протокол № 6/20.12.2023 г. Общински съвет В., на основание чл. 21, ал. 1, т. 11от ЗМСМА и чл. 129, ал. 1 от ЗУТ, одобрява Подробен устройствен план – Парцеларен план на Въздушен електропровод 20 кV „Чукура“ и на ВЕЛ 20 кV „Писанец“, землища на гр. В., Община В., собственост на „Електроразпределение Север“ АД.</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Решението е прието със 16 гласа „За“ от общо седемнадесет общински съветници. Видно от поименното гласуване на Решение № 37 от Протокол № 6/20.12.2023 г. на Общински съвет В. общинският съветник Петко Ахмаков е гласувал „За“ приемането му.</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На 07.02.2024 г. в Община В. е постъпило заявление с вх. № УТ-2117-5/07.02.2024 г. от „Електроенергиен системен оператор“ ЕАД за одобряване на Подробен устройствен план (ПУП) – Парцеларен план (ПП) за обект: „Ново част на част въздушен електропровод ВЕ 110 кV „Каменово“, землища на гр. В., Община В.“, изготвен на основание Решение № 684/21.09.2023 г., одобрено задание по чл. 215 от ЗУТ, като с представения с това заявление ПУП-ПП е направено съгласуване по чл. 128, ал. 6 от ЗУТ и е извършена процедура  от РИОСВ Р., по която е издадено Решение № РУ-5-ПР/2024 г.</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Изработеният Парцеларен план показва засегнатите имоти от стъпките на новите стълбове и площта на новообразувания сервитут. За определяне на сервитута на ВЕ110 кV „Каменово“ е съобразена Наредба № 16 от 09.06.2004 г. за сервитутите на енергийните обекти, като за всяко междустълбие е изчислено максималното отклонение от крайните проводници. Изчертан е във формата на ивица с широчина хоризонталното разстояние между крайните проводници при максимално отклонение плюс 6 м. - по 3 м. от двете страни, предвид нормите на Наредба № 16 от 09.06.2004 г. за сервитутите на енергийните обекти. За всеки имоти, засегнат от новото трасе (вкл. Неговия сервитут) се определя засегнатата площ, с цел определяне на обезщетението по чл. 210 от ЗУТ, във връзка с чл. 64 от Закона за енергетиката. Изработени са регистри на координатите на точките на: оста и новите стълбове: на сервитутната линия в ляво от оста на ВЕ 110 кV „Каменово“.</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Видно от представеното Приложение № 3А „Регистър на засегнатите имоти от новото трасе на ВЕ 110 кV „Каменово““, са засегнати имоти общинска публична собственост и собственост на частни лица, в това число и имот № 10803.7.7, с начин на трайно ползване ниви/орна земя, IV категория, с обща площ на имота 1 978 кв.м. и площ за право на преминаване и ограничение за ползване 664 кв.м., площ за отчуждаване (стъпка на стълб) 32 кв.м. - собственост на М. З. А.</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На 05.04.2024 г. кметът на Община В. внася в Общински съвет В. Предложение с вх. № ОбС-ДЗ-71/05.04.2024 г. на Общински съвет В., относно: Одобряване на  Подробен устройствен план (ПУП) – Парцеларен план (ПП) на въздушен електропровод (ВЕ) ВЕ 110 кV „Каменово“, землище В., собственост на „Електроенергиен системен оператор“ ЕАД.</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В Предложението сочи, че с Решение № 684 по Протокол № 73/21.09.2023 г. на Общински съвет В. е одобрено Задание за Подробен устройствен план – Парцеларен план за „Нова част на ВЕ 10 кV „Каменово“, собственост на „Електроенергиен системен оператор“ ЕАД и е разрешено изработването му. Със същото решение е одобрено и трасето на кабелната линия. Проектът за ПУП-ПП е разгледан и приет от Общинския експертен съвет по устройство на територията на Община В. на 03.04.2024 г., като същият предлага на Общински съвет В., на основание чл. 21, ал. 1, т. 11 от ЗМСМА и чл. 129, ал. 1 от ЗУТ, да приеме решение, с което да одобри ПУП-ПП на ВЕ 10 кV „Каменово“, землище В., собственост на „Електроенергиен системен оператор“ ЕАД.</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С Решение № 122 от Протокол № 13/19.04.2024 г. Общински съвет В., на основание чл. 21, ал. 1, т. 11от ЗМСМА и чл. 129, ал. 1 от ЗУТ одобрява проекта на Подробен устройствен план – Парцеларен план за „Нова част на ВЕ 10 кV „Каменово“, собственост на „Електроенергиен системен оператор“ ЕАД.</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Решението е прието със 14 гласа „За“ от общо седемнадесет общински съветници. Видно от поименното гласуване на Решение № 122 от Протокол № 13/19.04.2024 г. на Общински съвет В. общинският съветник Петко Ахмаков е гласувал „За“ приемането му.</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709"/>
          <w:tab w:val="left" w:leader="none" w:pos="3528"/>
        </w:tabs>
        <w:jc w:val="center"/>
        <w:rPr>
          <w:i w:val="0"/>
          <w:iCs w:val="0"/>
          <w:color w:val="000000"/>
          <w:vertAlign w:val="baseline"/>
        </w:rPr>
      </w:pPr>
      <w:r w:rsidDel="00000000" w:rsidR="00000000" w:rsidRPr="00000000">
        <w:rPr>
          <w:i w:val="1"/>
          <w:iCs w:val="1"/>
          <w:color w:val="000000"/>
          <w:vertAlign w:val="baseline"/>
          <w:rtl w:val="0"/>
        </w:rPr>
        <w:t xml:space="preserve">При така установената фактическа обстановка Комисията стигна до следните правни изводи:</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709"/>
          <w:tab w:val="left" w:leader="none" w:pos="3528"/>
        </w:tabs>
        <w:jc w:val="center"/>
        <w:rPr>
          <w:i w:val="0"/>
          <w:iCs w:val="0"/>
          <w:color w:val="000000"/>
          <w:vertAlign w:val="baselin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709"/>
          <w:tab w:val="left" w:leader="none" w:pos="3528"/>
        </w:tabs>
        <w:jc w:val="both"/>
        <w:rPr>
          <w:color w:val="000000"/>
          <w:vertAlign w:val="baseline"/>
        </w:rPr>
      </w:pPr>
      <w:r w:rsidDel="00000000" w:rsidR="00000000" w:rsidRPr="00000000">
        <w:rPr>
          <w:color w:val="000000"/>
          <w:vertAlign w:val="baseline"/>
          <w:rtl w:val="0"/>
        </w:rPr>
        <w:tab/>
        <w:t xml:space="preserve">Сигналът е подаден от лице, идентифицирано по реда на чл. 62, ал. 2 от ЗПК.</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709"/>
          <w:tab w:val="left" w:leader="none" w:pos="3528"/>
        </w:tabs>
        <w:jc w:val="both"/>
        <w:rPr>
          <w:color w:val="000000"/>
          <w:vertAlign w:val="baseline"/>
        </w:rPr>
      </w:pPr>
      <w:r w:rsidDel="00000000" w:rsidR="00000000" w:rsidRPr="00000000">
        <w:rPr>
          <w:color w:val="000000"/>
          <w:vertAlign w:val="baseline"/>
          <w:rtl w:val="0"/>
        </w:rPr>
        <w:tab/>
        <w:t xml:space="preserve">За да е осъществен конфликт на интереси по смисъла </w:t>
      </w:r>
      <w:r w:rsidDel="00000000" w:rsidR="00000000" w:rsidRPr="00000000">
        <w:rPr>
          <w:vertAlign w:val="baseline"/>
          <w:rtl w:val="0"/>
        </w:rPr>
        <w:t xml:space="preserve">на </w:t>
      </w:r>
      <w:r w:rsidDel="00000000" w:rsidR="00000000" w:rsidRPr="00000000">
        <w:rPr>
          <w:color w:val="000000"/>
          <w:vertAlign w:val="baseline"/>
          <w:rtl w:val="0"/>
        </w:rPr>
        <w:t xml:space="preserve">чл. 70 от Закона за противодействие на корупцията (ЗПК), трябва да са налице три кумулативни предпоставки: лице, заемащо висша публична длъжност, респективно публична длъжност, наличие на негов или на свързани с него лица частен интерес, който може да повлияе върху обективното и безпристрастно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709"/>
          <w:tab w:val="left" w:leader="none" w:pos="3528"/>
        </w:tabs>
        <w:jc w:val="both"/>
        <w:rPr>
          <w:color w:val="000000"/>
          <w:vertAlign w:val="baseline"/>
        </w:rPr>
      </w:pPr>
      <w:r w:rsidDel="00000000" w:rsidR="00000000" w:rsidRPr="00000000">
        <w:rPr>
          <w:color w:val="000000"/>
          <w:vertAlign w:val="baseline"/>
          <w:rtl w:val="0"/>
        </w:rPr>
        <w:tab/>
        <w:t xml:space="preserve">Легалните дефиниции на понятията частен интерес и облага се съдържат в чл. 71 и чл. 72 от ЗПК. Частен интерес е всеки интерес, който води до облага от материален или нематериален характер за лицето, заемащо висша публична длъжност или за свързани с него лица, включително всяко поето задължение, т.е. за да е налице частен интерес, следва да има реална възможност за настъпване на облага. Облага е всеки доход в пари или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709"/>
          <w:tab w:val="left" w:leader="none" w:pos="3528"/>
        </w:tabs>
        <w:jc w:val="both"/>
        <w:rPr>
          <w:color w:val="000000"/>
          <w:vertAlign w:val="baseline"/>
        </w:rPr>
      </w:pPr>
      <w:r w:rsidDel="00000000" w:rsidR="00000000" w:rsidRPr="00000000">
        <w:rPr>
          <w:color w:val="000000"/>
          <w:vertAlign w:val="baseline"/>
          <w:rtl w:val="0"/>
        </w:rPr>
        <w:tab/>
        <w:t xml:space="preserve">Петко Ахмаков, в качеството си на общински съветник е лице, заемащо публична длъжност по смисъла на чл. 6, ал. 1, т. 32 от ЗПК.</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color w:val="000000"/>
          <w:vertAlign w:val="baseline"/>
          <w:rtl w:val="0"/>
        </w:rPr>
        <w:tab/>
      </w:r>
      <w:r w:rsidDel="00000000" w:rsidR="00000000" w:rsidRPr="00000000">
        <w:rPr>
          <w:vertAlign w:val="baseline"/>
          <w:rtl w:val="0"/>
        </w:rPr>
        <w:t xml:space="preserve">Определящо за установяването или липсата на конфликт на интереси е наличието на упражнено правомощие по служба в частен интерес - личен или на свързано лице по смисъла на  § 1, т. 9, б. „а“ от ДР на ЗПК, предопределен от възможността за реализиране на материална или нематериална облага, както и възможността този интерес да повлияе върху безпристрастното и обективно изпълнение на правомощията по служба на лицето, заемащо публична длъжност, като тези обстоятелства трябва да бъдат установени по несъмнен начин към момента на извършване на нарушение на разпоредбите на Глава VIII, Раздел II от ЗПК.</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709"/>
          <w:tab w:val="left" w:leader="none" w:pos="3528"/>
        </w:tabs>
        <w:jc w:val="both"/>
        <w:rPr>
          <w:color w:val="000000"/>
          <w:vertAlign w:val="baseline"/>
        </w:rPr>
      </w:pPr>
      <w:r w:rsidDel="00000000" w:rsidR="00000000" w:rsidRPr="00000000">
        <w:rPr>
          <w:color w:val="000000"/>
          <w:sz w:val="28"/>
          <w:szCs w:val="28"/>
          <w:vertAlign w:val="baseline"/>
          <w:rtl w:val="0"/>
        </w:rPr>
        <w:tab/>
      </w:r>
      <w:r w:rsidDel="00000000" w:rsidR="00000000" w:rsidRPr="00000000">
        <w:rPr>
          <w:color w:val="000000"/>
          <w:vertAlign w:val="baseline"/>
          <w:rtl w:val="0"/>
        </w:rPr>
        <w:t xml:space="preserve">Съгласно разпоредбата на § 1, т. 9, б. „а“ от ДР на ЗПК „Свързани лица“ са съпрузите или лицата, които се намират във фактическо съжителство, роднините по права линия, по съребрена линия – до четвърта степен включително и по сватовство – до втора степен включително.</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color w:val="000000"/>
          <w:vertAlign w:val="baseline"/>
          <w:rtl w:val="0"/>
        </w:rPr>
        <w:tab/>
      </w:r>
      <w:r w:rsidDel="00000000" w:rsidR="00000000" w:rsidRPr="00000000">
        <w:rPr>
          <w:vertAlign w:val="baseline"/>
          <w:rtl w:val="0"/>
        </w:rPr>
        <w:t xml:space="preserve">От извършена справка в Регистър НБД „Население“ не се установява Петко Ахмаков да е роднина по права линия, по съребрена линия – до четвърта степен включително, и по сватовство до втора степен включително с Г. Р. С., с М. З. А., нито с В. Р. Ч.,</w:t>
      </w:r>
      <w:r w:rsidDel="00000000" w:rsidR="00000000" w:rsidRPr="00000000">
        <w:rPr>
          <w:color w:val="ff0000"/>
          <w:vertAlign w:val="baseline"/>
          <w:rtl w:val="0"/>
        </w:rPr>
        <w:t xml:space="preserve"> </w:t>
      </w:r>
      <w:r w:rsidDel="00000000" w:rsidR="00000000" w:rsidRPr="00000000">
        <w:rPr>
          <w:vertAlign w:val="baseline"/>
          <w:rtl w:val="0"/>
        </w:rPr>
        <w:t xml:space="preserve">което от своя страна изключва наличието на свързаност по смисъла на § 1, т. 9, б. „а“ от ДР на ЗПК между тях.</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color w:val="000000"/>
          <w:vertAlign w:val="baseline"/>
          <w:rtl w:val="0"/>
        </w:rPr>
        <w:tab/>
      </w:r>
      <w:r w:rsidDel="00000000" w:rsidR="00000000" w:rsidRPr="00000000">
        <w:rPr>
          <w:vertAlign w:val="baseline"/>
          <w:rtl w:val="0"/>
        </w:rPr>
        <w:t xml:space="preserve">В изпълнение на правомощията, произтичащи от разпоредбата на чл. 33, ал. 1, т. 3 от ЗМСМА общинският съветник има право да участва в обсъждането и решаването на всички въпроси от компетентността на съвета.</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Съгласно разпоредбата на чл. 21, ал. 1, т. 11 от ЗМСМА общинският съвет приема решения за създаване и одобряване на устройствени планове и техни изменения за територията на общината или за части от нея при условията и по реда на Закона за устройство на територията.</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Съгласно разпоредбата на чл. 64, ал. 1 от Закона за енергетиката (ЗЕ) при разширение на съществуващи и при изграждане на нови линейни енергийни обекти в полза на лицата, които ще изграждат и експлоатират енергийния обект възникват сервитути. Сервитутите по ЗЕ са: право на преминаване на хора и техника в полза на лицата по ал. 1, право на прокарване на линейни енергийни обекти в полза на лицата по ал. 1 и ограничаване в ползването на засегнатите поземлени имоти. При упражняване на сервитутите титулярят на сервитута придобива право: на прокарване и изграждане на линейни енергийни обекти, негови представители да влизат и да преминават през засегнатите имоти и да извършват дейности в тях, свързани с изграждането и/или експлоатацията на енергийните обекти, включително право на преминаване на техника през засегнатите поземлени имоти във връзка с изграждането и обслужването на въздушни и подземни проводи и наземни съоръжения, да извършва сеч и кастрене в сервитутните ивици на линейните енергийни обекти при условията и по реда, предвиден в нормативните актове, регулиращи съответния вид територия и да извършва сеч в и извън сервитутните ивици при изключителни случаи по смисъла на Закона за горите и по реда на подзаконовите нормативни актове по прилагането му. В засегнатите поземлени имоти не се допускат: извършване на застрояване или засаждане на трайни насаждения в сервитутната ивица, определена в наредбата по ал. 9, с изключение на случаите, когато това е допустимо, при спазване на съответните технически и други изисквания и след писмен договор и прокарване на проводи на други мрежи на техническата инфраструктура, с изключение на случаите, когато това е допустимо с нормативен акт, при спазване на съответните технически и други изисквания и след писмен договор, предвиждащ съответните условия и цена. </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Промяната на собствеността на засегнатия имот и на линейния енергиен обект не прекратява действието на сервитутите по ал. 1. Сервитутите са неделими права; те могат да се упражняват изцяло в полза на лицата по ал. 1 и тежат изцяло върху всяка част от засегнатите имоти и когато имотите бъдат разделени. Сервитутът може да се използва само от лицата по ал. 1 за изграждането и експлоатацията на линейния енергиен обект. Собственикът на засегнатия имот няма право да премества сервитута.</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Съгласно чл. 64, ал. 4 от ЗЕ сервитутите възникват, когато има влязъл в сила подробен устройствен план, с който се определя местоположението и размерите на сервитутните зони на линейния енергиен обект в засегнатите имоти, и титулярят на сервитута изплати или внесе еднократно обезщетение по реда на ал. 6 на разположение на собственика и на носителите на други вещни права върху засегнатия имот.</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Съгласно чл. 64, ал. 6 от ЗЕ определянето на размера и изплащането на обезщетенията за сервитутите на енергийните обекти се извършват по реда на чл. 210 и 211 от Закона за устройство на територията или по взаимно съгласие на страните въз основа на оценка от независим оценител. Обжалването на размера на обезщетението от заинтересованите лица не препятства упражняването на сервитутните права от лицата по ал. 1. За имоти - държавна собственост, дължимото обезщетение по ал. 4, т. 2 се заплаща по сметка на съответната областна администрация. За имоти - общинска собственост, дължимото обезщетение по ал. 4, т. 2 се заплаща по сметка на съответната община.</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Съгласно чл. 68, ал. 1 от ЗЕ когато собственикът, ползвателят или наемателят на имота извърши неразрешено застрояване, заграждение, засаждане или друго нарушение на режима за упражняване на сервитута, титулярят на сервитута има право да сезира компетентните органи с искане за премахване на незаконните строежи за сметка на собственика, ползвателя или наемателя, ако последният не ги отстрани в срока, даден му от титулярят на сервитута.</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Съгласно §1, т. 31 б от ДР на Закона за енергетиката "Линеен енергиен обект" е подземен и/или надземен провод или съвкупност от проводи, включително принадлежащите им трайно прикрепени към земята конструктивни елементи и/или съоръжения, както и водопроводи на хидротехнически съоръжения, предназначени за:</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 xml:space="preserve">а) пренос или разпределение на електрическа и топлинна енергия, природен газ, нефт или нефтопродукти през преносна или разпределителна мрежи;</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 xml:space="preserve">б) производство на електрическа и/или топлинна енергия;</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 xml:space="preserve">в) пренос на добития нефт и природен газ от обект за добив до площадкови енергийни обекти.</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color w:val="ff0000"/>
          <w:vertAlign w:val="baseline"/>
          <w:rtl w:val="0"/>
        </w:rPr>
        <w:tab/>
      </w:r>
      <w:r w:rsidDel="00000000" w:rsidR="00000000" w:rsidRPr="00000000">
        <w:rPr>
          <w:vertAlign w:val="baseline"/>
          <w:rtl w:val="0"/>
        </w:rPr>
        <w:t xml:space="preserve">С Наредба № 16 от 09.06.2024 г. за сервитутите на енергийните обекти</w:t>
      </w:r>
      <w:r w:rsidDel="00000000" w:rsidR="00000000" w:rsidRPr="00000000">
        <w:rPr>
          <w:rFonts w:ascii="Arial" w:cs="Arial" w:eastAsia="Arial" w:hAnsi="Arial"/>
          <w:sz w:val="21"/>
          <w:szCs w:val="21"/>
          <w:highlight w:val="white"/>
          <w:vertAlign w:val="baseline"/>
          <w:rtl w:val="0"/>
        </w:rPr>
        <w:t xml:space="preserve"> </w:t>
      </w:r>
      <w:r w:rsidDel="00000000" w:rsidR="00000000" w:rsidRPr="00000000">
        <w:rPr>
          <w:vertAlign w:val="baseline"/>
          <w:rtl w:val="0"/>
        </w:rPr>
        <w:t xml:space="preserve">се регламентират редът и начинът за определяне на размерите, разположението и специалния режим за упражняване на сервитутите на различните видове енергийни обекти.</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Съгласно чл. 2, ал. 2 от Наредба № 16 за сервитутите на енергийните обекти видът и местоположението на енергийните обекти и на площите на засегнатите поземлени имоти, включени в границите на сервитутните зони, се определят в общите и подробните устройствени планове.</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В хода на производството е установено, че Петко Ахмаков, в качеството си на общински съветник в Общински съвет В. в изпълнение на правомощията си е участвал в проведено заседание на Общински съвет В. на 20.12.2023 г. и е гласувал „ЗА“ приемане на Решение № 37 от Протокол № 6/20.12.2023 г. Общински съвет В., с което на основание чл. 21, ал. 1, т. 11от ЗМСМА и чл. 129, ал. 1 от ЗУТ е одобрен Подробен устройствен план – Парцеларен план на Въздушен електропровод 20 кV „Чукура“ и на ВЕЛ 20 кV „Писанец“, землища на гр. В., Община В., собственост на „Електроразпределение Север“ АД.</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Петко Ахмаков, в качеството си на общински съветник в Общински съвет В. в изпълнение на правомощията си е участвал в проведено заседание на Общински съвет В. на 19.04.2024 г. и е гласувал „ЗА“ приемане и на Решение № 122 от Протокол № 13/19.04.2024 г. на Общински съвет В., с което на основание чл. 21, ал. 1, т. 11от ЗМСМА и чл. 129, ал. 1 от ЗУТ е одобрен проекта на Подробен устройствен план – Парцеларен план за „Нова част на ВЕ 10 кV „Каменово“, собственост на „Електроенергиен системен оператор“ ЕАД.</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709"/>
          <w:tab w:val="left" w:leader="none" w:pos="3528"/>
        </w:tabs>
        <w:jc w:val="both"/>
        <w:rPr>
          <w:color w:val="000000"/>
          <w:vertAlign w:val="baseline"/>
        </w:rPr>
      </w:pPr>
      <w:r w:rsidDel="00000000" w:rsidR="00000000" w:rsidRPr="00000000">
        <w:rPr>
          <w:vertAlign w:val="baseline"/>
          <w:rtl w:val="0"/>
        </w:rPr>
        <w:tab/>
        <w:t xml:space="preserve">С приемането на Решение № 37 от Протокол № 6/20.12.2023 г. и на Решение № 122 от Протокол № 13/19.04.2024 г. на Общински съвет В. за одобряване на подробни устройствени планове на линейни енергийни обекти по смисъла на §1, т. 31б от Допълнителните разпоредби на Закона за енергетиката и след влизането на решенията в сила възниква сервитут по смисъла на чл. 64, ал. 4 от ЗЕ в полза на титуляря, в случая на дружествата „Електроразпределение Север“ АД и „Електроенергиен системен оператор“ ЕАД, като съответно за тях възниква задължението да изплатят или внесат еднократно обезщетение, определено по реда на чл. 64, ал. 6 от ЗЕ </w:t>
      </w:r>
      <w:r w:rsidDel="00000000" w:rsidR="00000000" w:rsidRPr="00000000">
        <w:rPr>
          <w:color w:val="000000"/>
          <w:vertAlign w:val="baseline"/>
          <w:rtl w:val="0"/>
        </w:rPr>
        <w:t xml:space="preserve">на собственика и на носителите на други вещни права върху засегнатия имот, в случая на М. З. А., като един от  собствениците на засегнатите от линейните енергийни обекти имоти.</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709"/>
          <w:tab w:val="left" w:leader="none" w:pos="3528"/>
        </w:tabs>
        <w:jc w:val="both"/>
        <w:rPr>
          <w:color w:val="000000"/>
          <w:vertAlign w:val="baseline"/>
        </w:rPr>
      </w:pPr>
      <w:r w:rsidDel="00000000" w:rsidR="00000000" w:rsidRPr="00000000">
        <w:rPr>
          <w:color w:val="000000"/>
          <w:vertAlign w:val="baseline"/>
          <w:rtl w:val="0"/>
        </w:rPr>
        <w:tab/>
        <w:t xml:space="preserve">Обстоятелството, че между Петко Ахмаков и М. З. А. не е налице свързаност, по смисъла на § 1, т. 9, б „а“ от ДР на ЗПК, изключва наличието на частен интерес на Петко Ахмаков, в качеството му на общински съветник в Общински съвет В. при гласуването на Решение № 37 от Протокол № 6/20.12.2023 г., както и на Решение № 122 от Протокол № 13/19.04.2024 г. на Общински съвет В.</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709"/>
          <w:tab w:val="left" w:leader="none" w:pos="3528"/>
        </w:tabs>
        <w:jc w:val="both"/>
        <w:rPr>
          <w:color w:val="000000"/>
          <w:vertAlign w:val="baseline"/>
        </w:rPr>
      </w:pPr>
      <w:r w:rsidDel="00000000" w:rsidR="00000000" w:rsidRPr="00000000">
        <w:rPr>
          <w:color w:val="000000"/>
          <w:vertAlign w:val="baseline"/>
          <w:rtl w:val="0"/>
        </w:rPr>
        <w:tab/>
        <w:t xml:space="preserve">Също така извън правомощията на Общински съвет В., в частност на общинския съветник  Петко Ахмаков, е определянето на размера на обезщетенията за сервитутите на енергийните обекти. Съгласно разпоредбата на чл. 64, ал. 6 от ЗЕ същите се определят и изплащат по реда на чл. 210 и 211 от Закона за устройство на територията или по взаимно съгласие на страните въз основа на оценка от независим оценител.</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709"/>
          <w:tab w:val="left" w:leader="none" w:pos="3528"/>
        </w:tabs>
        <w:jc w:val="both"/>
        <w:rPr>
          <w:color w:val="000000"/>
          <w:vertAlign w:val="baseline"/>
        </w:rPr>
      </w:pPr>
      <w:r w:rsidDel="00000000" w:rsidR="00000000" w:rsidRPr="00000000">
        <w:rPr>
          <w:color w:val="000000"/>
          <w:vertAlign w:val="baseline"/>
          <w:rtl w:val="0"/>
        </w:rPr>
        <w:tab/>
        <w:t xml:space="preserve">Още повече така възникналите сервитутни права засягат пряко и частично ограничават свободното ползване на засегнатите от тях имоти, с оглед на недопускането на застрояване</w:t>
      </w:r>
      <w:r w:rsidDel="00000000" w:rsidR="00000000" w:rsidRPr="00000000">
        <w:rPr>
          <w:vertAlign w:val="baseline"/>
          <w:rtl w:val="0"/>
        </w:rPr>
        <w:t xml:space="preserve"> </w:t>
      </w:r>
      <w:r w:rsidDel="00000000" w:rsidR="00000000" w:rsidRPr="00000000">
        <w:rPr>
          <w:color w:val="000000"/>
          <w:vertAlign w:val="baseline"/>
          <w:rtl w:val="0"/>
        </w:rPr>
        <w:t xml:space="preserve">или засаждане на трайни насаждения в сервитутната ивица, както и това, че при промяна на собствеността на засегнатите имоти и на линейния енергиен обект не се прекратява действието на сервитута</w:t>
      </w:r>
      <w:r w:rsidDel="00000000" w:rsidR="00000000" w:rsidRPr="00000000">
        <w:rPr>
          <w:vertAlign w:val="baseline"/>
          <w:rtl w:val="0"/>
        </w:rPr>
        <w:t xml:space="preserve"> </w:t>
      </w:r>
      <w:r w:rsidDel="00000000" w:rsidR="00000000" w:rsidRPr="00000000">
        <w:rPr>
          <w:color w:val="000000"/>
          <w:vertAlign w:val="baseline"/>
          <w:rtl w:val="0"/>
        </w:rPr>
        <w:t xml:space="preserve">и същия тежи изцяло върху всяка част от засегнатите имоти и когато имотите бъдат разделени.</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color w:val="000000"/>
          <w:vertAlign w:val="baseline"/>
          <w:rtl w:val="0"/>
        </w:rPr>
        <w:tab/>
      </w:r>
      <w:r w:rsidDel="00000000" w:rsidR="00000000" w:rsidRPr="00000000">
        <w:rPr>
          <w:vertAlign w:val="baseline"/>
          <w:rtl w:val="0"/>
        </w:rPr>
        <w:t xml:space="preserve">Предвид изложеното, се налага извода, че при гласуването на Решение № 37 от Протокол № 6/20.12.2023 г., както и на Решение № 122 от Протокол № 13/19.04.2024 г. на Общински съвет В. от страна на Петко Ахмаков са налице два от елементите на състава на конфликт на интереси по чл. 70 от ЗПК, а именно: лице, заемащо публична длъжност и упражнени от него правомощия по служба. Липсва обаче третият елемент – наличието на частен интерес, който би могъл да повлияе върху безпристрастното и обективно изпълнение на правомощията по служба на лицето, заемащо публична длъжност, в случая Петко Ахмаков, в качеството му на общински съветник в Общински съвет</w:t>
      </w:r>
      <w:r w:rsidDel="00000000" w:rsidR="00000000" w:rsidRPr="00000000">
        <w:rPr>
          <w:color w:val="000000"/>
          <w:vertAlign w:val="baseline"/>
          <w:rtl w:val="0"/>
        </w:rPr>
        <w:t xml:space="preserve"> В.</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color w:val="000000"/>
          <w:vertAlign w:val="baseline"/>
          <w:rtl w:val="0"/>
        </w:rPr>
        <w:tab/>
      </w:r>
      <w:r w:rsidDel="00000000" w:rsidR="00000000" w:rsidRPr="00000000">
        <w:rPr>
          <w:vertAlign w:val="baseline"/>
          <w:rtl w:val="0"/>
        </w:rPr>
        <w:t xml:space="preserve">Липсата на частен интерес на лицето, заемащо публична длъжност при упражняване на правомощията или задълженията му по служба по конкретен повод, изключва наличието на нарушение на разпоредбите на Глава VIII, Раздел II от ЗПК.</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Комисията е направила своите изводи за наличие или липса на конфликт на интереси на база доказателства, събрани по реда на Административнопроцесуалния кодекс, а в случая събраните такива водят до извода за липсата на нарушение на разпоредбите на Глава Осма, Раздел II от ЗПК, съответно до конфликт на интереси, по отношение на Петко Ахмаков, в качеството му на общински съветник в Общински съвет В. и лице заемащо публична длъжност по смисъла на  чл. 6, ал. 1, т. 32 от ЗПК.</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Предвид горното, Комисията за противодействие на корупцията, на основание чл. 92, ал. 1 и ал. 2 от ЗПК и § 7, ал. 2 от ПЗР на ЗПК,</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709"/>
          <w:tab w:val="left" w:leader="none" w:pos="3528"/>
        </w:tabs>
        <w:jc w:val="both"/>
        <w:rPr>
          <w:color w:val="000000"/>
          <w:vertAlign w:val="baseline"/>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709"/>
          <w:tab w:val="left" w:leader="none" w:pos="3528"/>
        </w:tabs>
        <w:jc w:val="center"/>
        <w:rPr>
          <w:b w:val="0"/>
          <w:bCs w:val="0"/>
          <w:color w:val="000000"/>
          <w:vertAlign w:val="baseline"/>
        </w:rPr>
      </w:pPr>
      <w:r w:rsidDel="00000000" w:rsidR="00000000" w:rsidRPr="00000000">
        <w:rPr>
          <w:b w:val="1"/>
          <w:bCs w:val="1"/>
          <w:color w:val="000000"/>
          <w:vertAlign w:val="baseline"/>
          <w:rtl w:val="0"/>
        </w:rPr>
        <w:t xml:space="preserve">РЕШИ:</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709"/>
          <w:tab w:val="left" w:leader="none" w:pos="3528"/>
        </w:tabs>
        <w:jc w:val="center"/>
        <w:rPr>
          <w:b w:val="0"/>
          <w:bCs w:val="0"/>
          <w:color w:val="000000"/>
          <w:vertAlign w:val="baseline"/>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709"/>
          <w:tab w:val="left" w:leader="none" w:pos="3528"/>
        </w:tabs>
        <w:jc w:val="both"/>
        <w:rPr>
          <w:color w:val="000000"/>
          <w:vertAlign w:val="baseline"/>
        </w:rPr>
      </w:pPr>
      <w:r w:rsidDel="00000000" w:rsidR="00000000" w:rsidRPr="00000000">
        <w:rPr>
          <w:b w:val="1"/>
          <w:bCs w:val="1"/>
          <w:color w:val="000000"/>
          <w:vertAlign w:val="baseline"/>
          <w:rtl w:val="0"/>
        </w:rPr>
        <w:tab/>
        <w:t xml:space="preserve">НЕ УСТАНОВЯВА </w:t>
      </w:r>
      <w:r w:rsidDel="00000000" w:rsidR="00000000" w:rsidRPr="00000000">
        <w:rPr>
          <w:color w:val="000000"/>
          <w:vertAlign w:val="baseline"/>
          <w:rtl w:val="0"/>
        </w:rPr>
        <w:t xml:space="preserve">конфликт на интереси по отношение на Петко Ахмаков с ЕГН **********, общински съветник в Общински съвет В. и лице, заемащо публична длъжност по смисъла на чл. 6, ал. 1, т. 32 от ЗПК, за това, че е участвал в гласуването на Решение № 37 от Протокол № 6/20.12.2023 г., както и на Решение № 122 от Протокол № 13/19.04.2024 г. на Общински съвет В., поради липса на частен интерес - негов или на свързано с него лице по смисъла на § 1, т. 9, б. „а“ от ДР на ЗПК.</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709"/>
          <w:tab w:val="left" w:leader="none" w:pos="3528"/>
        </w:tabs>
        <w:jc w:val="both"/>
        <w:rPr>
          <w:color w:val="000000"/>
          <w:vertAlign w:val="baseline"/>
        </w:rPr>
      </w:pPr>
      <w:r w:rsidDel="00000000" w:rsidR="00000000" w:rsidRPr="00000000">
        <w:rPr>
          <w:vertAlign w:val="baseline"/>
          <w:rtl w:val="0"/>
        </w:rPr>
        <w:tab/>
        <w:t xml:space="preserve">Препис от Решението да се изпрати на Окръжна прокуратура – Р., с оглед преценка за реализиране на правомощията ѝ по чл. 94, ал. 2 от ЗПК, съгласно който прокурорът може да подаде протест до съда в едномесечен срок от съобщаването на решението, с което се установява липсата на конфликт на интереси и с оглед правомощията си по надзор за законност на административните актове.</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709"/>
        </w:tabs>
        <w:spacing w:line="276" w:lineRule="auto"/>
        <w:jc w:val="both"/>
        <w:rPr>
          <w:color w:val="000000"/>
          <w:vertAlign w:val="baseline"/>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709"/>
        </w:tabs>
        <w:spacing w:line="276" w:lineRule="auto"/>
        <w:jc w:val="both"/>
        <w:rPr>
          <w:color w:val="000000"/>
          <w:vertAlign w:val="baseline"/>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709"/>
        </w:tabs>
        <w:spacing w:line="276" w:lineRule="auto"/>
        <w:jc w:val="both"/>
        <w:rPr>
          <w:color w:val="000000"/>
          <w:vertAlign w:val="baseline"/>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709"/>
        </w:tabs>
        <w:spacing w:line="276" w:lineRule="auto"/>
        <w:jc w:val="both"/>
        <w:rPr>
          <w:b w:val="0"/>
          <w:bCs w:val="0"/>
          <w:color w:val="000000"/>
          <w:vertAlign w:val="baseline"/>
        </w:rPr>
      </w:pPr>
      <w:r w:rsidDel="00000000" w:rsidR="00000000" w:rsidRPr="00000000">
        <w:rPr>
          <w:b w:val="1"/>
          <w:bCs w:val="1"/>
          <w:color w:val="000000"/>
          <w:vertAlign w:val="baseline"/>
          <w:rtl w:val="0"/>
        </w:rPr>
        <w:tab/>
        <w:t xml:space="preserve">КОМИСИЯ:</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709"/>
        </w:tabs>
        <w:spacing w:line="276"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56">
      <w:pPr>
        <w:spacing w:line="276" w:lineRule="auto"/>
        <w:ind w:left="1416" w:firstLine="720"/>
        <w:rPr>
          <w:b w:val="0"/>
          <w:bCs w:val="0"/>
          <w:vertAlign w:val="baseline"/>
        </w:rPr>
      </w:pPr>
      <w:r w:rsidDel="00000000" w:rsidR="00000000" w:rsidRPr="00000000">
        <w:rPr>
          <w:b w:val="1"/>
          <w:bCs w:val="1"/>
          <w:vertAlign w:val="baseline"/>
          <w:rtl w:val="0"/>
        </w:rPr>
        <w:t xml:space="preserve">ЗА ПРЕДСЕДАТЕЛ:……………………..….…./АНТОН СЛАВЧЕВ/</w:t>
      </w:r>
      <w:r w:rsidDel="00000000" w:rsidR="00000000" w:rsidRPr="00000000">
        <w:rPr>
          <w:rtl w:val="0"/>
        </w:rPr>
      </w:r>
    </w:p>
    <w:p w:rsidR="00000000" w:rsidDel="00000000" w:rsidP="00000000" w:rsidRDefault="00000000" w:rsidRPr="00000000" w14:paraId="00000057">
      <w:pPr>
        <w:spacing w:line="276" w:lineRule="auto"/>
        <w:ind w:left="1416" w:firstLine="720"/>
        <w:rPr>
          <w:b w:val="0"/>
          <w:bCs w:val="0"/>
          <w:vertAlign w:val="baseline"/>
        </w:rPr>
      </w:pPr>
      <w:r w:rsidDel="00000000" w:rsidR="00000000" w:rsidRPr="00000000">
        <w:rPr>
          <w:rtl w:val="0"/>
        </w:rPr>
      </w:r>
    </w:p>
    <w:p w:rsidR="00000000" w:rsidDel="00000000" w:rsidP="00000000" w:rsidRDefault="00000000" w:rsidRPr="00000000" w14:paraId="00000058">
      <w:pPr>
        <w:spacing w:line="276" w:lineRule="auto"/>
        <w:ind w:left="1416" w:firstLine="720"/>
        <w:rPr>
          <w:b w:val="0"/>
          <w:bCs w:val="0"/>
          <w:vertAlign w:val="baseline"/>
        </w:rPr>
      </w:pPr>
      <w:r w:rsidDel="00000000" w:rsidR="00000000" w:rsidRPr="00000000">
        <w:rPr>
          <w:b w:val="1"/>
          <w:bCs w:val="1"/>
          <w:vertAlign w:val="baseline"/>
          <w:rtl w:val="0"/>
        </w:rPr>
        <w:t xml:space="preserve">ЧЛЕН:……………………………………../АНТОАНЕТА ЦОНКОВА/</w:t>
      </w:r>
      <w:r w:rsidDel="00000000" w:rsidR="00000000" w:rsidRPr="00000000">
        <w:rPr>
          <w:rtl w:val="0"/>
        </w:rPr>
      </w:r>
    </w:p>
    <w:p w:rsidR="00000000" w:rsidDel="00000000" w:rsidP="00000000" w:rsidRDefault="00000000" w:rsidRPr="00000000" w14:paraId="00000059">
      <w:pPr>
        <w:tabs>
          <w:tab w:val="left" w:leader="none" w:pos="5400"/>
        </w:tabs>
        <w:spacing w:line="276" w:lineRule="auto"/>
        <w:jc w:val="both"/>
        <w:rPr>
          <w:sz w:val="20"/>
          <w:szCs w:val="20"/>
          <w:u w:val="single"/>
          <w:vertAlign w:val="baseline"/>
        </w:rPr>
      </w:pPr>
      <w:r w:rsidDel="00000000" w:rsidR="00000000" w:rsidRPr="00000000">
        <w:rPr>
          <w:rtl w:val="0"/>
        </w:rPr>
      </w:r>
    </w:p>
    <w:p w:rsidR="00000000" w:rsidDel="00000000" w:rsidP="00000000" w:rsidRDefault="00000000" w:rsidRPr="00000000" w14:paraId="0000005A">
      <w:pPr>
        <w:spacing w:line="276" w:lineRule="auto"/>
        <w:ind w:left="1416" w:firstLine="720"/>
        <w:rPr>
          <w:b w:val="0"/>
          <w:bCs w:val="0"/>
          <w:vertAlign w:val="baseline"/>
        </w:rPr>
      </w:pPr>
      <w:r w:rsidDel="00000000" w:rsidR="00000000" w:rsidRPr="00000000">
        <w:rPr>
          <w:b w:val="1"/>
          <w:bCs w:val="1"/>
          <w:vertAlign w:val="baseline"/>
          <w:rtl w:val="0"/>
        </w:rPr>
        <w:t xml:space="preserve">ЧЛЕН:…………………...…………….................../ПЛАМЕН ЙОЦОВ/</w:t>
      </w:r>
      <w:r w:rsidDel="00000000" w:rsidR="00000000" w:rsidRPr="00000000">
        <w:rPr>
          <w:rtl w:val="0"/>
        </w:rPr>
      </w:r>
    </w:p>
    <w:p w:rsidR="00000000" w:rsidDel="00000000" w:rsidP="00000000" w:rsidRDefault="00000000" w:rsidRPr="00000000" w14:paraId="0000005B">
      <w:pPr>
        <w:tabs>
          <w:tab w:val="left" w:leader="none" w:pos="5400"/>
        </w:tabs>
        <w:spacing w:line="276" w:lineRule="auto"/>
        <w:jc w:val="both"/>
        <w:rPr>
          <w:sz w:val="20"/>
          <w:szCs w:val="20"/>
          <w:u w:val="single"/>
          <w:vertAlign w:val="baseline"/>
        </w:rPr>
      </w:pPr>
      <w:r w:rsidDel="00000000" w:rsidR="00000000" w:rsidRPr="00000000">
        <w:rPr>
          <w:rtl w:val="0"/>
        </w:rPr>
      </w:r>
    </w:p>
    <w:p w:rsidR="00000000" w:rsidDel="00000000" w:rsidP="00000000" w:rsidRDefault="00000000" w:rsidRPr="00000000" w14:paraId="0000005C">
      <w:pPr>
        <w:tabs>
          <w:tab w:val="left" w:leader="none" w:pos="5400"/>
        </w:tabs>
        <w:spacing w:line="276" w:lineRule="auto"/>
        <w:jc w:val="both"/>
        <w:rPr>
          <w:sz w:val="20"/>
          <w:szCs w:val="20"/>
          <w:u w:val="single"/>
          <w:vertAlign w:val="baseline"/>
        </w:rPr>
      </w:pPr>
      <w:r w:rsidDel="00000000" w:rsidR="00000000" w:rsidRPr="00000000">
        <w:rPr>
          <w:rtl w:val="0"/>
        </w:rPr>
      </w:r>
    </w:p>
    <w:p w:rsidR="00000000" w:rsidDel="00000000" w:rsidP="00000000" w:rsidRDefault="00000000" w:rsidRPr="00000000" w14:paraId="0000005D">
      <w:pPr>
        <w:tabs>
          <w:tab w:val="left" w:leader="none" w:pos="5400"/>
        </w:tabs>
        <w:spacing w:line="276" w:lineRule="auto"/>
        <w:jc w:val="both"/>
        <w:rPr>
          <w:sz w:val="20"/>
          <w:szCs w:val="20"/>
          <w:u w:val="single"/>
          <w:vertAlign w:val="baseline"/>
        </w:rPr>
      </w:pPr>
      <w:r w:rsidDel="00000000" w:rsidR="00000000" w:rsidRPr="00000000">
        <w:rPr>
          <w:rtl w:val="0"/>
        </w:rPr>
      </w:r>
    </w:p>
    <w:sectPr>
      <w:headerReference r:id="rId6" w:type="first"/>
      <w:footerReference r:id="rId7" w:type="default"/>
      <w:footerReference r:id="rId8" w:type="first"/>
      <w:pgSz w:h="15840" w:w="12240" w:orient="portrait"/>
      <w:pgMar w:bottom="567" w:top="1134" w:left="1276" w:right="1183"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 w:val="left" w:leader="none" w:pos="1019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tabs>
        <w:tab w:val="right" w:leader="none" w:pos="4153"/>
        <w:tab w:val="right" w:leader="none" w:pos="10206"/>
      </w:tabs>
      <w:jc w:val="right"/>
      <w:rPr>
        <w:sz w:val="20"/>
        <w:szCs w:val="20"/>
        <w:vertAlign w:val="baseline"/>
      </w:rPr>
    </w:pPr>
    <w:r w:rsidDel="00000000" w:rsidR="00000000" w:rsidRPr="00000000">
      <w:rPr>
        <w:sz w:val="20"/>
        <w:szCs w:val="20"/>
        <w:vertAlign w:val="baseline"/>
      </w:rPr>
      <w:fldChar w:fldCharType="begin"/>
      <w:instrText xml:space="preserve">PAGE</w:instrText>
      <w:fldChar w:fldCharType="separate"/>
      <w:fldChar w:fldCharType="end"/>
    </w:r>
    <w:r w:rsidDel="00000000" w:rsidR="00000000" w:rsidRPr="00000000">
      <w:rPr>
        <w:sz w:val="20"/>
        <w:szCs w:val="20"/>
        <w:vertAlign w:val="baseline"/>
        <w:rtl w:val="0"/>
      </w:rPr>
      <w:t xml:space="preserv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u w:val="single"/>
        <w:vertAlign w:val="baseline"/>
      </w:rPr>
    </w:pPr>
    <w:r w:rsidDel="00000000" w:rsidR="00000000" w:rsidRPr="00000000">
      <w:rPr>
        <w:rtl w:val="0"/>
      </w:rPr>
    </w:r>
  </w:p>
  <w:tbl>
    <w:tblPr>
      <w:tblStyle w:val="Table1"/>
      <w:tblW w:w="9924.0" w:type="dxa"/>
      <w:jc w:val="left"/>
      <w:tblInd w:w="-851.0" w:type="dxa"/>
      <w:tblLayout w:type="fixed"/>
      <w:tblLook w:val="0000"/>
    </w:tblPr>
    <w:tblGrid>
      <w:gridCol w:w="1560"/>
      <w:gridCol w:w="8364"/>
      <w:tblGridChange w:id="0">
        <w:tblGrid>
          <w:gridCol w:w="1560"/>
          <w:gridCol w:w="8364"/>
        </w:tblGrid>
      </w:tblGridChange>
    </w:tblGrid>
    <w:tr>
      <w:trPr>
        <w:cantSplit w:val="0"/>
        <w:tblHeader w:val="0"/>
      </w:trPr>
      <w:tc>
        <w:tcPr>
          <w:vAlign w:val="center"/>
        </w:tcPr>
        <w:p w:rsidR="00000000" w:rsidDel="00000000" w:rsidP="00000000" w:rsidRDefault="00000000" w:rsidRPr="00000000" w14:paraId="0000005F">
          <w:pPr>
            <w:tabs>
              <w:tab w:val="center" w:leader="none" w:pos="4153"/>
              <w:tab w:val="right" w:leader="none" w:pos="8306"/>
            </w:tabs>
            <w:spacing w:after="20" w:before="20" w:lineRule="auto"/>
            <w:ind w:left="-250" w:firstLine="108"/>
            <w:jc w:val="center"/>
            <w:rPr>
              <w:b w:val="0"/>
              <w:bCs w:val="0"/>
              <w:vertAlign w:val="baseline"/>
            </w:rPr>
          </w:pPr>
          <w:r w:rsidDel="00000000" w:rsidR="00000000" w:rsidRPr="00000000">
            <w:rPr>
              <w:rtl w:val="0"/>
            </w:rPr>
          </w:r>
        </w:p>
      </w:tc>
      <w:tc>
        <w:tcPr>
          <w:vAlign w:val="center"/>
        </w:tcPr>
        <w:p w:rsidR="00000000" w:rsidDel="00000000" w:rsidP="00000000" w:rsidRDefault="00000000" w:rsidRPr="00000000" w14:paraId="00000060">
          <w:pP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61">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w:t>
          </w:r>
          <w:r w:rsidDel="00000000" w:rsidR="00000000" w:rsidRPr="00000000">
            <w:rPr>
              <w:rtl w:val="0"/>
            </w:rPr>
          </w:r>
        </w:p>
        <w:p w:rsidR="00000000" w:rsidDel="00000000" w:rsidP="00000000" w:rsidRDefault="00000000" w:rsidRPr="00000000" w14:paraId="00000062">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Р У П Ц И Я Т А   </w:t>
          </w:r>
          <w:r w:rsidDel="00000000" w:rsidR="00000000" w:rsidRPr="00000000">
            <w:rPr>
              <w:rtl w:val="0"/>
            </w:rPr>
          </w:r>
        </w:p>
        <w:p w:rsidR="00000000" w:rsidDel="00000000" w:rsidP="00000000" w:rsidRDefault="00000000" w:rsidRPr="00000000" w14:paraId="00000063">
          <w:pPr>
            <w:tabs>
              <w:tab w:val="center" w:leader="none" w:pos="4153"/>
              <w:tab w:val="right" w:leader="none" w:pos="8306"/>
            </w:tabs>
            <w:jc w:val="center"/>
            <w:rPr>
              <w:b w:val="0"/>
              <w:bCs w:val="0"/>
              <w:u w:val="single"/>
              <w:vertAlign w:val="baseline"/>
            </w:rPr>
          </w:pPr>
          <w:r w:rsidDel="00000000" w:rsidR="00000000" w:rsidRPr="00000000">
            <w:rPr>
              <w:b w:val="1"/>
              <w:bCs w:val="1"/>
              <w:i w:val="1"/>
              <w:iCs w:val="1"/>
              <w:sz w:val="20"/>
              <w:szCs w:val="20"/>
              <w:vertAlign w:val="baseline"/>
              <w:rtl w:val="0"/>
            </w:rPr>
            <w:t xml:space="preserve">София 1000, пл. "Света Неделя" №6,  тел: (+359 2)   9401 444, факс: (+359 2) 9401 595</w:t>
          </w:r>
          <w:r w:rsidDel="00000000" w:rsidR="00000000" w:rsidRPr="00000000">
            <w:rPr>
              <w:rtl w:val="0"/>
            </w:rPr>
          </w:r>
        </w:p>
      </w:tc>
    </w:tr>
  </w:tb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