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99.0" w:type="dxa"/>
        <w:jc w:val="left"/>
        <w:tblInd w:w="-108.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02">
            <w:pPr>
              <w:tabs>
                <w:tab w:val="center" w:leader="none" w:pos="4153"/>
                <w:tab w:val="right" w:leader="none" w:pos="8306"/>
              </w:tabs>
              <w:spacing w:after="20" w:before="20" w:lineRule="auto"/>
              <w:ind w:left="-142" w:firstLine="0"/>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tabs>
                <w:tab w:val="center" w:leader="none" w:pos="4153"/>
                <w:tab w:val="right" w:leader="none" w:pos="8306"/>
              </w:tabs>
              <w:spacing w:after="20" w:before="20" w:lineRule="auto"/>
              <w:ind w:firstLine="0"/>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04">
            <w:pPr>
              <w:pBdr>
                <w:bottom w:color="000000" w:space="1" w:sz="6" w:val="single"/>
              </w:pBdr>
              <w:tabs>
                <w:tab w:val="center" w:leader="none" w:pos="4153"/>
                <w:tab w:val="right" w:leader="none" w:pos="8306"/>
              </w:tabs>
              <w:spacing w:after="20" w:before="20" w:lineRule="auto"/>
              <w:ind w:firstLine="0"/>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05">
            <w:pPr>
              <w:pBdr>
                <w:bottom w:color="000000" w:space="1" w:sz="6" w:val="single"/>
              </w:pBdr>
              <w:tabs>
                <w:tab w:val="center" w:leader="none" w:pos="4153"/>
                <w:tab w:val="right" w:leader="none" w:pos="8306"/>
              </w:tabs>
              <w:spacing w:after="20" w:before="20" w:lineRule="auto"/>
              <w:ind w:firstLine="0"/>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06">
            <w:pPr>
              <w:tabs>
                <w:tab w:val="center" w:leader="none" w:pos="4153"/>
                <w:tab w:val="right" w:leader="none" w:pos="8306"/>
              </w:tabs>
              <w:ind w:firstLine="0"/>
              <w:jc w:val="center"/>
              <w:rPr>
                <w:b w:val="0"/>
                <w:bCs w:val="0"/>
                <w:u w:val="single"/>
                <w:vertAlign w:val="baseline"/>
              </w:rPr>
            </w:pPr>
            <w:r w:rsidDel="00000000" w:rsidR="00000000" w:rsidRPr="00000000">
              <w:rPr>
                <w:b w:val="1"/>
                <w:bCs w:val="1"/>
                <w:i w:val="1"/>
                <w:iCs w:val="1"/>
                <w:sz w:val="16"/>
                <w:szCs w:val="16"/>
                <w:vertAlign w:val="baseline"/>
                <w:rtl w:val="0"/>
              </w:rPr>
              <w:t xml:space="preserve">София 1000, пл. "Света Неделя" №6,  тел: (+359 2)   9401 444, факс: (+359 2) 9401 595</w:t>
            </w:r>
            <w:r w:rsidDel="00000000" w:rsidR="00000000" w:rsidRPr="00000000">
              <w:rPr>
                <w:rtl w:val="0"/>
              </w:rPr>
            </w:r>
          </w:p>
        </w:tc>
      </w:tr>
    </w:tbl>
    <w:p w:rsidR="00000000" w:rsidDel="00000000" w:rsidP="00000000" w:rsidRDefault="00000000" w:rsidRPr="00000000" w14:paraId="00000007">
      <w:pPr>
        <w:widowControl w:val="0"/>
        <w:ind w:firstLine="0"/>
        <w:jc w:val="center"/>
        <w:rPr>
          <w:b w:val="0"/>
          <w:bCs w:val="0"/>
          <w:vertAlign w:val="baseline"/>
        </w:rPr>
      </w:pPr>
      <w:r w:rsidDel="00000000" w:rsidR="00000000" w:rsidRPr="00000000">
        <w:rPr>
          <w:rtl w:val="0"/>
        </w:rPr>
      </w:r>
    </w:p>
    <w:p w:rsidR="00000000" w:rsidDel="00000000" w:rsidP="00000000" w:rsidRDefault="00000000" w:rsidRPr="00000000" w14:paraId="00000008">
      <w:pPr>
        <w:widowControl w:val="0"/>
        <w:ind w:firstLine="0"/>
        <w:jc w:val="center"/>
        <w:rPr>
          <w:b w:val="0"/>
          <w:bCs w:val="0"/>
          <w:vertAlign w:val="baseline"/>
        </w:rPr>
      </w:pPr>
      <w:r w:rsidDel="00000000" w:rsidR="00000000" w:rsidRPr="00000000">
        <w:rPr>
          <w:b w:val="1"/>
          <w:bCs w:val="1"/>
          <w:vertAlign w:val="baseline"/>
          <w:rtl w:val="0"/>
        </w:rPr>
        <w:t xml:space="preserve">Р Е Ш Е Н И Е  </w:t>
      </w:r>
      <w:r w:rsidDel="00000000" w:rsidR="00000000" w:rsidRPr="00000000">
        <w:rPr>
          <w:rtl w:val="0"/>
        </w:rPr>
      </w:r>
    </w:p>
    <w:p w:rsidR="00000000" w:rsidDel="00000000" w:rsidP="00000000" w:rsidRDefault="00000000" w:rsidRPr="00000000" w14:paraId="00000009">
      <w:pPr>
        <w:widowControl w:val="0"/>
        <w:ind w:firstLine="0"/>
        <w:jc w:val="center"/>
        <w:rPr>
          <w:b w:val="0"/>
          <w:bCs w:val="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РС-297-23-077</w:t>
      </w:r>
      <w:r w:rsidDel="00000000" w:rsidR="00000000" w:rsidRPr="00000000">
        <w:rPr>
          <w:rtl w:val="0"/>
        </w:rPr>
      </w:r>
    </w:p>
    <w:p w:rsidR="00000000" w:rsidDel="00000000" w:rsidP="00000000" w:rsidRDefault="00000000" w:rsidRPr="00000000" w14:paraId="0000000A">
      <w:pPr>
        <w:widowControl w:val="0"/>
        <w:jc w:val="center"/>
        <w:rPr>
          <w:b w:val="0"/>
          <w:bCs w:val="0"/>
          <w:vertAlign w:val="baseline"/>
        </w:rPr>
      </w:pPr>
      <w:r w:rsidDel="00000000" w:rsidR="00000000" w:rsidRPr="00000000">
        <w:rPr>
          <w:rtl w:val="0"/>
        </w:rPr>
      </w:r>
    </w:p>
    <w:p w:rsidR="00000000" w:rsidDel="00000000" w:rsidP="00000000" w:rsidRDefault="00000000" w:rsidRPr="00000000" w14:paraId="0000000B">
      <w:pPr>
        <w:rPr>
          <w:u w:val="single"/>
          <w:vertAlign w:val="baseline"/>
        </w:rPr>
      </w:pPr>
      <w:r w:rsidDel="00000000" w:rsidR="00000000" w:rsidRPr="00000000">
        <w:rPr>
          <w:vertAlign w:val="baseline"/>
          <w:rtl w:val="0"/>
        </w:rPr>
        <w:t xml:space="preserve">Днес, 20.09.2023 г.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C">
      <w:pPr>
        <w:rPr>
          <w:b w:val="0"/>
          <w:bCs w:val="0"/>
          <w:vertAlign w:val="baseline"/>
        </w:rPr>
      </w:pPr>
      <w:r w:rsidDel="00000000" w:rsidR="00000000" w:rsidRPr="00000000">
        <w:rPr>
          <w:rtl w:val="0"/>
        </w:rPr>
      </w:r>
    </w:p>
    <w:p w:rsidR="00000000" w:rsidDel="00000000" w:rsidP="00000000" w:rsidRDefault="00000000" w:rsidRPr="00000000" w14:paraId="0000000D">
      <w:pPr>
        <w:rPr>
          <w:b w:val="0"/>
          <w:bCs w:val="0"/>
          <w:vertAlign w:val="baseline"/>
        </w:rPr>
      </w:pPr>
      <w:r w:rsidDel="00000000" w:rsidR="00000000" w:rsidRPr="00000000">
        <w:rPr>
          <w:b w:val="1"/>
          <w:bCs w:val="1"/>
          <w:vertAlign w:val="baseline"/>
          <w:rtl w:val="0"/>
        </w:rPr>
        <w:t xml:space="preserve">Заместник - председател: Антон Славчев</w:t>
      </w:r>
      <w:r w:rsidDel="00000000" w:rsidR="00000000" w:rsidRPr="00000000">
        <w:rPr>
          <w:rtl w:val="0"/>
        </w:rPr>
      </w:r>
    </w:p>
    <w:p w:rsidR="00000000" w:rsidDel="00000000" w:rsidP="00000000" w:rsidRDefault="00000000" w:rsidRPr="00000000" w14:paraId="0000000E">
      <w:pPr>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F">
      <w:pPr>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10">
      <w:pPr>
        <w:rPr>
          <w:b w:val="0"/>
          <w:bCs w:val="0"/>
          <w:u w:val="single"/>
          <w:vertAlign w:val="baseline"/>
        </w:rPr>
      </w:pPr>
      <w:r w:rsidDel="00000000" w:rsidR="00000000" w:rsidRPr="00000000">
        <w:rPr>
          <w:b w:val="1"/>
          <w:bCs w:val="1"/>
          <w:vertAlign w:val="baseline"/>
          <w:rtl w:val="0"/>
        </w:rPr>
        <w:t xml:space="preserve">Член: Силвия Къдрева</w:t>
      </w: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13">
      <w:pPr>
        <w:jc w:val="center"/>
        <w:rPr>
          <w:b w:val="0"/>
          <w:bCs w:val="0"/>
          <w:vertAlign w:val="baseline"/>
        </w:rPr>
      </w:pPr>
      <w:r w:rsidDel="00000000" w:rsidR="00000000" w:rsidRPr="00000000">
        <w:rPr>
          <w:rtl w:val="0"/>
        </w:rPr>
      </w:r>
    </w:p>
    <w:p w:rsidR="00000000" w:rsidDel="00000000" w:rsidP="00000000" w:rsidRDefault="00000000" w:rsidRPr="00000000" w14:paraId="00000014">
      <w:pPr>
        <w:tabs>
          <w:tab w:val="left" w:leader="none" w:pos="-142"/>
          <w:tab w:val="left" w:leader="none" w:pos="709"/>
        </w:tabs>
        <w:rPr>
          <w:vertAlign w:val="baseline"/>
        </w:rPr>
      </w:pPr>
      <w:r w:rsidDel="00000000" w:rsidR="00000000" w:rsidRPr="00000000">
        <w:rPr>
          <w:vertAlign w:val="baseline"/>
          <w:rtl w:val="0"/>
        </w:rPr>
        <w:t xml:space="preserve">Производството е по реда на чл. 71, ал. 1, пр. 1 от Закона за противодействие на корупцията и за отнемане на незаконно придобитото имущество (ЗПКОНПИ) и е образувано въз основа на Решение за образуване на производство за конфликт на интереси № КИ-109 от 07.06.2023 г. на Комисията за противодействие на корупцията и за отнемане на незаконно придобитото имущество (КПКОНПИ) по сигнал с рег. № ЦУ01/С-297/17.05.2023 година.</w:t>
      </w:r>
    </w:p>
    <w:p w:rsidR="00000000" w:rsidDel="00000000" w:rsidP="00000000" w:rsidRDefault="00000000" w:rsidRPr="00000000" w14:paraId="00000015">
      <w:pPr>
        <w:tabs>
          <w:tab w:val="left" w:leader="none" w:pos="426"/>
        </w:tabs>
        <w:rPr>
          <w:color w:val="000000"/>
          <w:vertAlign w:val="baseline"/>
        </w:rPr>
      </w:pPr>
      <w:r w:rsidDel="00000000" w:rsidR="00000000" w:rsidRPr="00000000">
        <w:rPr>
          <w:color w:val="000000"/>
          <w:vertAlign w:val="baseline"/>
          <w:rtl w:val="0"/>
        </w:rPr>
        <w:t xml:space="preserve">Производството е срещу Георги Тахов – изпълнителен директор на Държавен фонд „Земеделие“ – Разплащателна агенция (ДФЗ – РА). </w:t>
      </w:r>
    </w:p>
    <w:p w:rsidR="00000000" w:rsidDel="00000000" w:rsidP="00000000" w:rsidRDefault="00000000" w:rsidRPr="00000000" w14:paraId="00000016">
      <w:pPr>
        <w:tabs>
          <w:tab w:val="left" w:leader="none" w:pos="426"/>
        </w:tabs>
        <w:rPr>
          <w:color w:val="000000"/>
          <w:vertAlign w:val="baseline"/>
        </w:rPr>
      </w:pPr>
      <w:r w:rsidDel="00000000" w:rsidR="00000000" w:rsidRPr="00000000">
        <w:rPr>
          <w:color w:val="000000"/>
          <w:vertAlign w:val="baseline"/>
          <w:rtl w:val="0"/>
        </w:rPr>
        <w:t xml:space="preserve">В сигнала се съдържат твърдения за това, че при участието си в телевизионно предаване бившият изпълнителен директор на ДФЗ – Н. К., е поставил въпроса за умишлена щета по бюджета на фонда при безпричинно прекратяване на действащ договор за наем и сключване на нов такъв за сградата, в която се помещава Областна дирекция (ОД) на ДФЗ – П., като по-конкретно в предаването е посочена сума в размер над 500 000 евро, представляваща вреда. В допълнение към подадения сигнал чрез официалната електронна поща на КПКОНПИ е постъпила допълнителна информация, в която е уточнено, че видно от Протокол № 199 от 13.09.2022 г. Управителният съвет на ДФЗ – РА е взел решение, с което се възлага на изпълнителния директор да предприеме всички необходими действия по сключване на договор за наем със срок до 2030 г. с фирма „***“ ООД, представлявана от В. В. Ш. за наемане на общо 2146,04 кв. м. в сграда, находяща се на ул. „Ц. Б. III О.“ № 20а, за нуждите на ОД на ДФЗ – П.“. Изложени са твърдения, че съгласно изнесена и в медиите информация на 3 август 2022 г. административната сграда, в която се помещава ОД на ДФЗ – П. е продадена на фирма „***“ ООД, а предходният собственик променя управлението си и капиталът минава единствено в ръцете на акционерното дружество – „***“ АД с действителен собственик Я.Г.. Горните обстоятелства биха могли да сочат за умишлени действия и при наличие на конфликт на интереси да е нанесена щета на фонда. Още повече, че фирмата „***“ ООД е основана на 01.07.2022 г., т.е. това е новосъздадена фирма, с която ДФЗ сключва договор за наем за непосредствено придобита от нея сграда. </w:t>
      </w:r>
    </w:p>
    <w:p w:rsidR="00000000" w:rsidDel="00000000" w:rsidP="00000000" w:rsidRDefault="00000000" w:rsidRPr="00000000" w14:paraId="00000017">
      <w:pPr>
        <w:tabs>
          <w:tab w:val="left" w:leader="none" w:pos="426"/>
        </w:tabs>
        <w:rPr>
          <w:vertAlign w:val="baseline"/>
        </w:rPr>
      </w:pPr>
      <w:r w:rsidDel="00000000" w:rsidR="00000000" w:rsidRPr="00000000">
        <w:rPr>
          <w:vertAlign w:val="baseline"/>
          <w:rtl w:val="0"/>
        </w:rPr>
        <w:t xml:space="preserve">Във връзка с твърденията в сигнала Комисията е изискала и с писмо с вх. № ЦУ01-4174#1/03.07.2023 г. на КПКОНПИ е получила от ръководителя на Инспектората към Министерство на земеделието и храните следните доказателства:</w:t>
      </w:r>
    </w:p>
    <w:p w:rsidR="00000000" w:rsidDel="00000000" w:rsidP="00000000" w:rsidRDefault="00000000" w:rsidRPr="00000000" w14:paraId="00000018">
      <w:pPr>
        <w:rPr>
          <w:vertAlign w:val="baseline"/>
        </w:rPr>
      </w:pPr>
      <w:r w:rsidDel="00000000" w:rsidR="00000000" w:rsidRPr="00000000">
        <w:rPr>
          <w:vertAlign w:val="baseline"/>
          <w:rtl w:val="0"/>
        </w:rPr>
        <w:t xml:space="preserve">- за служебното качество на Георги Тахов, включващи Доклад № 03-503/18.08.2022 г. на министъра на земеделието и храните до министър –председателя на Република България за освобождаване на изпълнителния директор на ДФЗ и назначаване на нов изпълнителен директор; Споразумение № РД-15-331/19.08.2022 г. за назначаване на Георги Тахов за изпълнителен директор на ДФЗ; Уведомление до министъра на земеделието от Георги Тахов за свързано лице; Протокол № 197 /19.08.2022 г. на УС на ДФЗ за избор на нов изпълнителен директор на фонда;</w:t>
      </w:r>
    </w:p>
    <w:p w:rsidR="00000000" w:rsidDel="00000000" w:rsidP="00000000" w:rsidRDefault="00000000" w:rsidRPr="00000000" w14:paraId="00000019">
      <w:pPr>
        <w:rPr>
          <w:vertAlign w:val="baseline"/>
        </w:rPr>
      </w:pPr>
      <w:r w:rsidDel="00000000" w:rsidR="00000000" w:rsidRPr="00000000">
        <w:rPr>
          <w:vertAlign w:val="baseline"/>
          <w:rtl w:val="0"/>
        </w:rPr>
        <w:t xml:space="preserve">- Протокол № 199/13.09.2022 г. от заседание на УС на ДФЗ, на което е взето решение за наемането на помещение за нуждите на Областна дирекция на ДФЗ гр. П.; договор за наем с изх. № 01-2600/5799 от 05.10.2022 г. на ДФЗ; Одитен доклад 23 ОА ID „Наемане на офис помещение за нуждите на Областна дирекция на ДФ „Земеделие“ гр. П.“ от дирекция „Вътрешен одит“, ДФ „Земеделие“ – Разплащателна агенция; Докладна записка с изх. № 02-6500/1085 от 24.04.2023 г. на ДФЗ от ръководител на Инспекторат към ДФЗ до изпълнителния директор на ДФЗ относно извършена проверка от Инспектората на ДФЗ по повод сигнал с вх. № 02-6500/1085 от 08.03.2023 г. и вх. № 02-6500/1085#1 от 09.03.2023 г.; Одитен доклад на Сметна палата № 0400102123 за извършен финансов одит на годишния финансов отчет на ДФЗ за 2022 г. </w:t>
      </w:r>
    </w:p>
    <w:p w:rsidR="00000000" w:rsidDel="00000000" w:rsidP="00000000" w:rsidRDefault="00000000" w:rsidRPr="00000000" w14:paraId="0000001A">
      <w:pPr>
        <w:rPr>
          <w:color w:val="000000"/>
          <w:vertAlign w:val="baseline"/>
        </w:rPr>
      </w:pPr>
      <w:r w:rsidDel="00000000" w:rsidR="00000000" w:rsidRPr="00000000">
        <w:rPr>
          <w:vertAlign w:val="baseline"/>
          <w:rtl w:val="0"/>
        </w:rPr>
        <w:t xml:space="preserve">Служебно са направени справки в Търговски регистър и регистър на юридическите лица с нестопанска цел (ТРРЮЛНЦ), регистър БУЛСТАТ, Сиела, </w:t>
      </w:r>
      <w:r w:rsidDel="00000000" w:rsidR="00000000" w:rsidRPr="00000000">
        <w:rPr>
          <w:color w:val="000000"/>
          <w:vertAlign w:val="baseline"/>
          <w:rtl w:val="0"/>
        </w:rPr>
        <w:t xml:space="preserve">НБД „Население“. </w:t>
      </w:r>
    </w:p>
    <w:p w:rsidR="00000000" w:rsidDel="00000000" w:rsidP="00000000" w:rsidRDefault="00000000" w:rsidRPr="00000000" w14:paraId="0000001B">
      <w:pPr>
        <w:rPr>
          <w:i w:val="0"/>
          <w:iCs w:val="0"/>
          <w:color w:val="ff0000"/>
          <w:vertAlign w:val="baseline"/>
        </w:rPr>
      </w:pPr>
      <w:r w:rsidDel="00000000" w:rsidR="00000000" w:rsidRPr="00000000">
        <w:rPr>
          <w:rtl w:val="0"/>
        </w:rPr>
      </w:r>
    </w:p>
    <w:p w:rsidR="00000000" w:rsidDel="00000000" w:rsidP="00000000" w:rsidRDefault="00000000" w:rsidRPr="00000000" w14:paraId="0000001C">
      <w:pPr>
        <w:rPr>
          <w:i w:val="0"/>
          <w:iCs w:val="0"/>
          <w:color w:val="000000"/>
          <w:vertAlign w:val="baseline"/>
        </w:rPr>
      </w:pPr>
      <w:r w:rsidDel="00000000" w:rsidR="00000000" w:rsidRPr="00000000">
        <w:rPr>
          <w:i w:val="1"/>
          <w:iCs w:val="1"/>
          <w:color w:val="000000"/>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D">
      <w:pPr>
        <w:rPr>
          <w:i w:val="0"/>
          <w:iCs w:val="0"/>
          <w:color w:val="000000"/>
          <w:vertAlign w:val="baseline"/>
        </w:rPr>
      </w:pPr>
      <w:r w:rsidDel="00000000" w:rsidR="00000000" w:rsidRPr="00000000">
        <w:rPr>
          <w:rtl w:val="0"/>
        </w:rPr>
      </w:r>
    </w:p>
    <w:p w:rsidR="00000000" w:rsidDel="00000000" w:rsidP="00000000" w:rsidRDefault="00000000" w:rsidRPr="00000000" w14:paraId="0000001E">
      <w:pPr>
        <w:tabs>
          <w:tab w:val="left" w:leader="none" w:pos="426"/>
        </w:tabs>
        <w:ind w:right="-3"/>
        <w:rPr>
          <w:color w:val="000000"/>
          <w:vertAlign w:val="baseline"/>
        </w:rPr>
      </w:pPr>
      <w:r w:rsidDel="00000000" w:rsidR="00000000" w:rsidRPr="00000000">
        <w:rPr>
          <w:vertAlign w:val="baseline"/>
          <w:rtl w:val="0"/>
        </w:rPr>
        <w:t xml:space="preserve">Сигналът е подаден от лице, идентифицирано съгласно чл. 48 от ЗПКОНПИ. </w:t>
      </w:r>
      <w:r w:rsidDel="00000000" w:rsidR="00000000" w:rsidRPr="00000000">
        <w:rPr>
          <w:rtl w:val="0"/>
        </w:rPr>
      </w:r>
    </w:p>
    <w:p w:rsidR="00000000" w:rsidDel="00000000" w:rsidP="00000000" w:rsidRDefault="00000000" w:rsidRPr="00000000" w14:paraId="0000001F">
      <w:pPr>
        <w:rPr>
          <w:color w:val="000000"/>
          <w:vertAlign w:val="baseline"/>
        </w:rPr>
      </w:pPr>
      <w:r w:rsidDel="00000000" w:rsidR="00000000" w:rsidRPr="00000000">
        <w:rPr>
          <w:color w:val="000000"/>
          <w:vertAlign w:val="baseline"/>
          <w:rtl w:val="0"/>
        </w:rPr>
        <w:t xml:space="preserve">На заседание на Управителния съвет на Държавен фонд „Земеделие“, състояло се на 19.08.2022 г., обективирано в Протокол № 197, по предложение на министъра на земеделието е взето решение за освобождаването от длъжност на тогавашния изпълнителен директор на ДФ“Земеделие“ г-н Н. К. и за назначаването на нов – г-н Георги Тахов. Съгласно взетото решение, от същата дата между министъра на земеделието и председател на Управителния съвет на ДФЗ Я.Г. и Георги Тахов е подписано споразумение № РД-15-331 за възникналото трудово правоотношение, уреждащо размера на основното месечно възнаграждение и продължителността на работното време за длъжността „изпълнителен директор на ДФЗ“. Тахов е вписан в регистър БУЛСТАТ като изпълнителен директор на ДФЗ от 22.08.2022 г. </w:t>
      </w:r>
    </w:p>
    <w:p w:rsidR="00000000" w:rsidDel="00000000" w:rsidP="00000000" w:rsidRDefault="00000000" w:rsidRPr="00000000" w14:paraId="00000020">
      <w:pPr>
        <w:rPr>
          <w:color w:val="000000"/>
          <w:vertAlign w:val="baseline"/>
        </w:rPr>
      </w:pPr>
      <w:r w:rsidDel="00000000" w:rsidR="00000000" w:rsidRPr="00000000">
        <w:rPr>
          <w:color w:val="000000"/>
          <w:vertAlign w:val="baseline"/>
          <w:rtl w:val="0"/>
        </w:rPr>
        <w:t xml:space="preserve">На заседание на Управителния съвет на Държавен фонд „Земеделие“, състояло се на 13.09.2022 г., обективирано в Протокол № 199 присъства изпълнителният директор на ДФЗ Георги Тахов като член на УС. По негово предложение е прието решение за възлагане на изпълнителния директор на ДФЗ да предприеме всички необходими действия по сключване на договор за наем със срок до 2030 г. с фирма „***“ ООД, представлявана от В. В. Ш. за наемането на общо 2146, 04 кв. м. в сграда, находяща се на ул. „Ц. Б. ІІІ О.“ № 20А за нуждите на Областна дирекция на ДФЗ гр. П., както и да сключи договори за осигуряване функционирането на климатично- вентилационна, пожаро- известителна, пожаро- гасителна системи и охрана на сградата. </w:t>
      </w:r>
    </w:p>
    <w:p w:rsidR="00000000" w:rsidDel="00000000" w:rsidP="00000000" w:rsidRDefault="00000000" w:rsidRPr="00000000" w14:paraId="00000021">
      <w:pPr>
        <w:rPr>
          <w:color w:val="000000"/>
          <w:vertAlign w:val="baseline"/>
        </w:rPr>
      </w:pPr>
      <w:r w:rsidDel="00000000" w:rsidR="00000000" w:rsidRPr="00000000">
        <w:rPr>
          <w:color w:val="000000"/>
          <w:vertAlign w:val="baseline"/>
          <w:rtl w:val="0"/>
        </w:rPr>
        <w:t xml:space="preserve">В изпълнение на взетото решение на 05.10.2022 г. Георги Тахов като изпълнителен директор на ДФЗ сключва договор за наем с изх. № 01-2600/ 5799 от 05.10.2022 г. на ДФЗ с „***“ ООД, представлявано от В. В. Ш.. Договорът е нотариално заварен със заверка от същата дата.</w:t>
      </w:r>
    </w:p>
    <w:p w:rsidR="00000000" w:rsidDel="00000000" w:rsidP="00000000" w:rsidRDefault="00000000" w:rsidRPr="00000000" w14:paraId="00000022">
      <w:pPr>
        <w:ind w:firstLine="0"/>
        <w:rPr>
          <w:color w:val="000000"/>
          <w:vertAlign w:val="baseline"/>
        </w:rPr>
      </w:pPr>
      <w:r w:rsidDel="00000000" w:rsidR="00000000" w:rsidRPr="00000000">
        <w:rPr>
          <w:vertAlign w:val="baseline"/>
          <w:rtl w:val="0"/>
        </w:rPr>
        <w:t xml:space="preserve">            От Докладна записка с изх. № 02-6500/1085 от 24.04.2023 г. на ДФЗ, изготвена от инспектор в Инспектората към ДФЗ до изпълнителния директор на ДФЗ е видно, че същата касае извършена проверка от Инспектората по повод сигнал с вх. № 02-6500/1085 от 08.03.2023 г. на министерство на земеделието и препратен на ДФЗ с вх. № 02-6500/1085#1 от 09.03.2023г. Част от твърденията в сигнала са за „умишлена щета за Фонда …при прекратяването на действащ договор за наем и сключването на нов за сградата, в която се помещава ОД на ДФЗ гр. П., …като се сочи цифрата от над 500 000 евро представляваща вреда, ….както и липсата от проверка по случая от звено Инспекторат“. В изготвената докладна записка звено Инспекторат посочва, че ДФ „Земеделие“ е имал сключен договор за наем от 28.02.2020 г. с дружеството „***“ ООД, ЕИК: *** с представляващ Х. Д. Р. Към дата 03.08.2022 г. дружеството от дружество с ограничена отговорност (ООД) преминава в еднолично такова (ЕООД) </w:t>
      </w:r>
      <w:r w:rsidDel="00000000" w:rsidR="00000000" w:rsidRPr="00000000">
        <w:rPr>
          <w:color w:val="000000"/>
          <w:vertAlign w:val="baseline"/>
          <w:rtl w:val="0"/>
        </w:rPr>
        <w:t xml:space="preserve">с едноличен собственик на капитала „***“АД, ЕИК: *** с управляващ същото лице. На същата дата, 03.08. едноличното дружество продава сградата на бул. Ц. Б. ІІІ О. № 20А в гр. П. на дружеството „***“ ООД, ЕИК: ***, със собственици и съдружници „***“ ООД, ЕИК: *** и „***“ ЕООД, ЕИК: *** с управител В. В. Ш.. С писмо до ДФЗ новият собственик уведомява за промяната в собствеността на сградата, както и за готовността да встъпи в правата на Наемодател по сключения договор от 28.02.2020 г.  Следват поредица от преговори между новия собственик и ДФЗ, въз основа на които се променят някои от основните параметри на договора за наем. Междувременно са били  изискани и изготвени становища от дирекция „Административно-стопанско обслужване“, дирекция „Правна“, дирекция „Обществени поръчки“, като при направените обсъждания са били отчетени обстоятелствата, че настоящата сграда на Областната дирекция е с много добро, централно положение в града, удобно за служителите, както и за бенефициентите от област П., че предлагането на големи офисни площи на удобно и комуникативно място с възможност за паркиране, дори и в периферията на града, е силно ограничено; че за евентуалното преместване на ОД на ДФЗ гр. П. в нова сграда ще са необходими значителни разходи, свързани със стопанското осигуряване, информационна инфраструктура, окабеляване и др. В докладната записка е посочено, че на тези основания и след разглеждане и съпоставяне на предимства и недостатъци на двете възможности- преместване в нова сграда или продължаването на наемните отношения, е било отчетено, че оставането в настоящата сграда е за предпочитане пред евентуално преместване, което освен другите неудобства би довело и до прекъсване на работата на дирекцията за не по-малко от 2-3 месеца. В изготвения доклад е посочено също, че макар да не е от изключителната компетентност на УС на ДФ „Земеделие“ да одобрява такива параметри и изобщо сключването на договори за наем, по които страна като наемател е ДФЗ, то изпълнителният директор е преценил, че тези параметри следва да бъдат  одобрени и от УС, с цел постигане на по-голяма прозрачност и контрол, така защото одобрението на тези параметри да не е направено от едноличния орган на управление, а от колективния такъв. Инспекторатът е заключил, че няма компетенции да извършва проверки по целесъобразността на разходите по сключените анекс и договор, заради което предлага да бъде извършена проверка от дирекция „Вътрешен одит“ или от Сметната палата. </w:t>
      </w:r>
    </w:p>
    <w:p w:rsidR="00000000" w:rsidDel="00000000" w:rsidP="00000000" w:rsidRDefault="00000000" w:rsidRPr="00000000" w14:paraId="00000023">
      <w:pPr>
        <w:ind w:firstLine="0"/>
        <w:rPr>
          <w:vertAlign w:val="baseline"/>
        </w:rPr>
      </w:pPr>
      <w:r w:rsidDel="00000000" w:rsidR="00000000" w:rsidRPr="00000000">
        <w:rPr>
          <w:color w:val="000000"/>
          <w:vertAlign w:val="baseline"/>
          <w:rtl w:val="0"/>
        </w:rPr>
        <w:t xml:space="preserve">           Предоставеният по производството </w:t>
      </w:r>
      <w:r w:rsidDel="00000000" w:rsidR="00000000" w:rsidRPr="00000000">
        <w:rPr>
          <w:vertAlign w:val="baseline"/>
          <w:rtl w:val="0"/>
        </w:rPr>
        <w:t xml:space="preserve">Одитен доклад 23 ОА ID „Наемане на офис помещение за нуждите на Областна дирекция на ДФ „Земеделие“ гр. П.“ от дирекция „Вътрешен одит“ е от месец юни, 2023 г. Според него процесът на „Наемане на офис помещение за нуждите на Областна дирекция на ДФ „Земеделие“ гр. П.“ е извършен ефективно, предвид наличието и ползването на наетата сграда. Докладът заключва, че процесът по наемане не е довел до прекъсваемост на работата на областната дирекция, риска по отношение на информационната сигурност, затруднения при обслужването на бенефициентите, допълнителни други неудобства, свързани с евентуално преместване. Направен  е извод, че от началото на наемането на сградата, за да стане функционална, в нея са извършени значителни подобрения като изграждането на пожаро-известителна и пожарогасителна системи, закупуване и монтиране на офис оборудване за стаите и за архивните помещения, осигуряване на СОТ, телефонна централа, ИТ инфраструктура, агрегат за осигуряване на непрекъснатост на работния процес при токов удар и др. ДФЗ като разплащателна агенция включва и гарантира на сигурността на информационните системи, за което Фонда има внедрена и функционираща Система за управление на качеството и информационната сигурност (СУКИС), съгласно изискванията на международните стандарти. СУКИС изисква да има създаден резервен информационен център, който се помещава именно в сградата, наета от ДФЗ за нуждите на ОД на ДФЗ гр. П.. Изграждането на този център е продължило повече от десетилетие, а за функционирането му е осигурена сериозна ИТ инфраструктура. Според одитния доклад тези описани обстоятелства обосновават решението на ръководството на ДФЗ да преговаря за запазването на статута на наемател, вместо да търси друга алтернатива, която би била продължителен процес, съпроводен с различни неудобства по преместването, адаптирането, прекъсваемост на работния процес, повторно сертифициране на внедрената СУКИС и непредвидени разходи.  </w:t>
      </w:r>
    </w:p>
    <w:p w:rsidR="00000000" w:rsidDel="00000000" w:rsidP="00000000" w:rsidRDefault="00000000" w:rsidRPr="00000000" w14:paraId="00000024">
      <w:pPr>
        <w:rPr>
          <w:vertAlign w:val="baseline"/>
        </w:rPr>
      </w:pPr>
      <w:r w:rsidDel="00000000" w:rsidR="00000000" w:rsidRPr="00000000">
        <w:rPr>
          <w:vertAlign w:val="baseline"/>
          <w:rtl w:val="0"/>
        </w:rPr>
        <w:t xml:space="preserve">Одитният доклад на Сметната палата № 0400102123 е приет с Решение на Сметната палата №147 от 01.06.2023 г. и касае финансовия одит на годишния финансов отчет на Държавен фонд „Земеделие“, състоящ се от баланс към 31 декември 2022 г., отчет за приходите и разходите, отчет за касовото изпълнение на бюджета, сметките за средствата от Европейския съюз и сметките за чужди средства за годината, завършваща на тази дата ,както и приложение към финансовия отчет, включително пояснения за прилаганата счетоводна политика. Целите на Сметната палата са да получи разумна степен на сигурност относно това дали финансовият отчет като цяло не съдържа съществени неправилни отчитания, дължащи се на измама или грешка, и да издаде одитен доклад, включващ одитно мнение. Не са констатирани съществени недостатъци във вътрешния контрол, а констатираните неправилни отчитания, свързани с възприет неправилен счетоводен подход, са коригирани.  </w:t>
      </w:r>
    </w:p>
    <w:p w:rsidR="00000000" w:rsidDel="00000000" w:rsidP="00000000" w:rsidRDefault="00000000" w:rsidRPr="00000000" w14:paraId="00000025">
      <w:pPr>
        <w:rPr>
          <w:vertAlign w:val="baseline"/>
        </w:rPr>
      </w:pPr>
      <w:r w:rsidDel="00000000" w:rsidR="00000000" w:rsidRPr="00000000">
        <w:rPr>
          <w:vertAlign w:val="baseline"/>
          <w:rtl w:val="0"/>
        </w:rPr>
        <w:t xml:space="preserve">От справка чрез отдалечен достъп по данни за имот в Служба по вписвания – П. се установява, че за ПИ 56784.506.397.1, представляващ многоетажна сградата на ул. Ц. Б. ІІІ О. №20А в гр. П. има вписан нотариален акт за покупко-продажба от 03.08.2022г. със страни продавач „***“ ЕООД и купувач „***“ ООД.  От същата дата има учредена и договорна ипотека в полза на кредитора „***“ АД. Пак от дата 03.08.2022 г. има отбелязано вписване за прехвърляне на дружествен дял от „***“ ЕАД (преобразувано„***“ ЕООД) на правоприемника „***“ АД. От справката в Търговския регистър е видно, че „***“ е акционерна дружество с двустепенна система на управление с Управителен и Надзорен съвет, чийто членове са М. К. М., Д. С. К., С. Ц. В., Я.С. Г., Н. Т. К. и „***“ ЕООД, ЕИК: *** с управител Н. Д. Х. Също от справка в Търговския регистър и регистъра на юридическите лица с нестопанска цел се установява, че „***“ ООД е търговско дружество, регистрирано на 01.07.2022 г. със съдружници „***“ ООД и „***“ ЕООД и управител В. В. Ш.. Предмет на дейност на дружеството е покупко-продажба на недвижими имоти, проектиране, строителство, дизайн, строеж и обзавеждане на жилища, сделки с недвижими имоти, включително и отдаването им под наем, проучване, управление и оценка на имоти и други услуги и търговски сделки, незабранени от закона. По партидата на дружеството има отбелязано прехвърляне на дружествените дялове, притежавани от „***“ ЕООД на „***“ ЕООД, вписано на 31.01.2023 г. В ТРРЮЛНЦ за „***“ ООД е посочено, че е със съдружници и управители Н. М. Ж. и В. В. Ш.. Като едноличен собственик на капитала и управител на дружествата „***“ ЕООД и „***“ ЕООД е посочен И. В. Д.  </w:t>
      </w:r>
    </w:p>
    <w:p w:rsidR="00000000" w:rsidDel="00000000" w:rsidP="00000000" w:rsidRDefault="00000000" w:rsidRPr="00000000" w14:paraId="00000026">
      <w:pPr>
        <w:rPr>
          <w:vertAlign w:val="baseline"/>
        </w:rPr>
      </w:pPr>
      <w:r w:rsidDel="00000000" w:rsidR="00000000" w:rsidRPr="00000000">
        <w:rPr>
          <w:vertAlign w:val="baseline"/>
          <w:rtl w:val="0"/>
        </w:rPr>
        <w:t xml:space="preserve">По партидата на Георги Тахов в ТРРЮЛНЦ е отбелязано, че същият е бил едноличен собственик на „***“ ЕООД, ЕИК: *** и съдружник в „***“ ООД, ЕИК: ***, преди същото да се трансформира в еднолично търговско дружество с ограничена отговорност, вписано в Търговския регистър на 15.06.2021 г. Едноличен собственик на капитала и управител на двете търговски дружества е Щ. Г. Т. – баща на Георги Тахов. Видно от справката в Търговския регистър прехвърлянето на дружествените дялове и вписването на Щерю Тахов като едноличен собственик на капитала и управител на „***“ ЕООД е от 15.08.2022 г., непосредствено преди избирането му за изпълнителен директор на ДФ „Земеделие“. В тази връзка към предоставените по производството доказателства е и Уведомление от Георги Тахов до министъра на земеделието с вх. № 94-1763/21.09.2022 г. на Министерство на земеделието за наличието на свързано лице – баща му Щ.Г. Т. в качеството му на кандидат и бенефициер по програми, управлявани от ДФЗ. </w:t>
      </w:r>
    </w:p>
    <w:p w:rsidR="00000000" w:rsidDel="00000000" w:rsidP="00000000" w:rsidRDefault="00000000" w:rsidRPr="00000000" w14:paraId="00000027">
      <w:pPr>
        <w:ind w:firstLine="709"/>
        <w:rPr>
          <w:vertAlign w:val="baseline"/>
        </w:rPr>
      </w:pPr>
      <w:r w:rsidDel="00000000" w:rsidR="00000000" w:rsidRPr="00000000">
        <w:rPr>
          <w:vertAlign w:val="baseline"/>
          <w:rtl w:val="0"/>
        </w:rPr>
        <w:t xml:space="preserve">От справката в Регистър НБД „Население“ за съпрузи или лица, които се намират във фактическо съжителство, роднини по права линия, по съребрена линия - до четвърта степен включително и по сватовство – до втора степен включително по отношение на Георги Тахов с предходни, настоящи еднолични собственици и управители, както и със съдружници на дружествата „***“ ООД, </w:t>
      </w:r>
      <w:r w:rsidDel="00000000" w:rsidR="00000000" w:rsidRPr="00000000">
        <w:rPr>
          <w:color w:val="000000"/>
          <w:vertAlign w:val="baseline"/>
          <w:rtl w:val="0"/>
        </w:rPr>
        <w:t xml:space="preserve">„***“ ООД, </w:t>
      </w:r>
      <w:r w:rsidDel="00000000" w:rsidR="00000000" w:rsidRPr="00000000">
        <w:rPr>
          <w:vertAlign w:val="baseline"/>
          <w:rtl w:val="0"/>
        </w:rPr>
        <w:t xml:space="preserve">„***“ ЕООД </w:t>
      </w:r>
      <w:r w:rsidDel="00000000" w:rsidR="00000000" w:rsidRPr="00000000">
        <w:rPr>
          <w:color w:val="000000"/>
          <w:vertAlign w:val="baseline"/>
          <w:rtl w:val="0"/>
        </w:rPr>
        <w:t xml:space="preserve">и „***“ ЕООД, </w:t>
      </w:r>
      <w:r w:rsidDel="00000000" w:rsidR="00000000" w:rsidRPr="00000000">
        <w:rPr>
          <w:vertAlign w:val="baseline"/>
          <w:rtl w:val="0"/>
        </w:rPr>
        <w:t xml:space="preserve">не се установиха такива данни.  </w:t>
      </w:r>
    </w:p>
    <w:p w:rsidR="00000000" w:rsidDel="00000000" w:rsidP="00000000" w:rsidRDefault="00000000" w:rsidRPr="00000000" w14:paraId="00000028">
      <w:pPr>
        <w:ind w:firstLine="0"/>
        <w:rPr>
          <w:color w:val="000000"/>
          <w:vertAlign w:val="baseline"/>
        </w:rPr>
      </w:pPr>
      <w:r w:rsidDel="00000000" w:rsidR="00000000" w:rsidRPr="00000000">
        <w:rPr>
          <w:rtl w:val="0"/>
        </w:rPr>
      </w:r>
    </w:p>
    <w:p w:rsidR="00000000" w:rsidDel="00000000" w:rsidP="00000000" w:rsidRDefault="00000000" w:rsidRPr="00000000" w14:paraId="00000029">
      <w:pPr>
        <w:rPr>
          <w:color w:val="000000"/>
          <w:highlight w:val="white"/>
          <w:vertAlign w:val="baseline"/>
        </w:rPr>
      </w:pPr>
      <w:r w:rsidDel="00000000" w:rsidR="00000000" w:rsidRPr="00000000">
        <w:rPr>
          <w:i w:val="1"/>
          <w:iCs w:val="1"/>
          <w:vertAlign w:val="baseline"/>
          <w:rtl w:val="0"/>
        </w:rPr>
        <w:t xml:space="preserve">Въз основа на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2A">
      <w:pPr>
        <w:rPr>
          <w:i w:val="0"/>
          <w:iCs w:val="0"/>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vertAlign w:val="baseline"/>
          <w:rtl w:val="0"/>
        </w:rPr>
        <w:t xml:space="preserve">За да е осъществен конфликт на интереси по смисъла на чл. 52 от ЗПКОНПИ, следва да са налице три кумулативно изискуеми предпоставки: лице, заемащо висша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C">
      <w:pPr>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чл.53 и чл.54 от ЗПКОНПИ. Частен интерес е всеки интерес, който води до облага от материален или нематериален характер за лицето, заемащо висша публична длъжност или за свързаното с него лице,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 – 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w:t>
      </w:r>
    </w:p>
    <w:p w:rsidR="00000000" w:rsidDel="00000000" w:rsidP="00000000" w:rsidRDefault="00000000" w:rsidRPr="00000000" w14:paraId="0000002D">
      <w:pPr>
        <w:ind w:firstLine="567"/>
        <w:rPr>
          <w:vertAlign w:val="baseline"/>
        </w:rPr>
      </w:pPr>
      <w:r w:rsidDel="00000000" w:rsidR="00000000" w:rsidRPr="00000000">
        <w:rPr>
          <w:vertAlign w:val="baseline"/>
          <w:rtl w:val="0"/>
        </w:rPr>
        <w:t xml:space="preserve">Георги Тахов в качеството си на изпълнителен директор на Държавен фонд „Земеделие“ – Разплащателна агенция е лице, заемащо висша публична длъжност по смисъла на чл. 6, ал. 1, т. 23 от ЗПКОНПИ. С оглед горното КПКОНПИ е органът, компетентен да разгледа подадения сигнал.</w:t>
      </w:r>
    </w:p>
    <w:p w:rsidR="00000000" w:rsidDel="00000000" w:rsidP="00000000" w:rsidRDefault="00000000" w:rsidRPr="00000000" w14:paraId="0000002E">
      <w:pPr>
        <w:ind w:firstLine="567"/>
        <w:rPr>
          <w:vertAlign w:val="baseline"/>
        </w:rPr>
      </w:pPr>
      <w:r w:rsidDel="00000000" w:rsidR="00000000" w:rsidRPr="00000000">
        <w:rPr>
          <w:vertAlign w:val="baseline"/>
          <w:rtl w:val="0"/>
        </w:rPr>
        <w:t xml:space="preserve">Съгласно Устройствения правилник на Държавен фонд „Земеделие“ (Правилника), чл. 2, ал. 1, фондът е юридическо лице, държавно учреждение, което съставя, изпълнява и отчита бюджет на първостепенен разпоредител с бюджет, който е част от държавния. Органи на управление на фонда са Управителният съвет и изпълнителният директор. В чл. 10 от Правилника са регламентирани правомощията на изпълнителния директор, сред които: да представлява фонда като първостепенен разпоредител с бюджет; да организира и ръководи дейността на фонда при осъществяване на всички негови функции; да изпълнява решенията на Управителния съвет; да осигурява стопанисването и опазването на имуществото на фонда; да решава всички въпроси, които не са от изключителната компетентност на Управителния съвет и др. </w:t>
      </w:r>
    </w:p>
    <w:p w:rsidR="00000000" w:rsidDel="00000000" w:rsidP="00000000" w:rsidRDefault="00000000" w:rsidRPr="00000000" w14:paraId="0000002F">
      <w:pPr>
        <w:ind w:firstLine="567"/>
        <w:rPr>
          <w:vertAlign w:val="baseline"/>
        </w:rPr>
      </w:pPr>
      <w:r w:rsidDel="00000000" w:rsidR="00000000" w:rsidRPr="00000000">
        <w:rPr>
          <w:vertAlign w:val="baseline"/>
          <w:rtl w:val="0"/>
        </w:rPr>
        <w:t xml:space="preserve">Като е сключил договор за наем </w:t>
      </w:r>
      <w:r w:rsidDel="00000000" w:rsidR="00000000" w:rsidRPr="00000000">
        <w:rPr>
          <w:color w:val="000000"/>
          <w:vertAlign w:val="baseline"/>
          <w:rtl w:val="0"/>
        </w:rPr>
        <w:t xml:space="preserve">с изх. № 01-2600/ 5799 от 05.10.2022 г. на ДФЗ с „***“ ООД</w:t>
      </w:r>
      <w:r w:rsidDel="00000000" w:rsidR="00000000" w:rsidRPr="00000000">
        <w:rPr>
          <w:vertAlign w:val="baseline"/>
          <w:rtl w:val="0"/>
        </w:rPr>
        <w:t xml:space="preserve"> на 05.10.2022 г. Тахов е упражнил свое правомощие по служба, но при липса на частен интерес. От събраните по преписката доказателства се установява, че този договор за наем е извънреден и всъщност анексирането на дотогава действащия договор за наем на същата сграда е продиктувано от смяната на собствеността на същата и претенциите на новия собственик за предоговаряне на някои от параметрите по предишния договор и в частност на наемната цена. Договорът за наем е граждански договор и страните имат свободната воля на договаряне, съгласно Закона за задълженията и договорите. В конкретния случай не се изисква процедура по възлагане на обществена поръчка по реда на Закона за обществените поръчки, чл. 13, ал.1 т.4 „ при придобиване или наемане, независимо с какви финансови средства, на земя, съществуващи сгради или други недвижими имоти, или права върху тях“. Относно процедурата по сключване на договора за наем, същата макар да не е от изключителната компетентност на УС, е подложена на обсъждане и по този начин сключването му е решение на колективния орган, а не еднолично. </w:t>
      </w:r>
    </w:p>
    <w:p w:rsidR="00000000" w:rsidDel="00000000" w:rsidP="00000000" w:rsidRDefault="00000000" w:rsidRPr="00000000" w14:paraId="00000030">
      <w:pPr>
        <w:ind w:firstLine="567"/>
        <w:rPr>
          <w:vertAlign w:val="baseline"/>
        </w:rPr>
      </w:pPr>
      <w:r w:rsidDel="00000000" w:rsidR="00000000" w:rsidRPr="00000000">
        <w:rPr>
          <w:vertAlign w:val="baseline"/>
          <w:rtl w:val="0"/>
        </w:rPr>
        <w:t xml:space="preserve">Не се установява родство между Тахов и едноличните собственици и управители, както и със съдружниците в дружествата „***“ ООД, </w:t>
      </w:r>
      <w:r w:rsidDel="00000000" w:rsidR="00000000" w:rsidRPr="00000000">
        <w:rPr>
          <w:color w:val="000000"/>
          <w:vertAlign w:val="baseline"/>
          <w:rtl w:val="0"/>
        </w:rPr>
        <w:t xml:space="preserve">„***“ ООД, </w:t>
      </w:r>
      <w:r w:rsidDel="00000000" w:rsidR="00000000" w:rsidRPr="00000000">
        <w:rPr>
          <w:vertAlign w:val="baseline"/>
          <w:rtl w:val="0"/>
        </w:rPr>
        <w:t xml:space="preserve">„***“ ЕООД </w:t>
      </w:r>
      <w:r w:rsidDel="00000000" w:rsidR="00000000" w:rsidRPr="00000000">
        <w:rPr>
          <w:color w:val="000000"/>
          <w:vertAlign w:val="baseline"/>
          <w:rtl w:val="0"/>
        </w:rPr>
        <w:t xml:space="preserve">и „***“ ЕООД, </w:t>
      </w:r>
      <w:r w:rsidDel="00000000" w:rsidR="00000000" w:rsidRPr="00000000">
        <w:rPr>
          <w:vertAlign w:val="baseline"/>
          <w:rtl w:val="0"/>
        </w:rPr>
        <w:t xml:space="preserve">което обуславя и липса на свързаност помежду им по смисъла на § 1, т. 15, б. „а“ от ДР на ЗПКОНПИ. Няма данни и доказателства и за свързаност по смисъла на § 1, т. 15, б. „б“ от ДР на ЗПКОНПИ. </w:t>
      </w:r>
    </w:p>
    <w:p w:rsidR="00000000" w:rsidDel="00000000" w:rsidP="00000000" w:rsidRDefault="00000000" w:rsidRPr="00000000" w14:paraId="00000031">
      <w:pPr>
        <w:ind w:firstLine="0"/>
        <w:rPr>
          <w:color w:val="000000"/>
          <w:highlight w:val="white"/>
          <w:vertAlign w:val="baseline"/>
        </w:rPr>
      </w:pPr>
      <w:r w:rsidDel="00000000" w:rsidR="00000000" w:rsidRPr="00000000">
        <w:rPr>
          <w:vertAlign w:val="baseline"/>
          <w:rtl w:val="0"/>
        </w:rPr>
        <w:t xml:space="preserve">         Н</w:t>
      </w:r>
      <w:r w:rsidDel="00000000" w:rsidR="00000000" w:rsidRPr="00000000">
        <w:rPr>
          <w:color w:val="000000"/>
          <w:highlight w:val="white"/>
          <w:vertAlign w:val="baseline"/>
          <w:rtl w:val="0"/>
        </w:rPr>
        <w:t xml:space="preserve">алице са два от елементите на състава на конфликт на интереси по чл. 52 от ЗПКОНПИ, а именно: лице, заемащо висша публична длъжност и упражнено от същото правомощие по служба. Липсва третият елемент – наличието на частен интерес, който би могъл да повлияе върху безпристрастното и обективно изпълнение на правомощията и задълженията по служба от страна на Георги Тахов в качеството му на изпълнителен директор на ДФ „Земеделие“. Липсата на който и да е елемент от състава на конфликта на интереси обуславя извод за липса на нарушаване на забраните по Глава Осма от ЗПКОНПИ, представляващо негова проявна форма, както и за липса на конфликт на интереси по смисъла на чл. 52 от ЗПКОНПИ.</w:t>
      </w:r>
    </w:p>
    <w:p w:rsidR="00000000" w:rsidDel="00000000" w:rsidP="00000000" w:rsidRDefault="00000000" w:rsidRPr="00000000" w14:paraId="00000032">
      <w:pPr>
        <w:tabs>
          <w:tab w:val="left" w:leader="none" w:pos="567"/>
        </w:tabs>
        <w:ind w:firstLine="0"/>
        <w:rPr>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Комисията прави своите изводи за наличие или липса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 на частен интерес при осъществени правомощия по служба от страна на Георги Тахов. </w:t>
      </w:r>
      <w:r w:rsidDel="00000000" w:rsidR="00000000" w:rsidRPr="00000000">
        <w:rPr>
          <w:rtl w:val="0"/>
        </w:rPr>
      </w:r>
    </w:p>
    <w:p w:rsidR="00000000" w:rsidDel="00000000" w:rsidP="00000000" w:rsidRDefault="00000000" w:rsidRPr="00000000" w14:paraId="00000033">
      <w:pPr>
        <w:tabs>
          <w:tab w:val="left" w:leader="none" w:pos="709"/>
        </w:tabs>
        <w:ind w:firstLine="0"/>
        <w:rPr>
          <w:vertAlign w:val="baseline"/>
        </w:rPr>
      </w:pPr>
      <w:r w:rsidDel="00000000" w:rsidR="00000000" w:rsidRPr="00000000">
        <w:rPr>
          <w:vertAlign w:val="baseline"/>
          <w:rtl w:val="0"/>
        </w:rPr>
        <w:t xml:space="preserve">          Предвид горното, Комисията за противодействие на корупцията и за отнемане на незаконно придобито имущество, на основание чл. 74, ал. 1 и ал. 2 от ЗПКОНПИ,</w:t>
      </w:r>
    </w:p>
    <w:p w:rsidR="00000000" w:rsidDel="00000000" w:rsidP="00000000" w:rsidRDefault="00000000" w:rsidRPr="00000000" w14:paraId="00000034">
      <w:pPr>
        <w:tabs>
          <w:tab w:val="left" w:leader="none" w:pos="709"/>
        </w:tabs>
        <w:ind w:firstLine="709"/>
        <w:rPr>
          <w:vertAlign w:val="baseline"/>
        </w:rPr>
      </w:pPr>
      <w:r w:rsidDel="00000000" w:rsidR="00000000" w:rsidRPr="00000000">
        <w:rPr>
          <w:rtl w:val="0"/>
        </w:rPr>
      </w:r>
    </w:p>
    <w:p w:rsidR="00000000" w:rsidDel="00000000" w:rsidP="00000000" w:rsidRDefault="00000000" w:rsidRPr="00000000" w14:paraId="00000035">
      <w:pPr>
        <w:tabs>
          <w:tab w:val="left" w:leader="none" w:pos="709"/>
        </w:tabs>
        <w:ind w:firstLine="0"/>
        <w:jc w:val="center"/>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36">
      <w:pPr>
        <w:tabs>
          <w:tab w:val="left" w:leader="none" w:pos="709"/>
        </w:tabs>
        <w:ind w:firstLine="709"/>
        <w:rPr>
          <w:vertAlign w:val="baseline"/>
        </w:rPr>
      </w:pPr>
      <w:r w:rsidDel="00000000" w:rsidR="00000000" w:rsidRPr="00000000">
        <w:rPr>
          <w:rtl w:val="0"/>
        </w:rPr>
      </w:r>
    </w:p>
    <w:p w:rsidR="00000000" w:rsidDel="00000000" w:rsidP="00000000" w:rsidRDefault="00000000" w:rsidRPr="00000000" w14:paraId="00000037">
      <w:pPr>
        <w:tabs>
          <w:tab w:val="left" w:leader="none" w:pos="709"/>
        </w:tabs>
        <w:ind w:firstLine="709"/>
        <w:rPr>
          <w:vertAlign w:val="baseline"/>
        </w:rPr>
      </w:pPr>
      <w:r w:rsidDel="00000000" w:rsidR="00000000" w:rsidRPr="00000000">
        <w:rPr>
          <w:b w:val="1"/>
          <w:bCs w:val="1"/>
          <w:vertAlign w:val="baseline"/>
          <w:rtl w:val="0"/>
        </w:rPr>
        <w:t xml:space="preserve">НЕ УСТАНОВЯВА</w:t>
      </w:r>
      <w:r w:rsidDel="00000000" w:rsidR="00000000" w:rsidRPr="00000000">
        <w:rPr>
          <w:vertAlign w:val="baseline"/>
          <w:rtl w:val="0"/>
        </w:rPr>
        <w:t xml:space="preserve"> конфликт на интереси по отношение на Георги Тахов,  EГН: ***, в качеството му на изпълнителен директор на Държавен фонд „Земеделие“ и лице, заемащо висша публична длъжност по смисъла на чл. 6, ал. 1, т. 23, във връзка със сключването на договор за наем </w:t>
      </w:r>
      <w:r w:rsidDel="00000000" w:rsidR="00000000" w:rsidRPr="00000000">
        <w:rPr>
          <w:color w:val="000000"/>
          <w:vertAlign w:val="baseline"/>
          <w:rtl w:val="0"/>
        </w:rPr>
        <w:t xml:space="preserve">с изх. № 01-2600/ 5799 от 05.10.2022 г. на ДФЗ</w:t>
      </w:r>
      <w:r w:rsidDel="00000000" w:rsidR="00000000" w:rsidRPr="00000000">
        <w:rPr>
          <w:vertAlign w:val="baseline"/>
          <w:rtl w:val="0"/>
        </w:rPr>
        <w:t xml:space="preserve"> с </w:t>
      </w:r>
      <w:r w:rsidDel="00000000" w:rsidR="00000000" w:rsidRPr="00000000">
        <w:rPr>
          <w:color w:val="000000"/>
          <w:vertAlign w:val="baseline"/>
          <w:rtl w:val="0"/>
        </w:rPr>
        <w:t xml:space="preserve">„***“ ООД,</w:t>
      </w:r>
      <w:r w:rsidDel="00000000" w:rsidR="00000000" w:rsidRPr="00000000">
        <w:rPr>
          <w:color w:val="000000"/>
          <w:sz w:val="22"/>
          <w:szCs w:val="22"/>
          <w:highlight w:val="white"/>
          <w:vertAlign w:val="baseline"/>
          <w:rtl w:val="0"/>
        </w:rPr>
        <w:t xml:space="preserve"> </w:t>
      </w:r>
      <w:r w:rsidDel="00000000" w:rsidR="00000000" w:rsidRPr="00000000">
        <w:rPr>
          <w:vertAlign w:val="baseline"/>
          <w:rtl w:val="0"/>
        </w:rPr>
        <w:t xml:space="preserve">поради липса на частен интерес - негов или на свързано с него лице по смисъла на § 1, т. 15 от ДР на ЗПКОНПИ.</w:t>
      </w:r>
    </w:p>
    <w:p w:rsidR="00000000" w:rsidDel="00000000" w:rsidP="00000000" w:rsidRDefault="00000000" w:rsidRPr="00000000" w14:paraId="00000038">
      <w:pPr>
        <w:ind w:right="49" w:firstLine="708"/>
        <w:rPr>
          <w:vertAlign w:val="baseline"/>
        </w:rPr>
      </w:pPr>
      <w:r w:rsidDel="00000000" w:rsidR="00000000" w:rsidRPr="00000000">
        <w:rPr>
          <w:vertAlign w:val="baseline"/>
          <w:rtl w:val="0"/>
        </w:rPr>
        <w:t xml:space="preserve">Препис от решението да се изпрати на Софийска градска прокуратура с оглед преценка за реализиране на правомощията й по чл. 76, ал. 2 от З</w:t>
      </w:r>
      <w:r w:rsidDel="00000000" w:rsidR="00000000" w:rsidRPr="00000000">
        <w:rPr>
          <w:b w:val="1"/>
          <w:bCs w:val="1"/>
          <w:color w:val="000000"/>
          <w:vertAlign w:val="baseline"/>
          <w:rtl w:val="0"/>
        </w:rPr>
        <w:t xml:space="preserve"> </w:t>
      </w:r>
      <w:r w:rsidDel="00000000" w:rsidR="00000000" w:rsidRPr="00000000">
        <w:rPr>
          <w:vertAlign w:val="baseline"/>
          <w:rtl w:val="0"/>
        </w:rPr>
        <w:t xml:space="preserve">ПКОНПИ, съгласно който прокурорът може да подаде протест до съда в едномесечен срок от съобщаване на решението, с което се установява липсата на конфликт на интереси и с оглед правомощията по надзор за законност на административните актове. </w:t>
      </w:r>
    </w:p>
    <w:p w:rsidR="00000000" w:rsidDel="00000000" w:rsidP="00000000" w:rsidRDefault="00000000" w:rsidRPr="00000000" w14:paraId="00000039">
      <w:pPr>
        <w:tabs>
          <w:tab w:val="left" w:leader="none" w:pos="709"/>
        </w:tabs>
        <w:ind w:firstLine="0"/>
        <w:rPr>
          <w:vertAlign w:val="baseline"/>
        </w:rPr>
      </w:pPr>
      <w:r w:rsidDel="00000000" w:rsidR="00000000" w:rsidRPr="00000000">
        <w:rPr>
          <w:rtl w:val="0"/>
        </w:rPr>
      </w:r>
    </w:p>
    <w:p w:rsidR="00000000" w:rsidDel="00000000" w:rsidP="00000000" w:rsidRDefault="00000000" w:rsidRPr="00000000" w14:paraId="0000003A">
      <w:pPr>
        <w:rPr>
          <w:b w:val="0"/>
          <w:bCs w:val="0"/>
          <w:vertAlign w:val="baseline"/>
        </w:rPr>
      </w:pPr>
      <w:r w:rsidDel="00000000" w:rsidR="00000000" w:rsidRPr="00000000">
        <w:rPr>
          <w:rtl w:val="0"/>
        </w:rPr>
      </w:r>
    </w:p>
    <w:p w:rsidR="00000000" w:rsidDel="00000000" w:rsidP="00000000" w:rsidRDefault="00000000" w:rsidRPr="00000000" w14:paraId="0000003B">
      <w:pPr>
        <w:rPr>
          <w:i w:val="0"/>
          <w:iCs w:val="0"/>
          <w:sz w:val="18"/>
          <w:szCs w:val="18"/>
          <w:u w:val="single"/>
          <w:vertAlign w:val="baseline"/>
        </w:rPr>
      </w:pPr>
      <w:r w:rsidDel="00000000" w:rsidR="00000000" w:rsidRPr="00000000">
        <w:rPr>
          <w:rtl w:val="0"/>
        </w:rPr>
      </w:r>
    </w:p>
    <w:p w:rsidR="00000000" w:rsidDel="00000000" w:rsidP="00000000" w:rsidRDefault="00000000" w:rsidRPr="00000000" w14:paraId="0000003C">
      <w:pPr>
        <w:tabs>
          <w:tab w:val="left" w:leader="none" w:pos="5400"/>
        </w:tabs>
        <w:spacing w:line="276" w:lineRule="auto"/>
        <w:ind w:firstLine="709"/>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3D">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3E">
      <w:pPr>
        <w:tabs>
          <w:tab w:val="left" w:leader="none" w:pos="5400"/>
        </w:tabs>
        <w:spacing w:line="276" w:lineRule="auto"/>
        <w:ind w:firstLine="2268"/>
        <w:rPr>
          <w:b w:val="0"/>
          <w:bCs w:val="0"/>
          <w:vertAlign w:val="baseline"/>
        </w:rPr>
      </w:pPr>
      <w:r w:rsidDel="00000000" w:rsidR="00000000" w:rsidRPr="00000000">
        <w:rPr>
          <w:b w:val="1"/>
          <w:bCs w:val="1"/>
          <w:vertAlign w:val="baseline"/>
          <w:rtl w:val="0"/>
        </w:rPr>
        <w:t xml:space="preserve">ЗАМЕСТНИК-ПРЕДСЕДАТЕЛ:…………….../ АНТОН СЛАВЧЕВ /</w:t>
      </w:r>
      <w:r w:rsidDel="00000000" w:rsidR="00000000" w:rsidRPr="00000000">
        <w:rPr>
          <w:rtl w:val="0"/>
        </w:rPr>
      </w:r>
    </w:p>
    <w:p w:rsidR="00000000" w:rsidDel="00000000" w:rsidP="00000000" w:rsidRDefault="00000000" w:rsidRPr="00000000" w14:paraId="0000003F">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40">
      <w:pPr>
        <w:tabs>
          <w:tab w:val="left" w:leader="none" w:pos="5400"/>
        </w:tabs>
        <w:spacing w:line="276" w:lineRule="auto"/>
        <w:ind w:firstLine="2268"/>
        <w:rPr>
          <w:b w:val="0"/>
          <w:bCs w:val="0"/>
          <w:vertAlign w:val="baseline"/>
        </w:rPr>
      </w:pPr>
      <w:r w:rsidDel="00000000" w:rsidR="00000000" w:rsidRPr="00000000">
        <w:rPr>
          <w:b w:val="1"/>
          <w:bCs w:val="1"/>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41">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42">
      <w:pPr>
        <w:tabs>
          <w:tab w:val="left" w:leader="none" w:pos="5400"/>
        </w:tabs>
        <w:spacing w:line="276" w:lineRule="auto"/>
        <w:ind w:firstLine="2268"/>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43">
      <w:pPr>
        <w:tabs>
          <w:tab w:val="left" w:leader="none" w:pos="5400"/>
        </w:tabs>
        <w:spacing w:line="276" w:lineRule="auto"/>
        <w:ind w:firstLine="2268"/>
        <w:rPr>
          <w:b w:val="0"/>
          <w:bCs w:val="0"/>
          <w:u w:val="single"/>
          <w:vertAlign w:val="baseline"/>
        </w:rPr>
      </w:pPr>
      <w:r w:rsidDel="00000000" w:rsidR="00000000" w:rsidRPr="00000000">
        <w:rPr>
          <w:rtl w:val="0"/>
        </w:rPr>
      </w:r>
    </w:p>
    <w:p w:rsidR="00000000" w:rsidDel="00000000" w:rsidP="00000000" w:rsidRDefault="00000000" w:rsidRPr="00000000" w14:paraId="00000044">
      <w:pPr>
        <w:ind w:left="1452" w:firstLine="708.0000000000001"/>
        <w:jc w:val="left"/>
        <w:rPr>
          <w:b w:val="0"/>
          <w:bCs w:val="0"/>
          <w:vertAlign w:val="baseline"/>
        </w:rPr>
      </w:pPr>
      <w:r w:rsidDel="00000000" w:rsidR="00000000" w:rsidRPr="00000000">
        <w:rPr>
          <w:b w:val="1"/>
          <w:bCs w:val="1"/>
          <w:vertAlign w:val="baseline"/>
          <w:rtl w:val="0"/>
        </w:rPr>
        <w:t xml:space="preserve">  ЧЛЕН:…………………………………................./СИЛВИЯ КЪДРЕВА/</w:t>
      </w:r>
      <w:r w:rsidDel="00000000" w:rsidR="00000000" w:rsidRPr="00000000">
        <w:rPr>
          <w:rtl w:val="0"/>
        </w:rPr>
      </w:r>
    </w:p>
    <w:p w:rsidR="00000000" w:rsidDel="00000000" w:rsidP="00000000" w:rsidRDefault="00000000" w:rsidRPr="00000000" w14:paraId="00000045">
      <w:pPr>
        <w:tabs>
          <w:tab w:val="left" w:leader="none" w:pos="5400"/>
        </w:tabs>
        <w:ind w:firstLine="2268"/>
        <w:rPr>
          <w:b w:val="0"/>
          <w:bCs w:val="0"/>
          <w:vertAlign w:val="baseline"/>
        </w:rPr>
      </w:pPr>
      <w:r w:rsidDel="00000000" w:rsidR="00000000" w:rsidRPr="00000000">
        <w:rPr>
          <w:rtl w:val="0"/>
        </w:rPr>
      </w:r>
    </w:p>
    <w:p w:rsidR="00000000" w:rsidDel="00000000" w:rsidP="00000000" w:rsidRDefault="00000000" w:rsidRPr="00000000" w14:paraId="00000046">
      <w:pPr>
        <w:ind w:firstLine="0"/>
        <w:rPr>
          <w:b w:val="0"/>
          <w:bCs w:val="0"/>
          <w:vertAlign w:val="baseline"/>
        </w:rPr>
      </w:pPr>
      <w:r w:rsidDel="00000000" w:rsidR="00000000" w:rsidRPr="00000000">
        <w:rPr>
          <w:rtl w:val="0"/>
        </w:rPr>
      </w:r>
    </w:p>
    <w:p w:rsidR="00000000" w:rsidDel="00000000" w:rsidP="00000000" w:rsidRDefault="00000000" w:rsidRPr="00000000" w14:paraId="00000047">
      <w:pPr>
        <w:tabs>
          <w:tab w:val="left" w:leader="none" w:pos="5400"/>
        </w:tabs>
        <w:ind w:firstLine="2268"/>
        <w:rPr>
          <w:b w:val="0"/>
          <w:bCs w:val="0"/>
          <w:vertAlign w:val="baseline"/>
        </w:rPr>
      </w:pPr>
      <w:r w:rsidDel="00000000" w:rsidR="00000000" w:rsidRPr="00000000">
        <w:rPr>
          <w:rtl w:val="0"/>
        </w:rPr>
      </w:r>
    </w:p>
    <w:sectPr>
      <w:footerReference r:id="rId7" w:type="default"/>
      <w:pgSz w:h="15840" w:w="12240" w:orient="portrait"/>
      <w:pgMar w:bottom="1260" w:top="1134" w:left="1418" w:right="1134"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