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 w:firstLine="709"/>
        <w:rPr>
          <w:b w:val="0"/>
          <w:bCs w:val="0"/>
          <w:sz w:val="24"/>
          <w:szCs w:val="24"/>
          <w:vertAlign w:val="baseline"/>
        </w:rPr>
      </w:pPr>
      <w:r w:rsidDel="00000000" w:rsidR="00000000" w:rsidRPr="00000000">
        <w:rPr>
          <w:b w:val="1"/>
          <w:bCs w:val="1"/>
          <w:sz w:val="24"/>
          <w:szCs w:val="24"/>
          <w:vertAlign w:val="baseline"/>
          <w:rtl w:val="0"/>
        </w:rPr>
        <w:t xml:space="preserve">  </w:t>
        <w:tab/>
        <w:tab/>
        <w:tab/>
        <w:tab/>
        <w:t xml:space="preserve">         РЕШЕНИЕ </w:t>
      </w:r>
      <w:r w:rsidDel="00000000" w:rsidR="00000000" w:rsidRPr="00000000">
        <w:rPr>
          <w:rtl w:val="0"/>
        </w:rPr>
      </w:r>
    </w:p>
    <w:p w:rsidR="00000000" w:rsidDel="00000000" w:rsidP="00000000" w:rsidRDefault="00000000" w:rsidRPr="00000000" w14:paraId="00000002">
      <w:pPr>
        <w:spacing w:after="240" w:lineRule="auto"/>
        <w:ind w:left="-284" w:right="1" w:firstLine="709"/>
        <w:jc w:val="center"/>
        <w:rPr>
          <w:b w:val="0"/>
          <w:bCs w:val="0"/>
          <w:color w:val="00000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b w:val="1"/>
          <w:bCs w:val="1"/>
          <w:color w:val="000000"/>
          <w:sz w:val="24"/>
          <w:szCs w:val="24"/>
          <w:vertAlign w:val="baseline"/>
          <w:rtl w:val="0"/>
        </w:rPr>
        <w:t xml:space="preserve">РС-262-22-055</w:t>
      </w:r>
      <w:r w:rsidDel="00000000" w:rsidR="00000000" w:rsidRPr="00000000">
        <w:rPr>
          <w:rtl w:val="0"/>
        </w:rPr>
      </w:r>
    </w:p>
    <w:p w:rsidR="00000000" w:rsidDel="00000000" w:rsidP="00000000" w:rsidRDefault="00000000" w:rsidRPr="00000000" w14:paraId="00000003">
      <w:pPr>
        <w:spacing w:after="240" w:lineRule="auto"/>
        <w:ind w:right="1" w:firstLine="709"/>
        <w:jc w:val="both"/>
        <w:rPr>
          <w:sz w:val="24"/>
          <w:szCs w:val="24"/>
          <w:vertAlign w:val="baseline"/>
        </w:rPr>
      </w:pPr>
      <w:r w:rsidDel="00000000" w:rsidR="00000000" w:rsidRPr="00000000">
        <w:rPr>
          <w:sz w:val="24"/>
          <w:szCs w:val="24"/>
          <w:vertAlign w:val="baseline"/>
          <w:rtl w:val="0"/>
        </w:rPr>
        <w:t xml:space="preserve">Днес, 20.07.2022 г.,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4">
      <w:pPr>
        <w:ind w:left="709" w:right="1" w:firstLine="0"/>
        <w:jc w:val="both"/>
        <w:rPr>
          <w:b w:val="0"/>
          <w:bCs w:val="0"/>
          <w:sz w:val="24"/>
          <w:szCs w:val="24"/>
          <w:vertAlign w:val="baseline"/>
        </w:rPr>
      </w:pPr>
      <w:r w:rsidDel="00000000" w:rsidR="00000000" w:rsidRPr="00000000">
        <w:rPr>
          <w:b w:val="1"/>
          <w:bCs w:val="1"/>
          <w:sz w:val="24"/>
          <w:szCs w:val="24"/>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5">
      <w:pPr>
        <w:tabs>
          <w:tab w:val="left" w:leader="none" w:pos="284"/>
        </w:tabs>
        <w:ind w:right="1"/>
        <w:jc w:val="both"/>
        <w:rPr>
          <w:b w:val="0"/>
          <w:bCs w:val="0"/>
          <w:sz w:val="24"/>
          <w:szCs w:val="24"/>
          <w:vertAlign w:val="baseline"/>
        </w:rPr>
      </w:pPr>
      <w:r w:rsidDel="00000000" w:rsidR="00000000" w:rsidRPr="00000000">
        <w:rPr>
          <w:b w:val="1"/>
          <w:bCs w:val="1"/>
          <w:sz w:val="24"/>
          <w:szCs w:val="24"/>
          <w:vertAlign w:val="baseline"/>
          <w:rtl w:val="0"/>
        </w:rPr>
        <w:t xml:space="preserve">           </w:t>
        <w:tab/>
        <w:t xml:space="preserve">Член: Антоанета Цонкова</w:t>
      </w:r>
      <w:r w:rsidDel="00000000" w:rsidR="00000000" w:rsidRPr="00000000">
        <w:rPr>
          <w:rtl w:val="0"/>
        </w:rPr>
      </w:r>
    </w:p>
    <w:p w:rsidR="00000000" w:rsidDel="00000000" w:rsidP="00000000" w:rsidRDefault="00000000" w:rsidRPr="00000000" w14:paraId="00000006">
      <w:pPr>
        <w:tabs>
          <w:tab w:val="left" w:leader="none" w:pos="284"/>
        </w:tabs>
        <w:ind w:right="1"/>
        <w:jc w:val="both"/>
        <w:rPr>
          <w:b w:val="0"/>
          <w:bCs w:val="0"/>
          <w:sz w:val="24"/>
          <w:szCs w:val="24"/>
          <w:vertAlign w:val="baseline"/>
        </w:rPr>
      </w:pPr>
      <w:r w:rsidDel="00000000" w:rsidR="00000000" w:rsidRPr="00000000">
        <w:rPr>
          <w:b w:val="1"/>
          <w:bCs w:val="1"/>
          <w:sz w:val="24"/>
          <w:szCs w:val="24"/>
          <w:vertAlign w:val="baseline"/>
          <w:rtl w:val="0"/>
        </w:rPr>
        <w:t xml:space="preserve">           </w:t>
        <w:tab/>
        <w:t xml:space="preserve">Член: Пламен Йоцов</w:t>
      </w:r>
      <w:r w:rsidDel="00000000" w:rsidR="00000000" w:rsidRPr="00000000">
        <w:rPr>
          <w:rtl w:val="0"/>
        </w:rPr>
      </w:r>
    </w:p>
    <w:p w:rsidR="00000000" w:rsidDel="00000000" w:rsidP="00000000" w:rsidRDefault="00000000" w:rsidRPr="00000000" w14:paraId="00000007">
      <w:pPr>
        <w:tabs>
          <w:tab w:val="left" w:leader="none" w:pos="284"/>
        </w:tabs>
        <w:ind w:right="1"/>
        <w:jc w:val="both"/>
        <w:rPr>
          <w:b w:val="0"/>
          <w:bCs w:val="0"/>
          <w:sz w:val="24"/>
          <w:szCs w:val="24"/>
          <w:vertAlign w:val="baseline"/>
        </w:rPr>
      </w:pPr>
      <w:r w:rsidDel="00000000" w:rsidR="00000000" w:rsidRPr="00000000">
        <w:rPr>
          <w:b w:val="1"/>
          <w:bCs w:val="1"/>
          <w:sz w:val="24"/>
          <w:szCs w:val="24"/>
          <w:vertAlign w:val="baseline"/>
          <w:rtl w:val="0"/>
        </w:rPr>
        <w:t xml:space="preserve">           </w:t>
        <w:tab/>
        <w:t xml:space="preserve">Член: Силвия Къдрева</w:t>
      </w:r>
      <w:r w:rsidDel="00000000" w:rsidR="00000000" w:rsidRPr="00000000">
        <w:rPr>
          <w:rtl w:val="0"/>
        </w:rPr>
      </w:r>
    </w:p>
    <w:p w:rsidR="00000000" w:rsidDel="00000000" w:rsidP="00000000" w:rsidRDefault="00000000" w:rsidRPr="00000000" w14:paraId="00000008">
      <w:pPr>
        <w:tabs>
          <w:tab w:val="left" w:leader="none" w:pos="709"/>
        </w:tabs>
        <w:ind w:right="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9">
      <w:pPr>
        <w:spacing w:after="240" w:lineRule="auto"/>
        <w:ind w:left="-284" w:right="1" w:firstLine="70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A">
      <w:pPr>
        <w:tabs>
          <w:tab w:val="left" w:leader="none" w:pos="0"/>
        </w:tabs>
        <w:ind w:right="-3" w:firstLine="720"/>
        <w:jc w:val="both"/>
        <w:rPr>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КИ-103 от 30.03.2022 г. по сигнал с рег. № ЦУ01/С-262/09.03.2022 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на КПКОНПИ</w:t>
      </w:r>
      <w:r w:rsidDel="00000000" w:rsidR="00000000" w:rsidRPr="00000000">
        <w:rPr>
          <w:color w:val="000000"/>
          <w:sz w:val="24"/>
          <w:szCs w:val="24"/>
          <w:vertAlign w:val="baseline"/>
          <w:rtl w:val="0"/>
        </w:rPr>
        <w:t xml:space="preserve"> и приобщен към него сигнал с идентични твърдения с вх. №</w:t>
      </w:r>
      <w:r w:rsidDel="00000000" w:rsidR="00000000" w:rsidRPr="00000000">
        <w:rPr>
          <w:sz w:val="24"/>
          <w:szCs w:val="24"/>
          <w:vertAlign w:val="baseline"/>
          <w:rtl w:val="0"/>
        </w:rPr>
        <w:t xml:space="preserve"> ЦУ01/С-</w:t>
      </w:r>
      <w:r w:rsidDel="00000000" w:rsidR="00000000" w:rsidRPr="00000000">
        <w:rPr>
          <w:color w:val="000000"/>
          <w:sz w:val="24"/>
          <w:szCs w:val="24"/>
          <w:vertAlign w:val="baseline"/>
          <w:rtl w:val="0"/>
        </w:rPr>
        <w:t xml:space="preserve"> 532/21.06.2022 г. на КПКОНПИ.</w:t>
      </w:r>
      <w:r w:rsidDel="00000000" w:rsidR="00000000" w:rsidRPr="00000000">
        <w:rPr>
          <w:rtl w:val="0"/>
        </w:rPr>
      </w:r>
    </w:p>
    <w:p w:rsidR="00000000" w:rsidDel="00000000" w:rsidP="00000000" w:rsidRDefault="00000000" w:rsidRPr="00000000" w14:paraId="0000000B">
      <w:pPr>
        <w:tabs>
          <w:tab w:val="left" w:leader="none" w:pos="426"/>
        </w:tabs>
        <w:ind w:right="-3" w:firstLine="720"/>
        <w:jc w:val="both"/>
        <w:rPr>
          <w:color w:val="000000"/>
          <w:sz w:val="24"/>
          <w:szCs w:val="24"/>
          <w:vertAlign w:val="baseline"/>
        </w:rPr>
      </w:pPr>
      <w:r w:rsidDel="00000000" w:rsidR="00000000" w:rsidRPr="00000000">
        <w:rPr>
          <w:color w:val="000000"/>
          <w:sz w:val="24"/>
          <w:szCs w:val="24"/>
          <w:vertAlign w:val="baseline"/>
          <w:rtl w:val="0"/>
        </w:rPr>
        <w:t xml:space="preserve">Сигналът е насочен срещу Деница  Славкова – директор на Регионална инспекция по околната среда и водите (РИОСВ) – М.</w:t>
      </w:r>
    </w:p>
    <w:p w:rsidR="00000000" w:rsidDel="00000000" w:rsidP="00000000" w:rsidRDefault="00000000" w:rsidRPr="00000000" w14:paraId="0000000C">
      <w:pPr>
        <w:tabs>
          <w:tab w:val="left" w:leader="none" w:pos="426"/>
        </w:tabs>
        <w:ind w:right="-3" w:firstLine="720"/>
        <w:jc w:val="both"/>
        <w:rPr>
          <w:color w:val="000000"/>
          <w:sz w:val="24"/>
          <w:szCs w:val="24"/>
          <w:vertAlign w:val="baseline"/>
        </w:rPr>
      </w:pPr>
      <w:r w:rsidDel="00000000" w:rsidR="00000000" w:rsidRPr="00000000">
        <w:rPr>
          <w:color w:val="000000"/>
          <w:sz w:val="24"/>
          <w:szCs w:val="24"/>
          <w:vertAlign w:val="baseline"/>
          <w:rtl w:val="0"/>
        </w:rPr>
        <w:t xml:space="preserve">В сигнала се съдържат твърдения за това, че в свои писма, изх.№ 48-00-236 от 05.08.2021 г, изх. № 48-00-236 от 16.02.2022 г. и изх. № 48-00-236 от 31.01.2022 г. Министерството на околното среда и водите (МОСВ) потвърдило, че Решение на ОВОС №2-1 от 06.02.2013г. на МОСВ е без правно действие. Въпреки това, директорът на РИОСВ- М. Деница Славкова не спира действието на Уведомление за Инвестиционно предложение (ИП) „Добив на пясък и чакъл от находище „Г.“ в землището на с. П. и с. О., община Б., обл. М., одобрено с Решение по ОВОС № 2-1/2013 г. на МОСВ. Същата не предприела действия по обявяване липсата на правно действие на посоченото решение на МОСВ и свързаните с него уведомления за инвестиционни предложения. В сигнала се посочват и други нарушения на Закона за опазване на околната среда, допуснати от Деница Славкова като директор на РИОСВ – М., а именно че е водила дела срещу РИОСВ-М., които е загубила, но въпреки това не изплаща дължимото по делата. Към сигнала са приложени сигнал с вх.№48-00-236/18.02.2022 г. на МОСВ и Трудов договор №1017/09.08.2021 г., сключен между МОСВ и Деница Славкова.</w:t>
      </w:r>
    </w:p>
    <w:p w:rsidR="00000000" w:rsidDel="00000000" w:rsidP="00000000" w:rsidRDefault="00000000" w:rsidRPr="00000000" w14:paraId="0000000D">
      <w:pPr>
        <w:ind w:right="-3" w:firstLine="709"/>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от Министерство на околната среда и водите (МОСВ) и от Ръководителя на Инспектората на МОСВ, и получила с писмо с вх. № ЦУ01/2821#1 от 19.04.2022 г. на КПКОНПИ  доказателства за служебното качество на Деница Славкова като директор на РИОСВ М.: трудов договор №1017/09.08.2021 г., сключен със Славкова за длъжността „директор на РИОСВ М.“ и длъжностна характеристика за длъжността „директор на РИОСВ“; Решение №2-1/06.02.2013 г. на министъра на околната среда и водите по оценка на въздействието върху околната среда (ОВОС), с което е одобрено осъществяването на инвестиционно предложение с възложител „***“АД, ЕИК: *** „Добив на пясък и чакъл от находище „Г.“ в землището на с. П. и с.О., общ .Б., обл. М.; Решение №МО1-С/05.01.2022г. на директора на РИОСВ-М. за спиране на административното производство по внесено искане от „***“ АД (вх. № 7076/21.12.2021 г. на РИОСВ-М.) за преценяване необходимостта от извършване на ОВОС за ПИ „Път за връзка на ПИ 55258.15.18 по КК и КР на с. П., общ. Б. с държавната пътна мрежа до Републикански път ІІІ-101“; писмо  изх.№ 48-00-236/05.08.2021 г. на министъра на околната среда и водите до СНЦ „***“, относно загуба на правно действие на Решение по оценка на въздействието на околната среда № 2-1/ 2013 г. ; писмо  изх.№ 48-00-236/31.01.2022 г. на министъра на околната среда и водите до „***“ и РИОСВ- М. относно възражение –сигнал за загуба на правно действие на Решение по оценка на въздействието на околната среда № 2-1/2013 г. и писмо изх.№ 48-00-236/16.02.2022 г. (2бр.) на заместник -министъра на околната среда и водите до СНЦ „***“ и РИОСВ- М. относно жалба срещу инвестиционно предложение „Път за връзка на ПИ 55258.15.18 по КК и КР на с. П., общ. Б. с държавната пътна мрежа до Републикански път ІІІ-101“. </w:t>
      </w:r>
    </w:p>
    <w:p w:rsidR="00000000" w:rsidDel="00000000" w:rsidP="00000000" w:rsidRDefault="00000000" w:rsidRPr="00000000" w14:paraId="0000000E">
      <w:pPr>
        <w:tabs>
          <w:tab w:val="left" w:leader="none" w:pos="426"/>
        </w:tabs>
        <w:ind w:right="-3"/>
        <w:jc w:val="both"/>
        <w:rPr>
          <w:color w:val="000000"/>
          <w:sz w:val="24"/>
          <w:szCs w:val="24"/>
          <w:vertAlign w:val="baseline"/>
        </w:rPr>
      </w:pPr>
      <w:r w:rsidDel="00000000" w:rsidR="00000000" w:rsidRPr="00000000">
        <w:rPr>
          <w:sz w:val="24"/>
          <w:szCs w:val="24"/>
          <w:vertAlign w:val="baseline"/>
          <w:rtl w:val="0"/>
        </w:rPr>
        <w:t xml:space="preserve">            Комисията служебно е извършила справки в регистър НБД „Население“, в Търговски регистър, регистър на юридическите лица с нестопанска цел (ТРРЮЛНЦ), в Сиела и в Регистър на лицата, заемащи висши публични длъжности на КПКОНПИ – за подадените от Деница Славкова декларации по чл.35, ал.1, т.2 от ЗПКОНПИ. </w:t>
      </w:r>
      <w:r w:rsidDel="00000000" w:rsidR="00000000" w:rsidRPr="00000000">
        <w:rPr>
          <w:rtl w:val="0"/>
        </w:rPr>
      </w:r>
    </w:p>
    <w:p w:rsidR="00000000" w:rsidDel="00000000" w:rsidP="00000000" w:rsidRDefault="00000000" w:rsidRPr="00000000" w14:paraId="0000000F">
      <w:pPr>
        <w:tabs>
          <w:tab w:val="left" w:leader="none" w:pos="426"/>
        </w:tabs>
        <w:ind w:right="-3"/>
        <w:jc w:val="both"/>
        <w:rPr>
          <w:color w:val="000000"/>
          <w:sz w:val="24"/>
          <w:szCs w:val="24"/>
          <w:vertAlign w:val="baseline"/>
        </w:rPr>
      </w:pPr>
      <w:r w:rsidDel="00000000" w:rsidR="00000000" w:rsidRPr="00000000">
        <w:rPr>
          <w:rtl w:val="0"/>
        </w:rPr>
      </w:r>
    </w:p>
    <w:p w:rsidR="00000000" w:rsidDel="00000000" w:rsidP="00000000" w:rsidRDefault="00000000" w:rsidRPr="00000000" w14:paraId="00000010">
      <w:pPr>
        <w:tabs>
          <w:tab w:val="left" w:leader="none" w:pos="426"/>
        </w:tabs>
        <w:ind w:right="-3" w:firstLine="720"/>
        <w:jc w:val="both"/>
        <w:rPr>
          <w:b w:val="0"/>
          <w:bCs w:val="0"/>
          <w:color w:val="000000"/>
          <w:sz w:val="24"/>
          <w:szCs w:val="24"/>
          <w:vertAlign w:val="baseline"/>
        </w:rPr>
      </w:pPr>
      <w:r w:rsidDel="00000000" w:rsidR="00000000" w:rsidRPr="00000000">
        <w:rPr>
          <w:b w:val="1"/>
          <w:bCs w:val="1"/>
          <w:i w:val="1"/>
          <w:iCs w:val="1"/>
          <w:sz w:val="24"/>
          <w:szCs w:val="24"/>
          <w:vertAlign w:val="baseline"/>
          <w:rtl w:val="0"/>
        </w:rPr>
        <w:t xml:space="preserve">От събраните в хода на административното производство доказателства,</w:t>
      </w:r>
      <w:r w:rsidDel="00000000" w:rsidR="00000000" w:rsidRPr="00000000">
        <w:rPr>
          <w:b w:val="1"/>
          <w:bCs w:val="1"/>
          <w:color w:val="000000"/>
          <w:sz w:val="24"/>
          <w:szCs w:val="24"/>
          <w:vertAlign w:val="baseline"/>
          <w:rtl w:val="0"/>
        </w:rPr>
        <w:t xml:space="preserve"> </w:t>
      </w:r>
      <w:r w:rsidDel="00000000" w:rsidR="00000000" w:rsidRPr="00000000">
        <w:rPr>
          <w:b w:val="1"/>
          <w:bCs w:val="1"/>
          <w:i w:val="1"/>
          <w:iCs w:val="1"/>
          <w:sz w:val="24"/>
          <w:szCs w:val="24"/>
          <w:vertAlign w:val="baseline"/>
          <w:rtl w:val="0"/>
        </w:rPr>
        <w:t xml:space="preserve">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1">
      <w:pPr>
        <w:tabs>
          <w:tab w:val="left" w:leader="none" w:pos="426"/>
        </w:tabs>
        <w:ind w:right="-3"/>
        <w:jc w:val="both"/>
        <w:rPr>
          <w:sz w:val="24"/>
          <w:szCs w:val="24"/>
          <w:vertAlign w:val="baseline"/>
        </w:rPr>
      </w:pPr>
      <w:r w:rsidDel="00000000" w:rsidR="00000000" w:rsidRPr="00000000">
        <w:rPr>
          <w:rtl w:val="0"/>
        </w:rPr>
      </w:r>
    </w:p>
    <w:p w:rsidR="00000000" w:rsidDel="00000000" w:rsidP="00000000" w:rsidRDefault="00000000" w:rsidRPr="00000000" w14:paraId="00000012">
      <w:pPr>
        <w:tabs>
          <w:tab w:val="left" w:leader="none" w:pos="426"/>
        </w:tabs>
        <w:ind w:right="-3" w:firstLine="720"/>
        <w:jc w:val="both"/>
        <w:rPr>
          <w:color w:val="000000"/>
          <w:sz w:val="24"/>
          <w:szCs w:val="24"/>
          <w:vertAlign w:val="baseline"/>
        </w:rPr>
      </w:pPr>
      <w:r w:rsidDel="00000000" w:rsidR="00000000" w:rsidRPr="00000000">
        <w:rPr>
          <w:sz w:val="24"/>
          <w:szCs w:val="24"/>
          <w:vertAlign w:val="baseline"/>
          <w:rtl w:val="0"/>
        </w:rPr>
        <w:t xml:space="preserve">Сигналът е подаден от юридическо лице чрез неговия законен представител, посочен с три имена, ЕГН, адрес, телефон, и е подписан.</w:t>
      </w:r>
      <w:r w:rsidDel="00000000" w:rsidR="00000000" w:rsidRPr="00000000">
        <w:rPr>
          <w:rtl w:val="0"/>
        </w:rPr>
      </w:r>
    </w:p>
    <w:p w:rsidR="00000000" w:rsidDel="00000000" w:rsidP="00000000" w:rsidRDefault="00000000" w:rsidRPr="00000000" w14:paraId="00000013">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Деница  Славкова е назначена на длъжността „Директор на Регионална инспекция по околна среда и водите – гр. М.“ по Трудов договор № 1017/09.08.2021 г., сключен с Министерство на околната среда и водите (МОСВ), считано от 10.08.2021 г</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Славкова е заемала същата длъжност и до 26.05.2020 г. </w:t>
      </w:r>
    </w:p>
    <w:p w:rsidR="00000000" w:rsidDel="00000000" w:rsidP="00000000" w:rsidRDefault="00000000" w:rsidRPr="00000000" w14:paraId="00000014">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Видно от писмо с вх. № ЦУ01/2821#1 от 19.04.2022 г. на КПКОНПИ, МОСВ не разполага с данни за съдебни дела, водени от Деница Славкова срещу РИОСВ-М. Със Заповед № 527 от 26.05.2020 г., трудовото й правоотношение е било прекратено, като Славкова е обжалвала заповедта по съдебен ред пред Районен съд (РС) – М. С Решение № 260148 от 23.12.2020 г. РС-М. отменя обжалвания акт като незаконосъобразен. Въззивната инстанция- Окръжен съд М. приема за неправилни изводите на първоинстанционния съд и отменя решението. Същото се потвърждава и от Върховен касационен съд с Определение №5 /07.01.2022 г.</w:t>
      </w:r>
    </w:p>
    <w:p w:rsidR="00000000" w:rsidDel="00000000" w:rsidP="00000000" w:rsidRDefault="00000000" w:rsidRPr="00000000" w14:paraId="00000015">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справки в ТРРЮЛНЦ и в регистър НБД „Население“ се установява, че инвеститорът по ИП „</w:t>
      </w:r>
      <w:r w:rsidDel="00000000" w:rsidR="00000000" w:rsidRPr="00000000">
        <w:rPr>
          <w:color w:val="000000"/>
          <w:sz w:val="24"/>
          <w:szCs w:val="24"/>
          <w:vertAlign w:val="baseline"/>
          <w:rtl w:val="0"/>
        </w:rPr>
        <w:t xml:space="preserve">Добив на пясък и чакъл от находище „Г.“ в землището на с. П. и с. О., община Б.</w:t>
      </w:r>
      <w:r w:rsidDel="00000000" w:rsidR="00000000" w:rsidRPr="00000000">
        <w:rPr>
          <w:sz w:val="24"/>
          <w:szCs w:val="24"/>
          <w:vertAlign w:val="baseline"/>
          <w:rtl w:val="0"/>
        </w:rPr>
        <w:t xml:space="preserve">“ и ПИ „Път за връзка на ПИ 55258.15.18 по КК и КР на с. П., общ. Б. с държавната пътна мрежа до Републикански път ІІІ-101“ - „***“ АД, ЕИК: *** е акционерно дружество, основано на 23.04.1997 г. и вписано в Окръжен съд –М. с предмет на дейност: Високо и ниско строителство; добив и реализация на инертни материали, каменни фракции и бетонови разтвори; добив на злато при пресяване на баластра; транспортна дейност и услуги в страната и в чужбина; стопански туризъм, търговия и услуги в страната и в чужбина; производство и търговия с химически продукти и печатарски мастила; създаване и приложение на нови технологии в областта на екологията, както и други дейности не забранени от закона. Дружеството е с едностепенна система на управление - Съвет на директорите в състав: Р.Г.П., М.Г.С. и М.Ц.В., представлявано от Р.Г.П. и е с капитал  50 000 лева, разпределен в 50 000 поименни акции, по 1 лев всяка. Според Книга на акционерите притежателите на поименни акции са десет физически лица, сред които не се установява името на Деница Славкова. Сред членовете на съвета на директорите и акционерите в дружеството не се установяват лица в родство със Славкова, видно от справката в НБД „Население“.   </w:t>
      </w:r>
    </w:p>
    <w:p w:rsidR="00000000" w:rsidDel="00000000" w:rsidP="00000000" w:rsidRDefault="00000000" w:rsidRPr="00000000" w14:paraId="00000016">
      <w:pPr>
        <w:tabs>
          <w:tab w:val="left" w:leader="none" w:pos="426"/>
        </w:tabs>
        <w:ind w:right="-3" w:firstLine="720"/>
        <w:jc w:val="both"/>
        <w:rPr>
          <w:color w:val="000000"/>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установява, че с Решение по оценка на въздействието върху околната среда (ОВОС) на министъра на околното среда и водите №2-1/06.02.2013 г. е одобрено инвестиционно предложение от инвеститора „***“ АД за </w:t>
      </w:r>
      <w:r w:rsidDel="00000000" w:rsidR="00000000" w:rsidRPr="00000000">
        <w:rPr>
          <w:color w:val="000000"/>
          <w:sz w:val="24"/>
          <w:szCs w:val="24"/>
          <w:vertAlign w:val="baseline"/>
          <w:rtl w:val="0"/>
        </w:rPr>
        <w:t xml:space="preserve">„Добив на пясък и чакъл от находище „Г.“ в землището на с. П. и с. О., община Б., обл. М.“ при Алтернативен вариант за добив до нивото на подземните води, без да се навлиза в подземното водно тяло, като добивните работи започнат първоначално само от участък „П.“. На основание чл.99, ал. 8 от Закона за опазване на околната среда (ЗООС) решението губи правно действие, ако в срок до пет години от датата на издаването му не е започнало осъществяването на инвестиционното предложение. </w:t>
      </w:r>
    </w:p>
    <w:p w:rsidR="00000000" w:rsidDel="00000000" w:rsidP="00000000" w:rsidRDefault="00000000" w:rsidRPr="00000000" w14:paraId="00000017">
      <w:pPr>
        <w:tabs>
          <w:tab w:val="left" w:leader="none" w:pos="426"/>
        </w:tabs>
        <w:ind w:right="-3" w:firstLine="720"/>
        <w:jc w:val="both"/>
        <w:rPr>
          <w:sz w:val="24"/>
          <w:szCs w:val="24"/>
          <w:vertAlign w:val="baseline"/>
        </w:rPr>
      </w:pPr>
      <w:r w:rsidDel="00000000" w:rsidR="00000000" w:rsidRPr="00000000">
        <w:rPr>
          <w:color w:val="000000"/>
          <w:sz w:val="24"/>
          <w:szCs w:val="24"/>
          <w:vertAlign w:val="baseline"/>
          <w:rtl w:val="0"/>
        </w:rPr>
        <w:t xml:space="preserve">На 12.10.2020 г. с вх. № 5489/12.10.2020 г. в РИОСВ-М. е регистрирано уведомление за инвестиционно предложение „</w:t>
      </w:r>
      <w:r w:rsidDel="00000000" w:rsidR="00000000" w:rsidRPr="00000000">
        <w:rPr>
          <w:sz w:val="24"/>
          <w:szCs w:val="24"/>
          <w:vertAlign w:val="baseline"/>
          <w:rtl w:val="0"/>
        </w:rPr>
        <w:t xml:space="preserve">Път за връзка на ПИ 55258.15.18 по КК и КР на с. П., общ. Б. с държавната пътна мрежа до Републикански път ІІІ -101</w:t>
      </w:r>
      <w:r w:rsidDel="00000000" w:rsidR="00000000" w:rsidRPr="00000000">
        <w:rPr>
          <w:color w:val="000000"/>
          <w:sz w:val="24"/>
          <w:szCs w:val="24"/>
          <w:vertAlign w:val="baseline"/>
          <w:rtl w:val="0"/>
        </w:rPr>
        <w:t xml:space="preserve">“ с възложител „***“ АД, което по същество е свързано и се явява съпътстваща дейност на инвестиционно предложение „Добив на пясък и чакъл от находище „Г.“ в землището на с. П. и с. О., община Б., обл. М.“, одобрено с Решение 2-1/2013 г. по ОВОС на министъра на околната среда и водите. Междувременно Решение № 2-1/2013 г. е атакувано от „***“ пред съда като нищожно и се иска обявяване на загуба на правно действие поради незапочването изпълнението на инвестиционното предложение в петгодишния срок от издаване на акта за разрешаването му. Сдружението „***“ е юридическо лице с нестопанска цел- екологична неправителствена организация, чиято цел, съгласно фирменото й досие е да работи за опазване на околната среда - водите, въздуха, земите, горите, подземните богатства, местните растителни и животински видове и ландшафта в Република България и др. С Решение № 13405/29.10.2020 г.</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по адм. д. № 13519/2019 г., VІ-то Отделение на ВАС отхвърля жалбата на екологичното сдружение, като приема, че оспореният административен акт съдържа всички реквизити по чл. 99, ал. 3, т. 1- 9 от ЗООС (ДВ, бр. 32 от 2012 г.), отговаря на изискванията за форма и обективира мотивирано волеизявление на компетентния орган за одобряване осъществяването на инвестиционното предложение, проведеното административно производство е следвало нормативно установените етапи и не се установява съществено опорочаване на административнопроизводствените правила, което би породило нищожност. </w:t>
      </w:r>
      <w:r w:rsidDel="00000000" w:rsidR="00000000" w:rsidRPr="00000000">
        <w:rPr>
          <w:rtl w:val="0"/>
        </w:rPr>
      </w:r>
    </w:p>
    <w:p w:rsidR="00000000" w:rsidDel="00000000" w:rsidP="00000000" w:rsidRDefault="00000000" w:rsidRPr="00000000" w14:paraId="00000018">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Като неоснователно магистратите преценяват и искането на жалбоподателя за "прогласяване загуба на правно действие" на решението по оценка на въздействието върху околната среда, т.к. същото не подлежи на изрично обявяване с решение на съда, а се установява от компетентния контролен орган по околната среда. Освен това по делото са представени доказателства, които сочат, че от страна на възложителя са предприети действия, показващи активност за реализация на инвестиционното му намерение, които съдът е приел. </w:t>
      </w:r>
    </w:p>
    <w:p w:rsidR="00000000" w:rsidDel="00000000" w:rsidP="00000000" w:rsidRDefault="00000000" w:rsidRPr="00000000" w14:paraId="00000019">
      <w:pPr>
        <w:tabs>
          <w:tab w:val="left" w:leader="none" w:pos="426"/>
        </w:tabs>
        <w:ind w:right="-3" w:firstLine="720"/>
        <w:jc w:val="both"/>
        <w:rPr>
          <w:color w:val="000000"/>
          <w:sz w:val="24"/>
          <w:szCs w:val="24"/>
          <w:vertAlign w:val="baseline"/>
        </w:rPr>
      </w:pPr>
      <w:r w:rsidDel="00000000" w:rsidR="00000000" w:rsidRPr="00000000">
        <w:rPr>
          <w:sz w:val="24"/>
          <w:szCs w:val="24"/>
          <w:vertAlign w:val="baseline"/>
          <w:rtl w:val="0"/>
        </w:rPr>
        <w:t xml:space="preserve">В отговор на касационна жалба от „</w:t>
      </w:r>
      <w:r w:rsidDel="00000000" w:rsidR="00000000" w:rsidRPr="00000000">
        <w:rPr>
          <w:color w:val="000000"/>
          <w:sz w:val="24"/>
          <w:szCs w:val="24"/>
          <w:vertAlign w:val="baseline"/>
          <w:rtl w:val="0"/>
        </w:rPr>
        <w:t xml:space="preserve">***“, петчленен състав на ВАС с Решение № 9418 от 15.09.2021 г. оставя в сила Решение № 13405 от 29.10.2020 г. на ВАС, Шесто отделение, като правилно и законосъобразно, съобразено с изяснената по делото фактическа обстановка. Решението е окончателно.</w:t>
      </w:r>
    </w:p>
    <w:p w:rsidR="00000000" w:rsidDel="00000000" w:rsidP="00000000" w:rsidRDefault="00000000" w:rsidRPr="00000000" w14:paraId="0000001A">
      <w:pPr>
        <w:tabs>
          <w:tab w:val="left" w:leader="none" w:pos="426"/>
        </w:tabs>
        <w:ind w:right="-3" w:firstLine="720"/>
        <w:jc w:val="both"/>
        <w:rPr>
          <w:sz w:val="24"/>
          <w:szCs w:val="24"/>
          <w:vertAlign w:val="baseline"/>
        </w:rPr>
      </w:pPr>
      <w:r w:rsidDel="00000000" w:rsidR="00000000" w:rsidRPr="00000000">
        <w:rPr>
          <w:color w:val="000000"/>
          <w:sz w:val="24"/>
          <w:szCs w:val="24"/>
          <w:vertAlign w:val="baseline"/>
          <w:rtl w:val="0"/>
        </w:rPr>
        <w:t xml:space="preserve">С вх. № 7145/29.12.2021 г.  на РИОСВ -М. и вх. № 48-00-236/29.12.2021 г. на МОСВ е заведено възражение – сигнал от „***“ срещу ИП „</w:t>
      </w:r>
      <w:r w:rsidDel="00000000" w:rsidR="00000000" w:rsidRPr="00000000">
        <w:rPr>
          <w:sz w:val="24"/>
          <w:szCs w:val="24"/>
          <w:vertAlign w:val="baseline"/>
          <w:rtl w:val="0"/>
        </w:rPr>
        <w:t xml:space="preserve">Път за връзка на ПИ 55258.15.18 по КК и КР на с. П., общ. Б. с държавната пътна мрежа до Републикански път ІІІ-101“ с искане от директора на РИОСВ – М. да прекрати процедурата по това инвестиционно предложение като незаконно и недопустимо, т.к. се касае за пътна връзка на кариерата за добив на баластра, чието Решение по ОВОС (Решение 2-1/ 06.02.2013 г.) е загубило правно действие.  </w:t>
      </w:r>
    </w:p>
    <w:p w:rsidR="00000000" w:rsidDel="00000000" w:rsidP="00000000" w:rsidRDefault="00000000" w:rsidRPr="00000000" w14:paraId="0000001B">
      <w:pPr>
        <w:tabs>
          <w:tab w:val="left" w:leader="none" w:pos="426"/>
        </w:tabs>
        <w:ind w:right="-3" w:firstLine="720"/>
        <w:jc w:val="both"/>
        <w:rPr>
          <w:sz w:val="24"/>
          <w:szCs w:val="24"/>
          <w:vertAlign w:val="baseline"/>
        </w:rPr>
      </w:pPr>
      <w:r w:rsidDel="00000000" w:rsidR="00000000" w:rsidRPr="00000000">
        <w:rPr>
          <w:color w:val="000000"/>
          <w:sz w:val="24"/>
          <w:szCs w:val="24"/>
          <w:vertAlign w:val="baseline"/>
          <w:rtl w:val="0"/>
        </w:rPr>
        <w:t xml:space="preserve">На 05.01.2022 г. Деница Славкова като директор на РИОСВ-М. е издала административен акт - Решение № МО1-С /2022 г. за спиране на административното производство </w:t>
      </w:r>
      <w:r w:rsidDel="00000000" w:rsidR="00000000" w:rsidRPr="00000000">
        <w:rPr>
          <w:sz w:val="24"/>
          <w:szCs w:val="24"/>
          <w:vertAlign w:val="baseline"/>
          <w:rtl w:val="0"/>
        </w:rPr>
        <w:t xml:space="preserve">по внесеното от „***“ АД искане(вх. № 7076/21.12.2021 г. на РИОСВ -М.) за преценка необходимосттта от ОВОС за ИП „Път за връзка на ПИ 55258.15.18 по КК и КР на с. П. , общ. Б. с държавната пътна мрежа до Републикански път ІІІ-101“ до произнасянето по постъпилото възражение –сигнал от „***“. </w:t>
      </w:r>
    </w:p>
    <w:p w:rsidR="00000000" w:rsidDel="00000000" w:rsidP="00000000" w:rsidRDefault="00000000" w:rsidRPr="00000000" w14:paraId="0000001C">
      <w:pPr>
        <w:tabs>
          <w:tab w:val="left" w:leader="none" w:pos="0"/>
        </w:tabs>
        <w:ind w:right="-3" w:firstLine="720"/>
        <w:jc w:val="both"/>
        <w:rPr>
          <w:sz w:val="24"/>
          <w:szCs w:val="24"/>
          <w:vertAlign w:val="baseline"/>
        </w:rPr>
      </w:pPr>
      <w:r w:rsidDel="00000000" w:rsidR="00000000" w:rsidRPr="00000000">
        <w:rPr>
          <w:sz w:val="24"/>
          <w:szCs w:val="24"/>
          <w:vertAlign w:val="baseline"/>
          <w:rtl w:val="0"/>
        </w:rPr>
        <w:t xml:space="preserve">По преписката са представени с приобщения сигнал с вх. № ЦУ01/С-</w:t>
      </w:r>
      <w:r w:rsidDel="00000000" w:rsidR="00000000" w:rsidRPr="00000000">
        <w:rPr>
          <w:color w:val="000000"/>
          <w:sz w:val="24"/>
          <w:szCs w:val="24"/>
          <w:vertAlign w:val="baseline"/>
          <w:rtl w:val="0"/>
        </w:rPr>
        <w:t xml:space="preserve"> 532/21.06.2022 г. на КПКОНПИ Решение от 30.03.2021 г. на Окръжен съд –М. и Определение №5 /07.01.2022 г. на Върховен касационен съд.</w:t>
      </w:r>
      <w:r w:rsidDel="00000000" w:rsidR="00000000" w:rsidRPr="00000000">
        <w:rPr>
          <w:rtl w:val="0"/>
        </w:rPr>
      </w:r>
    </w:p>
    <w:p w:rsidR="00000000" w:rsidDel="00000000" w:rsidP="00000000" w:rsidRDefault="00000000" w:rsidRPr="00000000" w14:paraId="0000001D">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справка в НБД „Население“ не се установява родство между Славкова и членовете на управителните органи, акционерите и представляващите на „***“ АД и на „***“. Видно от ТРРЮЛНЦ Деница Славкова не е вписана като едноличен търговец, не е съдружник, акционер или член на управителен или контролен орган на търговско дружество или на юридическо лице с нестопанска цел. </w:t>
      </w:r>
    </w:p>
    <w:p w:rsidR="00000000" w:rsidDel="00000000" w:rsidP="00000000" w:rsidRDefault="00000000" w:rsidRPr="00000000" w14:paraId="0000001E">
      <w:pPr>
        <w:tabs>
          <w:tab w:val="left" w:leader="none" w:pos="426"/>
        </w:tabs>
        <w:ind w:right="-3"/>
        <w:jc w:val="both"/>
        <w:rPr>
          <w:color w:val="000000"/>
          <w:sz w:val="24"/>
          <w:szCs w:val="24"/>
          <w:vertAlign w:val="baseline"/>
        </w:rPr>
      </w:pPr>
      <w:r w:rsidDel="00000000" w:rsidR="00000000" w:rsidRPr="00000000">
        <w:rPr>
          <w:rtl w:val="0"/>
        </w:rPr>
      </w:r>
    </w:p>
    <w:p w:rsidR="00000000" w:rsidDel="00000000" w:rsidP="00000000" w:rsidRDefault="00000000" w:rsidRPr="00000000" w14:paraId="0000001F">
      <w:pPr>
        <w:spacing w:after="240" w:lineRule="auto"/>
        <w:ind w:right="-3"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0">
      <w:pPr>
        <w:ind w:right="-3"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 </w:t>
      </w:r>
    </w:p>
    <w:p w:rsidR="00000000" w:rsidDel="00000000" w:rsidP="00000000" w:rsidRDefault="00000000" w:rsidRPr="00000000" w14:paraId="00000021">
      <w:pPr>
        <w:ind w:right="-3"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2">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Като директор на РИОСВ- М. </w:t>
      </w:r>
      <w:r w:rsidDel="00000000" w:rsidR="00000000" w:rsidRPr="00000000">
        <w:rPr>
          <w:color w:val="000000"/>
          <w:sz w:val="24"/>
          <w:szCs w:val="24"/>
          <w:vertAlign w:val="baseline"/>
          <w:rtl w:val="0"/>
        </w:rPr>
        <w:t xml:space="preserve">в периода до 26.05.2020 г. и от 10.08.2021 г.  Деница  Славкова </w:t>
      </w:r>
      <w:r w:rsidDel="00000000" w:rsidR="00000000" w:rsidRPr="00000000">
        <w:rPr>
          <w:sz w:val="24"/>
          <w:szCs w:val="24"/>
          <w:vertAlign w:val="baseline"/>
          <w:rtl w:val="0"/>
        </w:rPr>
        <w:t xml:space="preserve">е лице, заемащо висша публична длъжност по чл.6, ал.1, т. 23 от ЗПКОНПИ и компетентна да се произнесе относно наличието или липсата на конфликт на интереси по отношение на нея е КПКОНПИ. </w:t>
      </w:r>
    </w:p>
    <w:p w:rsidR="00000000" w:rsidDel="00000000" w:rsidP="00000000" w:rsidRDefault="00000000" w:rsidRPr="00000000" w14:paraId="00000023">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чл. 4, ал. 1 от Правилника за устройството и дейността на регионалните инспекции по околната среда и водите (Правилника), същите се представляват от директор или от оправомощено от него длъжностно лице, съгласувано с министъра на околната среда и водите. Член 6 от Правилника регламентира, че директорът на РИОСВ организира, ръководи и контролира цялостната дейност на РИОСВ, издава наказателни постановления и административни актове в изпълнение на законоустановените му компетенции; налага глоби, имуществени санкции и принудителни административни мерки при констатирани нарушения на законодателството в областта на околната среда; оправомощава длъжностни лица от РИОСВ да съставят предупредителни и констативни протоколи, както и актове за установяване на административни нарушения в рамките на предоставените му компетенции.</w:t>
      </w:r>
    </w:p>
    <w:p w:rsidR="00000000" w:rsidDel="00000000" w:rsidP="00000000" w:rsidRDefault="00000000" w:rsidRPr="00000000" w14:paraId="00000024">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чл. 93, ал.1, т.3 от Закона за опазване на околната среда (ЗООС) необходимостта от извършване на Оценка за въздействието върху околната среда (ОВОС) се преценява за всяко разширение или изменение на инвестиционни предложения съгласно Приложение № 1 към този закон и Приложение № 1 към чл. 2 от Конвенцията по оценка на въздействието върху околната среда в трансграничен контекст, които вече са одобрени или са в процес на одобряване, изпълнени са или са в процес на изпълнение, ако това разширение или изменение може да доведе до значително отрицателно въздействие върху околната среда. Компетентният орган да се произнесе с мотивирано решение за необходимостта от ОВОС, съгласно ал. 3 от същата разпоредба, е директорът на РИОСВ. </w:t>
      </w:r>
    </w:p>
    <w:p w:rsidR="00000000" w:rsidDel="00000000" w:rsidP="00000000" w:rsidRDefault="00000000" w:rsidRPr="00000000" w14:paraId="00000025">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установява, че Деница Славкова в качеството й на директор на РИОСВ –М. и лице, заемащо висша публична длъжност, е издала Решение №МО1-С/ 05.01.2022 г., с което спира административното производство по внесеното от „***“ АД искане до произнасянето по постъпилото възражение –сигнал от „***“. </w:t>
      </w:r>
    </w:p>
    <w:p w:rsidR="00000000" w:rsidDel="00000000" w:rsidP="00000000" w:rsidRDefault="00000000" w:rsidRPr="00000000" w14:paraId="00000026">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Липсата на родство между Деница Славова от една страна и лицата, управляващи и представляващи  „***“  АД  и „***“ от друга, обуславя липсата на свързаност между тях по смисъла на §1, т.15, б.“а“ от ДР на ЗПКОНПИ. Липсата на свързаност между Славкова и управляващите и представляващи „***“ АД и „***“ предопределя и липсата на частен интерес, който би повлиял върху обективното и безпристрастно изпълнение на упражненото от нея правомощие. </w:t>
      </w:r>
    </w:p>
    <w:p w:rsidR="00000000" w:rsidDel="00000000" w:rsidP="00000000" w:rsidRDefault="00000000" w:rsidRPr="00000000" w14:paraId="00000027">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Липсата на частен интерес за лицето, заемащо висша публична длъжност или за свързани с него лица, води до невъзможност за реализиране на фактическия състав на конфликта на интереси.   </w:t>
      </w:r>
    </w:p>
    <w:p w:rsidR="00000000" w:rsidDel="00000000" w:rsidP="00000000" w:rsidRDefault="00000000" w:rsidRPr="00000000" w14:paraId="00000028">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По отношение на твърденията в сигнал с вх. № ЦУ01/С-262 /09.03.2022г на КПКОНПИ, че директорът на РИОСВ-М. е съдила инспекцията, загубила е делата и не е платила  дължимото, от представено по преписката писмо с вх. № ЦУ01/2821#1 от 19.04.2022 г.  се установява, че МОСВ не разполага с данни за съдебни дела, водени от Деница Славкова срещу РИОСВ-М. От извършена от Комисията проверка и събраните по преписката доказателства се установява, че Славкова е обжалвала по съдебен ред Заповед № 527 от 26.05.2020 г., с която трудовото й правоотношение е било прекратено. Районният съд в М. с Решение № 260148 от 23.12.2020 г. отменя обжалвания акт като незаконосъобразен. Въззивната инстанция приема за неправилни изводите на първоинстанционния съд и отменя неговото решение. Тези обстоятелства  засягат единствено личните граждански права на Славкова, а редът за събиране на вземания не е предмет на ЗКПКОНПИ. </w:t>
      </w:r>
    </w:p>
    <w:p w:rsidR="00000000" w:rsidDel="00000000" w:rsidP="00000000" w:rsidRDefault="00000000" w:rsidRPr="00000000" w14:paraId="00000029">
      <w:pPr>
        <w:ind w:right="-3" w:firstLine="720"/>
        <w:jc w:val="both"/>
        <w:rPr>
          <w:sz w:val="24"/>
          <w:szCs w:val="24"/>
          <w:vertAlign w:val="baseline"/>
        </w:rPr>
      </w:pPr>
      <w:r w:rsidDel="00000000" w:rsidR="00000000" w:rsidRPr="00000000">
        <w:rPr>
          <w:sz w:val="24"/>
          <w:szCs w:val="24"/>
          <w:vertAlign w:val="baseline"/>
          <w:rtl w:val="0"/>
        </w:rPr>
        <w:t xml:space="preserve">Предвид изложеното, на основание чл. 74, ал.1 и ал.2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2A">
      <w:pPr>
        <w:ind w:right="-3" w:firstLine="709"/>
        <w:jc w:val="both"/>
        <w:rPr>
          <w:sz w:val="24"/>
          <w:szCs w:val="24"/>
          <w:vertAlign w:val="baseline"/>
        </w:rPr>
      </w:pPr>
      <w:r w:rsidDel="00000000" w:rsidR="00000000" w:rsidRPr="00000000">
        <w:rPr>
          <w:rtl w:val="0"/>
        </w:rPr>
      </w:r>
    </w:p>
    <w:p w:rsidR="00000000" w:rsidDel="00000000" w:rsidP="00000000" w:rsidRDefault="00000000" w:rsidRPr="00000000" w14:paraId="0000002B">
      <w:pPr>
        <w:ind w:right="-3" w:firstLine="709"/>
        <w:jc w:val="both"/>
        <w:rPr>
          <w:b w:val="0"/>
          <w:bCs w:val="0"/>
          <w:sz w:val="24"/>
          <w:szCs w:val="24"/>
          <w:vertAlign w:val="baseline"/>
        </w:rPr>
      </w:pPr>
      <w:r w:rsidDel="00000000" w:rsidR="00000000" w:rsidRPr="00000000">
        <w:rPr>
          <w:b w:val="1"/>
          <w:bCs w:val="1"/>
          <w:sz w:val="24"/>
          <w:szCs w:val="24"/>
          <w:vertAlign w:val="baseline"/>
          <w:rtl w:val="0"/>
        </w:rPr>
        <w:t xml:space="preserve">                                            </w:t>
        <w:tab/>
        <w:tab/>
        <w:t xml:space="preserve">РЕШИ:</w:t>
      </w:r>
      <w:r w:rsidDel="00000000" w:rsidR="00000000" w:rsidRPr="00000000">
        <w:rPr>
          <w:rtl w:val="0"/>
        </w:rPr>
      </w:r>
    </w:p>
    <w:p w:rsidR="00000000" w:rsidDel="00000000" w:rsidP="00000000" w:rsidRDefault="00000000" w:rsidRPr="00000000" w14:paraId="0000002C">
      <w:pPr>
        <w:ind w:right="-3"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D">
      <w:pPr>
        <w:tabs>
          <w:tab w:val="left" w:leader="none" w:pos="720"/>
        </w:tabs>
        <w:ind w:right="-3" w:firstLine="720"/>
        <w:jc w:val="both"/>
        <w:rPr>
          <w:sz w:val="24"/>
          <w:szCs w:val="24"/>
          <w:vertAlign w:val="baseline"/>
        </w:rPr>
      </w:pPr>
      <w:r w:rsidDel="00000000" w:rsidR="00000000" w:rsidRPr="00000000">
        <w:rPr>
          <w:b w:val="1"/>
          <w:bCs w:val="1"/>
          <w:sz w:val="24"/>
          <w:szCs w:val="24"/>
          <w:vertAlign w:val="baseline"/>
          <w:rtl w:val="0"/>
        </w:rPr>
        <w:t xml:space="preserve"> НЕ УСТАНОВЯВА </w:t>
      </w:r>
      <w:r w:rsidDel="00000000" w:rsidR="00000000" w:rsidRPr="00000000">
        <w:rPr>
          <w:sz w:val="24"/>
          <w:szCs w:val="24"/>
          <w:vertAlign w:val="baseline"/>
          <w:rtl w:val="0"/>
        </w:rPr>
        <w:t xml:space="preserve">конфликт на интереси по отношение на Деница  Славкова, ЕГН: ********** в качеството й на директор на Регионална инспекция по околна среда и водите -М. и лице, заемащо висша публична длъжност по чл.6, ал.1, т.23 от  ЗПКОНПИ, във връзка с издадено от нея Решение № МО 1-С/05.01.2022 г., поради липса на частен интерес.</w:t>
      </w:r>
    </w:p>
    <w:p w:rsidR="00000000" w:rsidDel="00000000" w:rsidP="00000000" w:rsidRDefault="00000000" w:rsidRPr="00000000" w14:paraId="0000002E">
      <w:pPr>
        <w:ind w:right="-3" w:firstLine="720"/>
        <w:jc w:val="both"/>
        <w:rPr>
          <w:sz w:val="24"/>
          <w:szCs w:val="24"/>
          <w:vertAlign w:val="baseline"/>
        </w:rPr>
      </w:pPr>
      <w:r w:rsidDel="00000000" w:rsidR="00000000" w:rsidRPr="00000000">
        <w:rPr>
          <w:sz w:val="24"/>
          <w:szCs w:val="24"/>
          <w:vertAlign w:val="baseline"/>
          <w:rtl w:val="0"/>
        </w:rPr>
        <w:t xml:space="preserve">На основание чл. 75, т.1 от ЗПКОНПИ решението на Комисията се съобщава на заинтересованото лице – Деница  Славкова.</w:t>
      </w:r>
    </w:p>
    <w:p w:rsidR="00000000" w:rsidDel="00000000" w:rsidP="00000000" w:rsidRDefault="00000000" w:rsidRPr="00000000" w14:paraId="0000002F">
      <w:pPr>
        <w:ind w:right="-3"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М., с оглед преценка за реализиране на правомощията по чл. 76, ал. 2 от ЗПКОНПИ.</w:t>
      </w:r>
    </w:p>
    <w:p w:rsidR="00000000" w:rsidDel="00000000" w:rsidP="00000000" w:rsidRDefault="00000000" w:rsidRPr="00000000" w14:paraId="00000030">
      <w:pPr>
        <w:ind w:right="-3" w:firstLine="720"/>
        <w:jc w:val="both"/>
        <w:rPr>
          <w:sz w:val="24"/>
          <w:szCs w:val="24"/>
          <w:vertAlign w:val="baseline"/>
        </w:rPr>
      </w:pPr>
      <w:r w:rsidDel="00000000" w:rsidR="00000000" w:rsidRPr="00000000">
        <w:rPr>
          <w:rtl w:val="0"/>
        </w:rPr>
      </w:r>
    </w:p>
    <w:p w:rsidR="00000000" w:rsidDel="00000000" w:rsidP="00000000" w:rsidRDefault="00000000" w:rsidRPr="00000000" w14:paraId="00000031">
      <w:pPr>
        <w:tabs>
          <w:tab w:val="left" w:leader="none" w:pos="6300"/>
        </w:tabs>
        <w:spacing w:after="240" w:lineRule="auto"/>
        <w:ind w:right="-3" w:firstLine="709"/>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32">
      <w:pPr>
        <w:ind w:left="1418" w:right="-3" w:firstLine="0"/>
        <w:jc w:val="both"/>
        <w:rPr>
          <w:b w:val="0"/>
          <w:bCs w:val="0"/>
          <w:sz w:val="24"/>
          <w:szCs w:val="24"/>
          <w:vertAlign w:val="baseline"/>
        </w:rPr>
      </w:pPr>
      <w:r w:rsidDel="00000000" w:rsidR="00000000" w:rsidRPr="00000000">
        <w:rPr>
          <w:b w:val="1"/>
          <w:bCs w:val="1"/>
          <w:sz w:val="24"/>
          <w:szCs w:val="24"/>
          <w:vertAlign w:val="baseline"/>
          <w:rtl w:val="0"/>
        </w:rPr>
        <w:t xml:space="preserve">ЗАМЕСТНИК - ПРЕДСЕДАТЕЛ: ..……/П/………/АНТОН СЛАВЧЕВ/</w:t>
      </w:r>
      <w:r w:rsidDel="00000000" w:rsidR="00000000" w:rsidRPr="00000000">
        <w:rPr>
          <w:rtl w:val="0"/>
        </w:rPr>
      </w:r>
    </w:p>
    <w:p w:rsidR="00000000" w:rsidDel="00000000" w:rsidP="00000000" w:rsidRDefault="00000000" w:rsidRPr="00000000" w14:paraId="00000033">
      <w:pPr>
        <w:ind w:left="1418" w:right="-3" w:firstLine="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4">
      <w:pPr>
        <w:ind w:left="1418" w:right="-3" w:firstLine="0"/>
        <w:jc w:val="both"/>
        <w:rPr>
          <w:b w:val="0"/>
          <w:bCs w:val="0"/>
          <w:sz w:val="24"/>
          <w:szCs w:val="24"/>
          <w:vertAlign w:val="baseline"/>
        </w:rPr>
      </w:pPr>
      <w:r w:rsidDel="00000000" w:rsidR="00000000" w:rsidRPr="00000000">
        <w:rPr>
          <w:b w:val="1"/>
          <w:bCs w:val="1"/>
          <w:sz w:val="24"/>
          <w:szCs w:val="24"/>
          <w:vertAlign w:val="baseline"/>
          <w:rtl w:val="0"/>
        </w:rPr>
        <w:t xml:space="preserve">ЧЛЕН: ………………/П/…….........…….……/АНТОАНЕТА ЦОНКОВА/</w:t>
      </w:r>
      <w:r w:rsidDel="00000000" w:rsidR="00000000" w:rsidRPr="00000000">
        <w:rPr>
          <w:rtl w:val="0"/>
        </w:rPr>
      </w:r>
    </w:p>
    <w:p w:rsidR="00000000" w:rsidDel="00000000" w:rsidP="00000000" w:rsidRDefault="00000000" w:rsidRPr="00000000" w14:paraId="00000035">
      <w:pPr>
        <w:ind w:left="1418" w:right="-3" w:firstLine="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6">
      <w:pPr>
        <w:ind w:left="1418" w:right="-3" w:firstLine="0"/>
        <w:jc w:val="both"/>
        <w:rPr>
          <w:b w:val="0"/>
          <w:bCs w:val="0"/>
          <w:sz w:val="24"/>
          <w:szCs w:val="24"/>
          <w:vertAlign w:val="baseline"/>
        </w:rPr>
      </w:pPr>
      <w:r w:rsidDel="00000000" w:rsidR="00000000" w:rsidRPr="00000000">
        <w:rPr>
          <w:b w:val="1"/>
          <w:bCs w:val="1"/>
          <w:sz w:val="24"/>
          <w:szCs w:val="24"/>
          <w:vertAlign w:val="baseline"/>
          <w:rtl w:val="0"/>
        </w:rPr>
        <w:t xml:space="preserve">ЧЛЕН: ………………/П/….........…........….….………/ПЛАМЕН ЙОЦОВ/</w:t>
      </w:r>
      <w:r w:rsidDel="00000000" w:rsidR="00000000" w:rsidRPr="00000000">
        <w:rPr>
          <w:rtl w:val="0"/>
        </w:rPr>
      </w:r>
    </w:p>
    <w:p w:rsidR="00000000" w:rsidDel="00000000" w:rsidP="00000000" w:rsidRDefault="00000000" w:rsidRPr="00000000" w14:paraId="00000037">
      <w:pPr>
        <w:ind w:left="1418" w:right="-3" w:firstLine="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8">
      <w:pPr>
        <w:ind w:left="1418" w:right="-3" w:firstLine="0"/>
        <w:jc w:val="both"/>
        <w:rPr>
          <w:b w:val="0"/>
          <w:bCs w:val="0"/>
          <w:sz w:val="24"/>
          <w:szCs w:val="24"/>
          <w:vertAlign w:val="baseline"/>
        </w:rPr>
      </w:pPr>
      <w:r w:rsidDel="00000000" w:rsidR="00000000" w:rsidRPr="00000000">
        <w:rPr>
          <w:b w:val="1"/>
          <w:bCs w:val="1"/>
          <w:sz w:val="24"/>
          <w:szCs w:val="24"/>
          <w:vertAlign w:val="baseline"/>
          <w:rtl w:val="0"/>
        </w:rPr>
        <w:t xml:space="preserve">ЧЛЕН: ………………/П/…………….……..…..……./СИЛВИЯ КЪДРЕВА/</w:t>
      </w:r>
      <w:r w:rsidDel="00000000" w:rsidR="00000000" w:rsidRPr="00000000">
        <w:rPr>
          <w:rtl w:val="0"/>
        </w:rPr>
      </w:r>
    </w:p>
    <w:p w:rsidR="00000000" w:rsidDel="00000000" w:rsidP="00000000" w:rsidRDefault="00000000" w:rsidRPr="00000000" w14:paraId="00000039">
      <w:pPr>
        <w:jc w:val="both"/>
        <w:rPr>
          <w:sz w:val="22"/>
          <w:szCs w:val="22"/>
          <w:u w:val="single"/>
          <w:vertAlign w:val="baseline"/>
        </w:rPr>
      </w:pPr>
      <w:r w:rsidDel="00000000" w:rsidR="00000000" w:rsidRPr="00000000">
        <w:rPr>
          <w:rtl w:val="0"/>
        </w:rPr>
      </w:r>
    </w:p>
    <w:p w:rsidR="00000000" w:rsidDel="00000000" w:rsidP="00000000" w:rsidRDefault="00000000" w:rsidRPr="00000000" w14:paraId="0000003A">
      <w:pPr>
        <w:jc w:val="both"/>
        <w:rPr>
          <w:sz w:val="22"/>
          <w:szCs w:val="22"/>
          <w:u w:val="single"/>
          <w:vertAlign w:val="baseline"/>
        </w:rPr>
      </w:pPr>
      <w:r w:rsidDel="00000000" w:rsidR="00000000" w:rsidRPr="00000000">
        <w:rPr>
          <w:rtl w:val="0"/>
        </w:rPr>
      </w:r>
    </w:p>
    <w:p w:rsidR="00000000" w:rsidDel="00000000" w:rsidP="00000000" w:rsidRDefault="00000000" w:rsidRPr="00000000" w14:paraId="0000003B">
      <w:pPr>
        <w:jc w:val="both"/>
        <w:rPr>
          <w:sz w:val="22"/>
          <w:szCs w:val="22"/>
          <w:u w:val="single"/>
          <w:vertAlign w:val="baseline"/>
        </w:rPr>
      </w:pPr>
      <w:r w:rsidDel="00000000" w:rsidR="00000000" w:rsidRPr="00000000">
        <w:rPr>
          <w:rtl w:val="0"/>
        </w:rPr>
      </w:r>
    </w:p>
    <w:p w:rsidR="00000000" w:rsidDel="00000000" w:rsidP="00000000" w:rsidRDefault="00000000" w:rsidRPr="00000000" w14:paraId="0000003C">
      <w:pPr>
        <w:jc w:val="both"/>
        <w:rPr>
          <w:sz w:val="22"/>
          <w:szCs w:val="22"/>
          <w:u w:val="single"/>
          <w:vertAlign w:val="baseline"/>
        </w:rPr>
      </w:pPr>
      <w:r w:rsidDel="00000000" w:rsidR="00000000" w:rsidRPr="00000000">
        <w:rPr>
          <w:rtl w:val="0"/>
        </w:rPr>
      </w:r>
    </w:p>
    <w:p w:rsidR="00000000" w:rsidDel="00000000" w:rsidP="00000000" w:rsidRDefault="00000000" w:rsidRPr="00000000" w14:paraId="0000003D">
      <w:pPr>
        <w:jc w:val="both"/>
        <w:rPr>
          <w:sz w:val="22"/>
          <w:szCs w:val="22"/>
          <w:u w:val="single"/>
          <w:vertAlign w:val="baseline"/>
        </w:rPr>
      </w:pPr>
      <w:r w:rsidDel="00000000" w:rsidR="00000000" w:rsidRPr="00000000">
        <w:rPr>
          <w:rtl w:val="0"/>
        </w:rPr>
      </w:r>
    </w:p>
    <w:p w:rsidR="00000000" w:rsidDel="00000000" w:rsidP="00000000" w:rsidRDefault="00000000" w:rsidRPr="00000000" w14:paraId="0000003E">
      <w:pPr>
        <w:jc w:val="both"/>
        <w:rPr>
          <w:sz w:val="22"/>
          <w:szCs w:val="22"/>
          <w:u w:val="single"/>
          <w:vertAlign w:val="baseline"/>
        </w:rPr>
      </w:pPr>
      <w:r w:rsidDel="00000000" w:rsidR="00000000" w:rsidRPr="00000000">
        <w:rPr>
          <w:rtl w:val="0"/>
        </w:rPr>
      </w:r>
    </w:p>
    <w:p w:rsidR="00000000" w:rsidDel="00000000" w:rsidP="00000000" w:rsidRDefault="00000000" w:rsidRPr="00000000" w14:paraId="0000003F">
      <w:pPr>
        <w:jc w:val="both"/>
        <w:rPr>
          <w:sz w:val="22"/>
          <w:szCs w:val="22"/>
          <w:u w:val="single"/>
          <w:vertAlign w:val="baseline"/>
        </w:rPr>
      </w:pPr>
      <w:r w:rsidDel="00000000" w:rsidR="00000000" w:rsidRPr="00000000">
        <w:rPr>
          <w:rtl w:val="0"/>
        </w:rPr>
      </w:r>
    </w:p>
    <w:p w:rsidR="00000000" w:rsidDel="00000000" w:rsidP="00000000" w:rsidRDefault="00000000" w:rsidRPr="00000000" w14:paraId="00000040">
      <w:pPr>
        <w:jc w:val="both"/>
        <w:rPr>
          <w:sz w:val="22"/>
          <w:szCs w:val="22"/>
          <w:u w:val="single"/>
          <w:vertAlign w:val="baseline"/>
        </w:rPr>
      </w:pPr>
      <w:r w:rsidDel="00000000" w:rsidR="00000000" w:rsidRPr="00000000">
        <w:rPr>
          <w:rtl w:val="0"/>
        </w:rPr>
      </w:r>
    </w:p>
    <w:p w:rsidR="00000000" w:rsidDel="00000000" w:rsidP="00000000" w:rsidRDefault="00000000" w:rsidRPr="00000000" w14:paraId="00000041">
      <w:pPr>
        <w:jc w:val="both"/>
        <w:rPr>
          <w:sz w:val="22"/>
          <w:szCs w:val="22"/>
          <w:u w:val="single"/>
          <w:vertAlign w:val="baseline"/>
        </w:rPr>
      </w:pPr>
      <w:r w:rsidDel="00000000" w:rsidR="00000000" w:rsidRPr="00000000">
        <w:rPr>
          <w:rtl w:val="0"/>
        </w:rPr>
      </w:r>
    </w:p>
    <w:p w:rsidR="00000000" w:rsidDel="00000000" w:rsidP="00000000" w:rsidRDefault="00000000" w:rsidRPr="00000000" w14:paraId="00000042">
      <w:pPr>
        <w:jc w:val="both"/>
        <w:rPr>
          <w:sz w:val="22"/>
          <w:szCs w:val="22"/>
          <w:u w:val="single"/>
          <w:vertAlign w:val="baseline"/>
        </w:rPr>
      </w:pPr>
      <w:r w:rsidDel="00000000" w:rsidR="00000000" w:rsidRPr="00000000">
        <w:rPr>
          <w:rtl w:val="0"/>
        </w:rPr>
      </w:r>
    </w:p>
    <w:p w:rsidR="00000000" w:rsidDel="00000000" w:rsidP="00000000" w:rsidRDefault="00000000" w:rsidRPr="00000000" w14:paraId="00000043">
      <w:pPr>
        <w:jc w:val="both"/>
        <w:rPr>
          <w:sz w:val="22"/>
          <w:szCs w:val="22"/>
          <w:u w:val="single"/>
          <w:vertAlign w:val="baseline"/>
        </w:rPr>
      </w:pPr>
      <w:r w:rsidDel="00000000" w:rsidR="00000000" w:rsidRPr="00000000">
        <w:rPr>
          <w:rtl w:val="0"/>
        </w:rPr>
      </w:r>
    </w:p>
    <w:p w:rsidR="00000000" w:rsidDel="00000000" w:rsidP="00000000" w:rsidRDefault="00000000" w:rsidRPr="00000000" w14:paraId="00000044">
      <w:pPr>
        <w:jc w:val="both"/>
        <w:rPr>
          <w:sz w:val="22"/>
          <w:szCs w:val="22"/>
          <w:u w:val="single"/>
          <w:vertAlign w:val="baseline"/>
        </w:rPr>
      </w:pPr>
      <w:r w:rsidDel="00000000" w:rsidR="00000000" w:rsidRPr="00000000">
        <w:rPr>
          <w:rtl w:val="0"/>
        </w:rPr>
      </w:r>
    </w:p>
    <w:p w:rsidR="00000000" w:rsidDel="00000000" w:rsidP="00000000" w:rsidRDefault="00000000" w:rsidRPr="00000000" w14:paraId="00000045">
      <w:pPr>
        <w:jc w:val="both"/>
        <w:rPr>
          <w:sz w:val="22"/>
          <w:szCs w:val="22"/>
          <w:u w:val="single"/>
          <w:vertAlign w:val="baseline"/>
        </w:rPr>
      </w:pPr>
      <w:r w:rsidDel="00000000" w:rsidR="00000000" w:rsidRPr="00000000">
        <w:rPr>
          <w:rtl w:val="0"/>
        </w:rPr>
      </w:r>
    </w:p>
    <w:p w:rsidR="00000000" w:rsidDel="00000000" w:rsidP="00000000" w:rsidRDefault="00000000" w:rsidRPr="00000000" w14:paraId="00000046">
      <w:pPr>
        <w:jc w:val="both"/>
        <w:rPr>
          <w:sz w:val="22"/>
          <w:szCs w:val="22"/>
          <w:u w:val="single"/>
          <w:vertAlign w:val="baseline"/>
        </w:rPr>
      </w:pPr>
      <w:r w:rsidDel="00000000" w:rsidR="00000000" w:rsidRPr="00000000">
        <w:rPr>
          <w:rtl w:val="0"/>
        </w:rPr>
      </w:r>
    </w:p>
    <w:p w:rsidR="00000000" w:rsidDel="00000000" w:rsidP="00000000" w:rsidRDefault="00000000" w:rsidRPr="00000000" w14:paraId="00000047">
      <w:pPr>
        <w:jc w:val="both"/>
        <w:rPr>
          <w:sz w:val="22"/>
          <w:szCs w:val="22"/>
          <w:u w:val="single"/>
          <w:vertAlign w:val="baseline"/>
        </w:rPr>
      </w:pPr>
      <w:r w:rsidDel="00000000" w:rsidR="00000000" w:rsidRPr="00000000">
        <w:rPr>
          <w:rtl w:val="0"/>
        </w:rPr>
      </w:r>
    </w:p>
    <w:p w:rsidR="00000000" w:rsidDel="00000000" w:rsidP="00000000" w:rsidRDefault="00000000" w:rsidRPr="00000000" w14:paraId="00000048">
      <w:pPr>
        <w:jc w:val="both"/>
        <w:rPr>
          <w:sz w:val="22"/>
          <w:szCs w:val="22"/>
          <w:u w:val="single"/>
          <w:vertAlign w:val="baseline"/>
        </w:rPr>
      </w:pPr>
      <w:r w:rsidDel="00000000" w:rsidR="00000000" w:rsidRPr="00000000">
        <w:rPr>
          <w:rtl w:val="0"/>
        </w:rPr>
      </w:r>
    </w:p>
    <w:p w:rsidR="00000000" w:rsidDel="00000000" w:rsidP="00000000" w:rsidRDefault="00000000" w:rsidRPr="00000000" w14:paraId="00000049">
      <w:pPr>
        <w:jc w:val="both"/>
        <w:rPr>
          <w:sz w:val="22"/>
          <w:szCs w:val="22"/>
          <w:u w:val="single"/>
          <w:vertAlign w:val="baseline"/>
        </w:rPr>
      </w:pPr>
      <w:r w:rsidDel="00000000" w:rsidR="00000000" w:rsidRPr="00000000">
        <w:rPr>
          <w:rtl w:val="0"/>
        </w:rPr>
      </w:r>
    </w:p>
    <w:p w:rsidR="00000000" w:rsidDel="00000000" w:rsidP="00000000" w:rsidRDefault="00000000" w:rsidRPr="00000000" w14:paraId="0000004A">
      <w:pPr>
        <w:jc w:val="both"/>
        <w:rPr>
          <w:sz w:val="22"/>
          <w:szCs w:val="22"/>
          <w:u w:val="single"/>
          <w:vertAlign w:val="baseline"/>
        </w:rPr>
      </w:pPr>
      <w:r w:rsidDel="00000000" w:rsidR="00000000" w:rsidRPr="00000000">
        <w:rPr>
          <w:rtl w:val="0"/>
        </w:rPr>
      </w:r>
    </w:p>
    <w:p w:rsidR="00000000" w:rsidDel="00000000" w:rsidP="00000000" w:rsidRDefault="00000000" w:rsidRPr="00000000" w14:paraId="0000004B">
      <w:pPr>
        <w:jc w:val="both"/>
        <w:rPr>
          <w:sz w:val="22"/>
          <w:szCs w:val="22"/>
          <w:u w:val="single"/>
          <w:vertAlign w:val="baseline"/>
        </w:rPr>
      </w:pPr>
      <w:r w:rsidDel="00000000" w:rsidR="00000000" w:rsidRPr="00000000">
        <w:rPr>
          <w:rtl w:val="0"/>
        </w:rPr>
      </w:r>
    </w:p>
    <w:p w:rsidR="00000000" w:rsidDel="00000000" w:rsidP="00000000" w:rsidRDefault="00000000" w:rsidRPr="00000000" w14:paraId="0000004C">
      <w:pPr>
        <w:jc w:val="both"/>
        <w:rPr>
          <w:sz w:val="22"/>
          <w:szCs w:val="22"/>
          <w:u w:val="single"/>
          <w:vertAlign w:val="baseline"/>
        </w:rPr>
      </w:pPr>
      <w:r w:rsidDel="00000000" w:rsidR="00000000" w:rsidRPr="00000000">
        <w:rPr>
          <w:rtl w:val="0"/>
        </w:rPr>
      </w:r>
    </w:p>
    <w:p w:rsidR="00000000" w:rsidDel="00000000" w:rsidP="00000000" w:rsidRDefault="00000000" w:rsidRPr="00000000" w14:paraId="0000004D">
      <w:pPr>
        <w:jc w:val="both"/>
        <w:rPr>
          <w:sz w:val="22"/>
          <w:szCs w:val="22"/>
          <w:u w:val="single"/>
          <w:vertAlign w:val="baseline"/>
        </w:rPr>
      </w:pPr>
      <w:r w:rsidDel="00000000" w:rsidR="00000000" w:rsidRPr="00000000">
        <w:rPr>
          <w:rtl w:val="0"/>
        </w:rPr>
      </w:r>
    </w:p>
    <w:p w:rsidR="00000000" w:rsidDel="00000000" w:rsidP="00000000" w:rsidRDefault="00000000" w:rsidRPr="00000000" w14:paraId="0000004E">
      <w:pPr>
        <w:jc w:val="both"/>
        <w:rPr>
          <w:sz w:val="22"/>
          <w:szCs w:val="22"/>
          <w:u w:val="single"/>
          <w:vertAlign w:val="baseline"/>
        </w:rPr>
      </w:pPr>
      <w:r w:rsidDel="00000000" w:rsidR="00000000" w:rsidRPr="00000000">
        <w:rPr>
          <w:rtl w:val="0"/>
        </w:rPr>
      </w:r>
    </w:p>
    <w:p w:rsidR="00000000" w:rsidDel="00000000" w:rsidP="00000000" w:rsidRDefault="00000000" w:rsidRPr="00000000" w14:paraId="0000004F">
      <w:pPr>
        <w:jc w:val="both"/>
        <w:rPr>
          <w:sz w:val="22"/>
          <w:szCs w:val="22"/>
          <w:u w:val="single"/>
          <w:vertAlign w:val="baseline"/>
        </w:rPr>
      </w:pPr>
      <w:r w:rsidDel="00000000" w:rsidR="00000000" w:rsidRPr="00000000">
        <w:rPr>
          <w:rtl w:val="0"/>
        </w:rPr>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u w:val="single"/>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4">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