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9"/>
        </w:tabs>
        <w:spacing w:line="276" w:lineRule="auto"/>
        <w:ind w:right="49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РЕШЕНИЕ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09"/>
        </w:tabs>
        <w:ind w:right="49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№ РН–665-25-019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09"/>
        </w:tabs>
        <w:ind w:right="49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09"/>
        </w:tabs>
        <w:ind w:right="4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Днес, 24.11.2025 г., Комисията за противодействие на корупцията /КПК, Комисията/, в състав:</w:t>
      </w:r>
    </w:p>
    <w:p w:rsidR="00000000" w:rsidDel="00000000" w:rsidP="00000000" w:rsidRDefault="00000000" w:rsidRPr="00000000" w14:paraId="00000006">
      <w:pPr>
        <w:tabs>
          <w:tab w:val="left" w:leader="none" w:pos="426"/>
        </w:tabs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За председател: Антон Славчев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9"/>
        <w:jc w:val="both"/>
        <w:rPr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Член: Антоанета Цонкова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both"/>
        <w:rPr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Член: Пламен Йоцов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709"/>
        </w:tabs>
        <w:ind w:right="49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709"/>
        </w:tabs>
        <w:ind w:right="49"/>
        <w:jc w:val="center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У С Т А Н О В 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ind w:right="4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Проверката е по реда на чл. 13, ал. 1, т. 8 от Закона за противодействие на корупцията (ЗПК), образувано е въз основа на Решение № КИ-281/23.09.2025 г. по сигнал с рег. № С-665/17.09.2025 г. на КПК.</w:t>
      </w:r>
    </w:p>
    <w:p w:rsidR="00000000" w:rsidDel="00000000" w:rsidP="00000000" w:rsidRDefault="00000000" w:rsidRPr="00000000" w14:paraId="0000000D">
      <w:pPr>
        <w:ind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Проверката е образувана срещу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Надежда Г***** Йонкова в качеството ѝ на главен секретар в Комисията за защита от дискриминацията (КЗД).</w:t>
      </w:r>
    </w:p>
    <w:p w:rsidR="00000000" w:rsidDel="00000000" w:rsidP="00000000" w:rsidRDefault="00000000" w:rsidRPr="00000000" w14:paraId="0000000E">
      <w:pPr>
        <w:ind w:firstLine="709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По същество в сигнала се твърди, че като главен секретар в КЗД Надежда Йонкова е била държавен служител, а като такъв е подписала декларация за несъвместимост, в която е посочила, че не работи по трудово правоотношение, освен като преподавател във висше училище – Института за държавата и правото (ИДП) при Българската академия на науките (БАН) и Варненски свободен университет (ВСУ) „Черноризец Храбър“. Съгласно изнесените в сигнала твърдения обаче ИДП при БАН няма статут на висше училище, което обосновава несъвместимост по чл. 7, ал. 2 от Закона за държавния служител (ЗДСл) във връзка със заеманата от Надежда Йонкова длъжност като главен секретар в КЗД. </w:t>
      </w:r>
    </w:p>
    <w:p w:rsidR="00000000" w:rsidDel="00000000" w:rsidP="00000000" w:rsidRDefault="00000000" w:rsidRPr="00000000" w14:paraId="0000000F">
      <w:pPr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С оглед изнесените в сигнала твърдения, Комисията е изискала и с писмо с вх. № КПК-11212-1/20.10.2025 г. е получила заверени копия от следните доказателства: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Заповед № СПС-97/03.11.2017 г. на председател на КЗД, Акт за встъпване в длъжност от 06.11.2017 г. на  Надежда Г***** Йонкова, Декларация за несъвместимост на Надежда Г***** Йонкова, Трудов договор № 6/01.10.2014 г., както и други документи касателно извършвана от КЗД проверка.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Във връзка с изнесените твърдения са извършени служебни справки в Национална база данни „Население“ (НБД „Население“), в Регистъра на заетостта при Националната агенция за приходите (НАП) и в поддържания от КПК Регистъра на лицата, заемащи публични длъжности.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jc w:val="both"/>
        <w:rPr>
          <w:i w:val="0"/>
          <w:i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vertAlign w:val="baseline"/>
          <w:rtl w:val="0"/>
        </w:rPr>
        <w:t xml:space="preserve">След като обсъди събраните в хода на проверката доказателства, Комисията установи следното от фактическа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Сигнал с вх. № С-665/17.09.2025 г. на КПК е подаден от физическо лице с посочени имена, адрес и телефон за връзка, като същият е и подписан от подателя.</w:t>
      </w:r>
    </w:p>
    <w:p w:rsidR="00000000" w:rsidDel="00000000" w:rsidP="00000000" w:rsidRDefault="00000000" w:rsidRPr="00000000" w14:paraId="00000015">
      <w:pPr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КЗД е национален независим административен орган за провеждането на държавната политика за равнопоставеността на всички граждани на територията на Република България. КЗД е юридическо лице на бюджетна издръжка – част от системата на изпълнителната власт, което осъществява контрол по прилагането и спазването на Закона за защита от дискриминация (ЗЗДискр) и други нормативни актове, касаещи равнопоставеността на лицата.</w:t>
      </w:r>
    </w:p>
    <w:p w:rsidR="00000000" w:rsidDel="00000000" w:rsidP="00000000" w:rsidRDefault="00000000" w:rsidRPr="00000000" w14:paraId="00000016">
      <w:pPr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Като главен секретар в КЗД, Надежда Г***** Йонкова е назначена по силата на Заповед № СПС-97/03.11.2017 г. на председател на КЗД и с подписването на Акт за встъпване в длъжност от 06.11.2017 г. е придобила посоченото служебно качество. Съгласно извършена служебна справка в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Регистъра на лицата, заемащи публични длъжности при КПК, Йонкова е освободена от длъжността на главен секретар в КЗД на 09.05.2025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В приложената по преписката Декларация за несъвместимост не е обективирана датата на нейното подаване. От същата се установи, че носи имената на Надежда Г***** Йонкова и други нейни лични данни, като обаче не носи подпис и не сочи длъжността, по отношение на която са декларирани съответните обстоятелства. От съдържанието ѝ се установи, че в действителност Йонкова е декларирала полагането на труд по други правоотношения, а именно като преподавател в ИДП при БАН и във ВСУ „Черноризец Храбър“.</w:t>
      </w:r>
    </w:p>
    <w:p w:rsidR="00000000" w:rsidDel="00000000" w:rsidP="00000000" w:rsidRDefault="00000000" w:rsidRPr="00000000" w14:paraId="00000018">
      <w:pPr>
        <w:ind w:firstLine="709"/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Видно от приложения Трудов договор № 6/01.10.2014 г., сключен между ИДП при БАН и Надежда Г***** Йонкова, по силата му последната е назначена като доцент в ИДП при БАН. От извършената служебна справка в Регистъра на заетостта към НАП се установи, че така възникналото правоотношение е действащо и към настоящия момент, като съгласно вписаната последна промяна от 21.07.2025 г. – Йонкова вече  изпълнява длъжност като професор в посочения Институт.</w:t>
      </w:r>
    </w:p>
    <w:p w:rsidR="00000000" w:rsidDel="00000000" w:rsidP="00000000" w:rsidRDefault="00000000" w:rsidRPr="00000000" w14:paraId="00000019">
      <w:pPr>
        <w:jc w:val="both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20"/>
        <w:jc w:val="both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Въз основа на така изяснената фактическа обстановка, Комисията за противодействие на корупцията установи  следното от правна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jc w:val="both"/>
        <w:rPr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            Сигнал с вх. № С-665/17.09.2025 г. на КПК е подаден от лице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идентифицирано по реда на чл. 62, ал. 2 от ЗПК във връзка с чл. 15, ал. 2 от Закона за защита на лицата, подаващи сигнали или публично оповестяващи информация за нарушения. </w:t>
      </w:r>
    </w:p>
    <w:p w:rsidR="00000000" w:rsidDel="00000000" w:rsidP="00000000" w:rsidRDefault="00000000" w:rsidRPr="00000000" w14:paraId="0000001D">
      <w:pPr>
        <w:jc w:val="both"/>
        <w:rPr>
          <w:color w:val="00000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В качеството си на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главен секретар в КЗД до 09.05.2025 г., Надежда Г***** Йонкова е заемала публична длъжност по чл. 6, чл. 1, т. 28 от ЗПК. По отношение на посочената длъжност законодателят е предвидил специални ограничения касателно несъвместимостта със заемането й, а съгласно чл. 13, ал. 1, т. 8 от ЗПК – проверката по сигнали във връзка с декларациите за несъвместимост на лицата по чл. 6, ал. 1 от закона е в правомощията на КПК. Цитираната разпоредба гласи още, че при установена несъвместимост Комисията следва да сезира компетентния да предприеме съответните действия орган, а именно органа по назначаване на лицето.</w:t>
      </w:r>
    </w:p>
    <w:p w:rsidR="00000000" w:rsidDel="00000000" w:rsidP="00000000" w:rsidRDefault="00000000" w:rsidRPr="00000000" w14:paraId="0000001E">
      <w:pPr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По своята същност несъвместимостта е административно нарушение, чиято правна уредба има за цел да не допусне и да попречи изпълнението на определени длъжности да се осъществява по начин, който би влязъл в противоречие или би поставил под съмнение изискванията за независимост и добросъвестност на задължените лица. Несъвместимостта би могла да бъде както първоначална, така и последваща, но при всеки случай, като административнонаказателна последица, наличието ѝ поставя въпроса как следва да се развие конкретно правоотношение – въпрос от компетентността на органа по назначаване на съответното лице. </w:t>
      </w:r>
    </w:p>
    <w:p w:rsidR="00000000" w:rsidDel="00000000" w:rsidP="00000000" w:rsidRDefault="00000000" w:rsidRPr="00000000" w14:paraId="0000001F">
      <w:pPr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В разпоредбата на § 1, т. 4 от ДР на ЗПК несъвместимостта е дефинирана като заемането на друга длъжност или извършването на дейност, които съгласно Конституцията или закон са несъвместими с положението на лицето, заемащо публична длъжност. Задължението за деклариране и отстраняване на евентуална несъвместимост от страна на лицата на публична длъжност е въведено в чл. 50 от ЗПК. ЗПК обаче посочва самостоятелни основания за несъвместимост само за определени длъжности в КПК, не и за всички лица, заемащи длъжност по чл. 6, ал. 1 от закона. Поради разнородността на правомощията, произтичащи от всяка от посочените длъжности, във връзка с упражняването на всяка от тях са налице и различни предпоставки за възникване на несъвместимост, предвидени от законодателя в Конституцията или в специални закони. Така и в ЗЗДискр са предвидени специални основания за несъвместимост само за членовете на КЗД – чл. 42, ал. 2 от ЗЗДискр, но не и за служителите на посочения административен орган. Лицата на длъжност по служебно правоотношение в КЗД, каквото лице е била и Надежда Йонкова, преди всичко са държавни служители, респективно приложение по отношение на същите намират разпоредбите на ЗДСл, включително във връзка с института на несъвместимостта. Така съгласно чл. 7, ал. 2, т. 1-5 от ЗДСл - за държавен служител не може да бъде назначавано лице, което би се оказало в йерархическа връзка на ръководство и контрол с лице, с което е в определена правна, роднинска или друга фактическа връзка, носи определено търговско качество или изпълнява определена длъжност в търговско дружество, носи качеството на народен представител или на общински съветник в съответна общинска администрация, заема ръководна или контролна длъжност в политическа партия. Цитираните ограничения са императивни и по отношение на същите законът не предвижда никакви изключения. Не такава обаче е регламентацията по чл. 7, ал. 2, т. 6 и 7 от ЗДСл, където законодателят е заложил определени изисквания, но и съответни изключения. Така съгласно чл. 7, ал. 2, т. 6 от ЗДСл - за държавен служител не може да бъде назначавано лице, което работи по трудово правоотношение,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освен като преподавател във висше училище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а съгласно чл. 7, ал. 2, т. 7 от ЗДСл – лице, което работи по друго служебно правоотношение, освен при условията на чл. 16а, ал. 4 или чл. 81б от ЗДСл. Между тези две изключителни разпоредби също има известна разлика и тя се заключава в следното:</w:t>
      </w:r>
    </w:p>
    <w:p w:rsidR="00000000" w:rsidDel="00000000" w:rsidP="00000000" w:rsidRDefault="00000000" w:rsidRPr="00000000" w14:paraId="00000020">
      <w:pPr>
        <w:ind w:firstLine="72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Докато чл. 7, ал. 2, т. 7 от ЗДСл е препращаща разпоредба, която съответно указва конкретен ред, а именно редът по чл. 16а, ал. 4 или чл. 81б от ЗДСл - служебно правоотношение по тристранно споразумение или при временно преместване в друга администрация, то разпоредбата на чл. 7, ал. 2, т. 6 от ЗДСл не съдържа препратки, респективно не е конкретна в същата степен. От последното се извежда, че докато критерият по чл. 7, ал. 2, т. 7 от ЗДСл е строго формален, заложеният в чл. 7, ал. 2, т. 6 от ЗДСл е реален – предвижда изключение за заемането на преподавателска длъжност във висше училище, без формален критерий нито към конкретна академична длъжност, нито към висшето учреждение, в което същата следва да се упражнява.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Във връзка с изложеното следва да се вземе предвид обстоятелството, че доколкото ограничението по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чл. 7, ал. 2, т. 6 от ЗДСл не сочи изключение конкретно за определена преподавателска длъжност, то в хипотезата му попада всяка академична длъжност – както асистент, главен асистент, така и научно-изследователските, но също преподавателски длъжности на доцент и професор. В тази връзка следва да се вземе предвид, че всяка от посочените академични длъжности е преподавателска такава и в едно висше училище по смисъла на Закона за висшето образование (ЗВО), и в ИДП при БАН. Чл. 17, ал. 1 от ЗВО дефинира кои са висшите училища - университетите, специализираните висши училища и самостоятелните колежи, но доколкото цитираният закон е закон именно за висшето образование, а не за висшите училища в широкия смисъл, напълно резонно и съгласно чл. 5 от закона – в специалния обхват на ЗВО също не попада всяко висше училище, а само тези, получили акредитация от Националната агенция за оценяване и акредитация и създадени при условия и по ред на ЗВО. От изложеното се заключава, че за целите на висшето образование ЗВО значително стеснява кръга на институциите, легитимни да предоставят първа професионална следдипломна квалификация в бакалавърска и магистърска степен. Именно по отношение на тези конкретни институции намира пълно приложение ЗВО. БАН не е висше училище по смисъла на ЗВО, каквото например е ВСУ „Черноризец Храбър“, но съгласно Закона за БАН – ИДП при БАН присъжда и удостоверява следдипломната научна степен „доктор“. Наред с това и разпоредбата на чл. 7, ал. 2, т. 6 от ЗДСл не поставя такова конкретно изискване съответната преподавателска дейност да се осъществява в тесния смисъл по ЗВО. Същото резонира напълно и с характера, целите и естеството на преподавателската дейност на асистент, главен асистент, доцент и професор, респективно с фундаменталните функции на следдипломното образование в пълния смисъл, каквито именно са и функциите на ИДП при БАН. От същото пък следва, че нито една от посочените академични длъжности не е и ексклузивна за учебно учреждение по смисъла на ЗВО, а именно създадено при условия и по ред на ЗВО висше училище, което е и акредитирано от Националната агенция за оценяване и акредитация. </w:t>
      </w:r>
    </w:p>
    <w:p w:rsidR="00000000" w:rsidDel="00000000" w:rsidP="00000000" w:rsidRDefault="00000000" w:rsidRPr="00000000" w14:paraId="00000022">
      <w:pPr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В заключение от горното следва, че необосновано би било да се приеме, че съвместяването на длъжностите като главен секретар в КЗД и като доцент в ИДП при БАН от страна на Надежда Г***** Йонкова е в нарушение на разпоредбата по чл. 7, ал. 2, т. 6 от ЗДСл. Необосноваността на такова заключение на първо място се извежда от липсата на формалния критерии за осъществяването на преподавателска дейност в тесния смисъл на ЗВО, т. е. във висше училище по смисъла на посочения закон. На следващо място - от обстоятелството, че длъжността като доцент в ИДП при БАН по своята целева функция е не само преподавателска, но и научна-изследователска, което дори я характеризира като надграждаща обичайните преподавателски длъжности на асистент и главен асистент, съгласно Закона за развитието на академичния състав в Република България и вътрешните правилници на институтите при БАН. Респективно съвместяваната от Йонкова длъжност на доцент в посочения институт е именно с преподавателска функция, макар формално работодателят да е научна организация. Практически доцентството в ИДП включва супервизия на докторанти - лекции, учебна и методическа дейност, съответно по съдържание длъжността е преподавателска и попада в духа на изключението „като преподавател“, предвидено в чл. 7, ал. 2, т. 6 от ЗДСл, поради което не трябва автоматично да се третира като забранена втора трудова заетост. Напротив - такъв тип академична дейност следва да бъде тълкувана по функция, а не само по формалния статут на работодателя.  </w:t>
      </w:r>
    </w:p>
    <w:p w:rsidR="00000000" w:rsidDel="00000000" w:rsidP="00000000" w:rsidRDefault="00000000" w:rsidRPr="00000000" w14:paraId="00000023">
      <w:pPr>
        <w:ind w:firstLine="72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Предвид основните характеристики на института на несъвместимостта, настоящата проверка изисква извършване на индивидуална и диференцирана преценка касателно валидните за конкретния случай предпоставки за възникването ѝ. Нарушение в този смисъл би могло да е налице само и доколкото установените фактически положения напълно съвпадат с хипотезата на съдържащите се в приложимите закони ограничения и забрани. В тази връзка, при практическото прилагане на института на несъвместимостта в настоящия случай се налага извод, че характеристиките и статута на заеманата от Надежда Йонкова доцентска длъжност в ИДП при БАН не обосновават в пълнота нарушение на заложеното в чл. 7, ал. 2, т. 6 от ЗДСл. От същото следва, че установеното фактическо положение не съвпада с хипотезата на приложимата разпоредба, респективно съвместяването на посочената длъжност с длъжността на главен секретар в КЗД не води до несъвместимост по смисъла на § 1, т. 4 от ДР на ЗПК.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Съобразно разпоредбата на чл. 90, ал. 5 от ЗПК, Комисията прави своите изводи на база доказателства, събрани по реда на Административнопроцесуалния кодекс, а в случая събраните такива налагат извод, че по отношение на Надежда Г***** Йонкова, в качеството ѝ  на главен секретар в КЗД и лице по чл. 6, ал. 1, т. 28 от ЗПК, не са налице предпоставките на нарушението по § 1, т. 4 от ДР на ЗПК.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6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Предвид изложеното и на основание чл. 13, ал. 1, т. 8 от ЗПК във връзка с § 7, ал. 2 от ПЗР на ЗПК, Комисията за противодействие на корупцията</w:t>
      </w:r>
    </w:p>
    <w:p w:rsidR="00000000" w:rsidDel="00000000" w:rsidP="00000000" w:rsidRDefault="00000000" w:rsidRPr="00000000" w14:paraId="00000026">
      <w:pPr>
        <w:ind w:right="-6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3540" w:right="-68" w:firstLine="708.0000000000001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РЕШИ: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0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НЕ УСТАНОВЯВА НЕСЪВМЕСТИМОСТ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по отношение на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Надежда Г***** Йонкова с ЕГН **********, в качеството ѝ на главен секретар в КЗД и лице, заемало публична длъжност по чл. 6, ал. 1, т. 28 от ЗПК, във връзка със съвместяването на посочената длъжност с длъжността на доцент в ИДП при БАН.</w:t>
      </w:r>
    </w:p>
    <w:p w:rsidR="00000000" w:rsidDel="00000000" w:rsidP="00000000" w:rsidRDefault="00000000" w:rsidRPr="00000000" w14:paraId="0000002A">
      <w:pPr>
        <w:tabs>
          <w:tab w:val="left" w:leader="none" w:pos="6300"/>
        </w:tabs>
        <w:ind w:right="-6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6300"/>
        </w:tabs>
        <w:ind w:right="-68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6300"/>
        </w:tabs>
        <w:ind w:right="-68" w:firstLine="709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                      КОМИСИЯ: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6300"/>
        </w:tabs>
        <w:ind w:right="-68" w:firstLine="709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2112" w:right="-68" w:firstLine="11.999999999999886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ЗА ПРЕДСЕДАТЕЛ:....................../П/....................../АНТОН СЛАВЧЕВ/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112" w:right="-68" w:firstLine="11.999999999999886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112" w:right="-68" w:firstLine="11.999999999999886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ЧЛЕН............................................../П/.........../АНТОАНЕТА ЦОНКОВА/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-68" w:firstLine="72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right="-56" w:firstLine="720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ab/>
        <w:t xml:space="preserve">ЧЛЕН............................................../П/......................./ПЛАМЕН ЙОЦОВ/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686"/>
          <w:tab w:val="left" w:leader="none" w:pos="4253"/>
          <w:tab w:val="left" w:leader="none" w:pos="4395"/>
          <w:tab w:val="center" w:leader="none" w:pos="5103"/>
          <w:tab w:val="right" w:leader="none" w:pos="8306"/>
        </w:tabs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5400"/>
        </w:tabs>
        <w:ind w:right="-68"/>
        <w:jc w:val="both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4" w:w="11909" w:orient="portrait"/>
      <w:pgMar w:bottom="879" w:top="936" w:left="1021" w:right="1021" w:header="284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0"/>
        <w:bCs w:val="0"/>
        <w:sz w:val="24"/>
        <w:szCs w:val="24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348.999999999998" w:type="dxa"/>
      <w:jc w:val="left"/>
      <w:tblInd w:w="-426.0" w:type="dxa"/>
      <w:tblLayout w:type="fixed"/>
      <w:tblLook w:val="0000"/>
    </w:tblPr>
    <w:tblGrid>
      <w:gridCol w:w="426"/>
      <w:gridCol w:w="9923"/>
      <w:tblGridChange w:id="0">
        <w:tblGrid>
          <w:gridCol w:w="426"/>
          <w:gridCol w:w="9923"/>
        </w:tblGrid>
      </w:tblGridChange>
    </w:tblGrid>
    <w:tr>
      <w:trPr>
        <w:cantSplit w:val="0"/>
        <w:trHeight w:val="705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-142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-1578" w:right="0" w:firstLine="1578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Р Е П У Б Л И К А   Б Ъ Л Г А Р И Я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color="000000" w:space="1" w:sz="6" w:val="single"/>
              <w:right w:space="0" w:sz="0" w:val="nil"/>
              <w:between w:space="0" w:sz="0" w:val="nil"/>
            </w:pBdr>
            <w:shd w:fill="auto" w:val="clear"/>
            <w:tabs>
              <w:tab w:val="center" w:leader="none" w:pos="4153"/>
              <w:tab w:val="right" w:leader="none" w:pos="8306"/>
            </w:tabs>
            <w:spacing w:after="20" w:before="20" w:line="240" w:lineRule="auto"/>
            <w:ind w:left="-1578" w:right="0" w:firstLine="1578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 О М И С И Я   З А   П Р О Т И В О Д Е Й С Т В И Е   Н А   К О Р У П Ц И Я Т А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pBdr>
              <w:bottom w:color="000000" w:space="1" w:sz="6" w:val="single"/>
            </w:pBdr>
            <w:tabs>
              <w:tab w:val="center" w:leader="none" w:pos="4153"/>
              <w:tab w:val="right" w:leader="none" w:pos="8306"/>
            </w:tabs>
            <w:spacing w:after="20" w:before="20" w:lineRule="auto"/>
            <w:ind w:left="-1578" w:firstLine="1578"/>
            <w:jc w:val="center"/>
            <w:rPr>
              <w:b w:val="0"/>
              <w:bCs w:val="0"/>
              <w:sz w:val="16"/>
              <w:szCs w:val="16"/>
              <w:u w:val="single"/>
              <w:vertAlign w:val="baseline"/>
            </w:rPr>
          </w:pPr>
          <w:r w:rsidDel="00000000" w:rsidR="00000000" w:rsidRPr="00000000">
            <w:rPr>
              <w:b w:val="1"/>
              <w:bCs w:val="1"/>
              <w:i w:val="1"/>
              <w:iCs w:val="1"/>
              <w:sz w:val="16"/>
              <w:szCs w:val="16"/>
              <w:vertAlign w:val="baseline"/>
              <w:rtl w:val="0"/>
            </w:rPr>
            <w:t xml:space="preserve">София 1000, пл. "Света Неделя" №6,  тел: (+359 2)   9401 444, факс: (+359 2) 9401 595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