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РЕШЕНИЕ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№ РН-433-25-18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</w:tabs>
        <w:ind w:firstLine="72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Днес, 17.11.2025 г., Комисията за противодействие на корупцията /КПК/, в състав:</w:t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26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26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Антоанета Цонкова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ind w:firstLine="72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8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Проверката е по реда на чл. 13, ал. 1, т. 8 от Закона за противодействие на корупцията (ЗПК) и е образувана въз основа на Решение за извършване на проверка № КИ-198 от 14.07.2025 г. по сигнал с вх. № С-433/04.07.2025 г. на Комисията за противодействие на корупцията (КПК, Комисията).</w:t>
      </w:r>
    </w:p>
    <w:p w:rsidR="00000000" w:rsidDel="00000000" w:rsidP="00000000" w:rsidRDefault="00000000" w:rsidRPr="00000000" w14:paraId="0000000F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Проверката е образувана по отношение на Васил Терзиев - к. на С. о.</w:t>
      </w:r>
    </w:p>
    <w:p w:rsidR="00000000" w:rsidDel="00000000" w:rsidP="00000000" w:rsidRDefault="00000000" w:rsidRPr="00000000" w14:paraId="00000010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сигнала се съдържат твърдения че Васил Терзиев полага клетва като к. на С. о. на 13.11.2023 г. и считано от тази дата за него важи забраната на чл. 41, ал. 1 от ЗМСМА, както и започва да тече едномесечния срок по чл. 41, ал. 3 от ЗМСМА. До 17.11.2023 г. Терзиев е бил управител и едноличен собственик на капитала на „В. И.“ ЕООД с ЕИК *******. На 20.10.2023 г. Терзиев, като едноличен собственик на капитала на посоченото дружество, освобождава себе си като управител, назначава нов управител - Х. Г. и взема решение за преобразуването на дружеството от еднолично дружество с ограничена отговорност (ЕООД) в еднолично акционерно дружество (АД), на което той е едноличен собственик на капитала, а органи на управление са едноличния собственик и съвет на директорите. Дружеството „В. И.“ АД е универсален правоприемник на „В. И.“ ЕООД, което е прекратено без ликвидация, но дейността не се прекратява, а продължава да се изпълнява от преобразуваното дружество. Вписването е извършено на 17.11.2023 година. На същата дата, като едноличен собственик на капитала на преобразуваното в АД дружество, Терзиев взема решение за одобряване на два класа акции в капитала му и е приел нов Устав, отразяващ промените, които са вписани в ТРРЮЛНЦ на 11.12.2023 година. На 18.01.2024 г.. на основание чл. 63, ал. 4 и ал. 4 от Закона за мерките срещу изпирането на пари, в Търговския регистър са вписани действителните собственици - физически лица, упражняващи пряк и косвен контрол, в качеството си на собственици на достатъчен процент акции и дялове, като Васил Терзиев е акционер във „В. И.“ АД и притежава 49% от акциите с право на глас в капитала на дружеството, а М. Т. е мажоритарен акционер в същото, с 51% от акциите с право на глас. Сочи се, че към днешна дата, „В. И.“ АД, като правоприемник на „В. И.“ ЕООД, съответно Терзиев като негов действителен собственик, е свързан с посочени поименно в сигнала дружества, като съдружници.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Посочва се чл. 14 от приетия Устав на „В. И.“ АД, с който се определят органите на управление на дружеството, чл. 21, ал. 1 от Устава с предвиденият кворум, както и мнозинство по чл. 23, ал. 2 от същия, а именно 61% от всички издадени акции. Следователно, участието на Терзиев в общото събрание, макар и с 49% от капитала се явява задължително. </w:t>
      </w:r>
    </w:p>
    <w:p w:rsidR="00000000" w:rsidDel="00000000" w:rsidP="00000000" w:rsidRDefault="00000000" w:rsidRPr="00000000" w14:paraId="00000011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Във връзка с твърденията в сигнала Комисията е изискала и получила с писмо вх. № КПК-10071-1/01.08.2025 г. на КПК от заместник-председателя на Постоянната комисия съгласно Закона за противодействие на корупцията към С. о. с., заверени копия на Клетвен лист от 13.11.2023 г. и Уведомление от Васил Терзиев с изх. № ***********/12.12.2023 г. от С. о. и вх. № ****/12.12.2023 г. на Общинска избирателна комисия Столична.</w:t>
      </w:r>
    </w:p>
    <w:p w:rsidR="00000000" w:rsidDel="00000000" w:rsidP="00000000" w:rsidRDefault="00000000" w:rsidRPr="00000000" w14:paraId="00000012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Комисията служебно е извършила справки в Национална база данни „Население“ (НБД „Население“), Търговския регистър и регистъра на юридическите лица с нестопанска цел (ТРРЮЛНЦ) и Общинска избирателна комисия Столична.</w:t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567"/>
        </w:tabs>
        <w:ind w:firstLine="720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567"/>
        </w:tabs>
        <w:ind w:firstLine="720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В хода на проверката по сигнала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Сигналът е подаден от лице с посочени три имена, адрес и е подписан.</w:t>
      </w:r>
    </w:p>
    <w:p w:rsidR="00000000" w:rsidDel="00000000" w:rsidP="00000000" w:rsidRDefault="00000000" w:rsidRPr="00000000" w14:paraId="00000018">
      <w:pPr>
        <w:ind w:firstLine="720"/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Васил Терзиев е избран за к. на С. о. за мандат 2023-2027 година, видно от Решение № ****/06.11.2023 г. на Общинска избирателна комисия Столична  и е подписал клетвен лист за встъпване в длъжността на 13.11.2023 година. </w:t>
      </w:r>
    </w:p>
    <w:p w:rsidR="00000000" w:rsidDel="00000000" w:rsidP="00000000" w:rsidRDefault="00000000" w:rsidRPr="00000000" w14:paraId="00000019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изх. № ************/12.12.2023 г. от С. о. до Общинска избирателна комисия Столична (техен вх. № ****/12.12.2023 г.), е изпратено Уведомление от Васил Терзиев, в което Терзиев сочи, че в законоустановения срок и на основание чл. 41, ал. 3 Закон за местното самоуправление и местната администрация (ЗМСМА) и съобразно разпоредбата на чл. 41, ал. 3 във вр. с ал. 1 ЗМСМА, в едномесечен срок от полагането на клетва като К. на С. о. е предприел и приключил всички действия визирани в чл. 41, ал. 1 ЗМСМА.</w:t>
      </w:r>
    </w:p>
    <w:p w:rsidR="00000000" w:rsidDel="00000000" w:rsidP="00000000" w:rsidRDefault="00000000" w:rsidRPr="00000000" w14:paraId="0000001A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извършената справка в ТРРЮЛНЦ по партидата на „В. И.“ АД, ЕИК ******** се установява, че съгласно съответните протоколи и решения на едноличния собственик на капитала от 05.10.2023 г. и 20.10.2023 г. „В. И.“ ЕООД с ЕИК ******* се преобразува чрез промяна на правната форма от еднолично дружество с ограничена отговорност в еднолично акционерно дружество - „В. И.“ ЕАД с ЕИК *******, а на 17.11.2023 г., „В. И.“ ЕАД от еднолично акционерно дружество става Акционерно дружество - „В. И.“ АД. Дружеството е с едностепенна система на управление – Съвет на директорите. За представител на последното е избран Х. Г., а в Съвета на директорите влизат Х. Г., М. Т. и Н. Д.. Предметът на дейност на  „В. И.“ АД е: Инвестиране в компании за информационни технологии, както и всяка друга дейност, която не е забранена от закона. Обстоятелствата са вписвани в Търговския регистър на 11.12.2023 година. Терзиев е бил управител на едноличното дружество с ограничена отговорност до 20.10.2023 г., съответно след тази дата не участва в орган на управление и контрол на акционерното дружество.</w:t>
      </w:r>
      <w:r w:rsidDel="00000000" w:rsidR="00000000" w:rsidRPr="00000000">
        <w:rPr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раздел „Действителни собственици“ по партидата на „В. И.“ АД в ТРРЮЛНЦ е видно, че с правно основание чл. 63, ал. 4 от Закона за мерките срещу изпиране на пари (ЗМИП) са вписани обстоятелствата относно действителните собственици на дружеството. Като действителни собственици са посочени М. Т., с вид притежавано право: Физическо лице, упражняващо пряк или косвен контрол, в качеството си на собственик на достатъчен процент акции или дялове. Сочи се, че М. Т. е мажоритарен акционер във „В. И.“ АД и притежава повече от половината от акциите с право на глас в капитала на дружеството, с размер от 51% от акциите с право на глас и Васил Терзиев, с вид притежавано право: Физическо лице, упражняващо пряк или косвен контрол, в качеството си на собственик на достатъчен процент акции или дялове, като същия е акционер във „В. И.“ АД и притежава по-малко от половината от акциите с право на глас в капитала на дружеството, с размер от 49% от акциите с право на глас. Вписването е извършено на 18.01.2024 година.</w:t>
      </w:r>
    </w:p>
    <w:p w:rsidR="00000000" w:rsidDel="00000000" w:rsidP="00000000" w:rsidRDefault="00000000" w:rsidRPr="00000000" w14:paraId="0000001C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извършена справка в НБД „Население“ се установи, че Васил Терзиев е съпруг на М. Т.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ind w:firstLine="720"/>
        <w:jc w:val="both"/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67"/>
        </w:tabs>
        <w:ind w:firstLine="720"/>
        <w:jc w:val="both"/>
        <w:rPr>
          <w:b w:val="0"/>
          <w:bCs w:val="0"/>
          <w:i w:val="0"/>
          <w:iCs w:val="0"/>
          <w:vertAlign w:val="baseline"/>
        </w:rPr>
      </w:pP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При така изяснената фактическа обстановка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ind w:firstLine="720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Съгласно разпоредбата на чл. 13, ал. 1, т. 8 от ЗПК (обн. ДВ. бр. 84 от 06.10.2023 г.), Комисията проверява сигнали във връзка с декларациите за несъвместимост на лицата, заемащи публични длъжности, като при установена несъвместимост – сезира органа по избора или назначаването им за предприемане на съответните действия.</w:t>
      </w:r>
    </w:p>
    <w:p w:rsidR="00000000" w:rsidDel="00000000" w:rsidP="00000000" w:rsidRDefault="00000000" w:rsidRPr="00000000" w14:paraId="00000021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Несъвместимостта по смисъла на § 1, т. 4 от ДР на ЗПК съставлява съвместяването на изпълнението на определена публична длъжност с изпълнението на друга длъжност или извършването на определена дейност, които съгласно Конституцията или закон са несъвместими с положението на лицето, като заемащо публична длъжност по чл. 6, ал. 1 от ЗПК. Целта на института на несъвместимостта е превантивна – да се предотврати възможността за възникване на колизия между евентуален частен интерес и държавния интерес, да се предотвратят още преди започване изпълнението на длъжността всякакви възможни влияния, които биха накърнили обществения интерес, доколкото несъвместимостта засяга именно безпристрастното изпълнение на публичната длъжност в обществен интерес. Закона за противодействие на корупцията не посочва самостоятелни основания за несъвместимост на изчерпателно изброените в чл. 6, ал. 1 от ЗПК длъжности. Поради разнородността на правомощията, произтичащи от различните длъжности, за всяка от последните са налице и различни предпоставки за възникване на несъвместимост.</w:t>
      </w:r>
    </w:p>
    <w:p w:rsidR="00000000" w:rsidDel="00000000" w:rsidP="00000000" w:rsidRDefault="00000000" w:rsidRPr="00000000" w14:paraId="00000022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качеството си на к. на С. о., Васил Терзиев е лице, заемащо публична длъжност по чл. 6, ал. 1, т. 32 от ЗПК и Комисията е компетентна да извърши проверка по чл. 13, ал. 1, т. 8 от ЗПК по отношение на Терзиев.</w:t>
      </w:r>
    </w:p>
    <w:p w:rsidR="00000000" w:rsidDel="00000000" w:rsidP="00000000" w:rsidRDefault="00000000" w:rsidRPr="00000000" w14:paraId="00000023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Съобразно разпоредбата на чл. 50, ал. 1 от ЗПК, при заемането на публична длъжност, за която с Конституцията или със закон са установени несъвместимости, лицето е задължено да подаде пред органа по избора или назначаването или пред съответната комисия за лице по чл. 90, ал. 2, т. 1 и т. 3 от ЗПК декларация за несъвместимост в едномесечен срок от заемане на длъжността. Съгласно ал. 3 от същата разпоредба, когато лицето е декларирало наличие на несъвместимост, то е длъжно в едномесечен срок от подаване на декларацията да предприеме необходимите действия за отстраняване на несъвместимостта и да представи доказателства за това пред органа по избора или назначаването.</w:t>
      </w:r>
    </w:p>
    <w:p w:rsidR="00000000" w:rsidDel="00000000" w:rsidP="00000000" w:rsidRDefault="00000000" w:rsidRPr="00000000" w14:paraId="00000024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основните характеристики на несъвместимостта като институт на правото, настоящата проверка изисква извършване на индивидуална и диференцирана преценка на предпоставките за несъвместимост, относими към конкретния случай. Нарушение може да се установи само и доколкото съответните относими факти съвпадат с хипотезата на съдържащите се в специалния закон норми. Затова при практическото прилагане е необходимо точно да се установи кои са приложимите разпоредби от Конституцията или от специалните закони, да се съпостави фактическата обстановка с въведените в тях забрани, за да се направи обоснован извод за наличието на факти и обстоятелства, водещи до несъвместимост. В тази връзка и предвид служебното положение на Васил Терзиев като к. на С. о. за мандат 2023-2027 г., приложение намират разпоредбите на ЗМСМА.</w:t>
      </w:r>
    </w:p>
    <w:p w:rsidR="00000000" w:rsidDel="00000000" w:rsidP="00000000" w:rsidRDefault="00000000" w:rsidRPr="00000000" w14:paraId="00000025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Съгласно разпоредбата на чл. 41, ал.1 от ЗМСМА кметовете на общини, на райони и на кметства, к.ските наместници, заместник-кметовете на общини и на райони и секретарите на общини не могат да извършват търговска дейност по смисъла на Търговския закон, да бъдат контрольори, управители или прокуристи в търговски дружества, търговски пълномощници, търговски представители, търговски посредници, синдици, ликвидатори или да участват в надзорни, управителни и контролни органи на търговски дружества и кооперации за времето на мандата им. Съгласно чл. 41, ал. 3 от ЗМСМА в едномесечен срок от полагането на клетвата, лице, което при избирането му за к. заема длъжност или осъществява дейност по ал. 1, предприема необходимите действия за прекратяване на дейността и/или за освобождаването му от заеманата длъжност и уведомява писмено за това председателя на общинския съвет и общинската избирателна комисия.</w:t>
      </w:r>
    </w:p>
    <w:p w:rsidR="00000000" w:rsidDel="00000000" w:rsidP="00000000" w:rsidRDefault="00000000" w:rsidRPr="00000000" w14:paraId="00000026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събраните по настоящата проверка доказателства се установява, че с вх. № ****/12.12.2023 г. в Общинска избирателна комисия Столична от С. о. с изх. № ***********/12.12.2023 г. е получено уведомление от Васил Терзиев, в което уведомява, че на основание чл. 41, ал. 3 от ЗМСМА, в законоустановения срок, съобразно разпоредбата на чл. 41, ал. 3 във вр. с ал. 1 от същия закон, в посочения едномесечен срок от полагането на клетва като К. на С. о. е предприел и приключил всички действия визирани в чл. 41, ал. 1 от ЗМСМА.</w:t>
      </w:r>
    </w:p>
    <w:p w:rsidR="00000000" w:rsidDel="00000000" w:rsidP="00000000" w:rsidRDefault="00000000" w:rsidRPr="00000000" w14:paraId="0000002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Съгласно чл. 1, ал. 1 от Търговския закон търговец по смисъла на този закон е всяко физическо или юридическо лице, което по занятие извършва някоя от изчерпателно изброените в разпоредбата сделки. Съгласно ал. 2 и ал. 3 търговци са: 1. търговските дружества; 2. кооперациите с изключение на жилищностроителните кооперации. За търговец се смята и всяко лице, образувало предприятие, което по предмет и обем изисква неговите дела да се водят по търговски начин даже ако дейността му не е посочена в ал. 1.</w:t>
      </w:r>
    </w:p>
    <w:p w:rsidR="00000000" w:rsidDel="00000000" w:rsidP="00000000" w:rsidRDefault="00000000" w:rsidRPr="00000000" w14:paraId="00000028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„Търговска дейност“ по смисъла на българското законодателство извършват търговците по смисъла на Търговския закон – търговци по правноорганизационната си форма (търговските дружества), лицата които извършват търговски сделки по чл. 1, ал. 1 по занятие и лицата по чл. 1, ал. 3, които са образували предприятие, което по предмет и обем изисква неговите дела да се водят по търговски начин. Физическите лица, които извършват търговска дейност във втората и третата хипотеза, са едноличните търговци.</w:t>
      </w:r>
    </w:p>
    <w:p w:rsidR="00000000" w:rsidDel="00000000" w:rsidP="00000000" w:rsidRDefault="00000000" w:rsidRPr="00000000" w14:paraId="0000002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Акционерното дружество е вид търговско дружество</w:t>
      </w:r>
      <w:r w:rsidDel="00000000" w:rsidR="00000000" w:rsidRPr="00000000">
        <w:rPr>
          <w:highlight w:val="white"/>
          <w:vertAlign w:val="baseline"/>
          <w:rtl w:val="0"/>
        </w:rPr>
        <w:t xml:space="preserve">, при което капиталът е разделен на части под формата на акции.</w:t>
      </w:r>
      <w:r w:rsidDel="00000000" w:rsidR="00000000" w:rsidRPr="00000000">
        <w:rPr>
          <w:vertAlign w:val="baseline"/>
          <w:rtl w:val="0"/>
        </w:rPr>
        <w:t xml:space="preserve"> А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кционерното дружество има 2 системи на управление - </w:t>
      </w:r>
      <w:r w:rsidDel="00000000" w:rsidR="00000000" w:rsidRPr="00000000">
        <w:rPr>
          <w:highlight w:val="white"/>
          <w:vertAlign w:val="baseline"/>
          <w:rtl w:val="0"/>
        </w:rPr>
        <w:t xml:space="preserve">едностепенна система /при която АД се управлява и представлява от Съвет на директорите/ и двустепенна система /АД има Управителен съвет и Надзорен съвет/. Учредителите могат да изберат една от двете системи на управление на акционерното дружество. 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Общото събрание на акционерите</w:t>
      </w:r>
      <w:r w:rsidDel="00000000" w:rsidR="00000000" w:rsidRPr="00000000">
        <w:rPr>
          <w:highlight w:val="white"/>
          <w:vertAlign w:val="baseline"/>
          <w:rtl w:val="0"/>
        </w:rPr>
        <w:t xml:space="preserve"> е постоянно действащ орган. То включва всички акционери с право на глас. Общото събрание на акционерите решава основните въпроси (изменя и допълва устава, увеличава и намалява капитала, избира и освобождава членовете на съвета на директорите, съответно на Надзорния съвет и др.). Въпреки това 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то не е върховен орган на управление в същата степен, както общото събрание при ООД</w:t>
      </w:r>
      <w:r w:rsidDel="00000000" w:rsidR="00000000" w:rsidRPr="00000000">
        <w:rPr>
          <w:highlight w:val="white"/>
          <w:vertAlign w:val="baseline"/>
          <w:rtl w:val="0"/>
        </w:rPr>
        <w:t xml:space="preserve">. При 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едностепенната система на управление</w:t>
      </w:r>
      <w:r w:rsidDel="00000000" w:rsidR="00000000" w:rsidRPr="00000000">
        <w:rPr>
          <w:highlight w:val="white"/>
          <w:vertAlign w:val="baseline"/>
          <w:rtl w:val="0"/>
        </w:rPr>
        <w:t xml:space="preserve">  има само един управителен орган и той е 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Съвет на директорите.</w:t>
      </w:r>
      <w:r w:rsidDel="00000000" w:rsidR="00000000" w:rsidRPr="00000000">
        <w:rPr>
          <w:highlight w:val="white"/>
          <w:vertAlign w:val="baseline"/>
          <w:rtl w:val="0"/>
        </w:rPr>
        <w:t xml:space="preserve">  В състава на съвета могат да участват както физически, така и юридически лица. </w:t>
      </w:r>
      <w:r w:rsidDel="00000000" w:rsidR="00000000" w:rsidRPr="00000000">
        <w:rPr>
          <w:vertAlign w:val="baseline"/>
          <w:rtl w:val="0"/>
        </w:rPr>
        <w:t xml:space="preserve">Съветът на директорите възлага управлението на дружеството на един или няколко изпълнителни членове, избрани измежду неговите членове и определя възнаграждението им.</w:t>
      </w:r>
      <w:r w:rsidDel="00000000" w:rsidR="00000000" w:rsidRPr="00000000">
        <w:rPr>
          <w:highlight w:val="white"/>
          <w:vertAlign w:val="baseline"/>
          <w:rtl w:val="0"/>
        </w:rPr>
        <w:t xml:space="preserve"> При 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двустепенната система на управление</w:t>
      </w:r>
      <w:r w:rsidDel="00000000" w:rsidR="00000000" w:rsidRPr="00000000">
        <w:rPr>
          <w:highlight w:val="white"/>
          <w:vertAlign w:val="baseline"/>
          <w:rtl w:val="0"/>
        </w:rPr>
        <w:t xml:space="preserve"> - управителен орган е </w:t>
      </w:r>
      <w:r w:rsidDel="00000000" w:rsidR="00000000" w:rsidRPr="00000000">
        <w:rPr>
          <w:b w:val="1"/>
          <w:bCs w:val="1"/>
          <w:highlight w:val="white"/>
          <w:vertAlign w:val="baseline"/>
          <w:rtl w:val="0"/>
        </w:rPr>
        <w:t xml:space="preserve">Управителният съвет</w:t>
      </w:r>
      <w:r w:rsidDel="00000000" w:rsidR="00000000" w:rsidRPr="00000000">
        <w:rPr>
          <w:highlight w:val="white"/>
          <w:vertAlign w:val="baseline"/>
          <w:rtl w:val="0"/>
        </w:rPr>
        <w:t xml:space="preserve">. То извършва своята дейност под контрола на Надзорния съвет. </w:t>
      </w:r>
      <w:r w:rsidDel="00000000" w:rsidR="00000000" w:rsidRPr="00000000">
        <w:rPr>
          <w:vertAlign w:val="baseline"/>
          <w:rtl w:val="0"/>
        </w:rPr>
        <w:t xml:space="preserve">Членовете на Управителния съвет се избират от Надзорния съвет. В състава му могат да участват както физически, така и юридически лица. Вторият орган при двустепенна система на управление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 е Надзорния съвет. </w:t>
      </w:r>
      <w:r w:rsidDel="00000000" w:rsidR="00000000" w:rsidRPr="00000000">
        <w:rPr>
          <w:vertAlign w:val="baseline"/>
          <w:rtl w:val="0"/>
        </w:rPr>
        <w:t xml:space="preserve">Членовете на Надзорния съвет се избират от Общото събрание. Надзорният съвет избира председател и заместник-председател от своите членове. </w:t>
      </w:r>
    </w:p>
    <w:p w:rsidR="00000000" w:rsidDel="00000000" w:rsidP="00000000" w:rsidRDefault="00000000" w:rsidRPr="00000000" w14:paraId="0000002A">
      <w:pPr>
        <w:jc w:val="both"/>
        <w:rPr>
          <w:vertAlign w:val="baseline"/>
        </w:rPr>
      </w:pPr>
      <w:r w:rsidDel="00000000" w:rsidR="00000000" w:rsidRPr="00000000">
        <w:rPr>
          <w:highlight w:val="white"/>
          <w:vertAlign w:val="baseline"/>
          <w:rtl w:val="0"/>
        </w:rPr>
        <w:tab/>
        <w:t xml:space="preserve">Управителните органи осъществяват цялостно управление на АД. Управлението обхваща всички въпроси, които не са предоставени на Общото събрание. Те назначават и освобождават персонала, сключват всички сделки на АД. (но за някои сделки е необходимо решение и да други органи). Те представляват АД. Членовете на съветите отговарят за вредите, които са причинили на АД солидарно.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Според Устава на „В. И.“ АД, Дружеството е юридическо лице, отделно от своите акционери и отговаря за задълженията си до размера на своето имущество. Дружеството не отговаря за задълженията на акционерите, а акционерите не отговарят за задълженията на Дружеството освен до размера на ненаправените вноски, ако има такива, срещу записаните Акции. Капиталът на Дружеството е в размер на ********* (***************) лева, които са разделени - ******** Обикновени акции и 100 Клас А Привилегировани акции. Всяка Обикновена акция дава на притежателя й право на един глас в Общото събрание на Дружеството, както и право на дивидент и на ликвидационен дял, съразмерен на номиналната стойност на акцията към вписания капитал на Дружеството, а всяка Клас А Привилегирована акция е без право на глас и дава право на притежателя си да получи като гарантиран дивидент пропорционална част от Клас А Гарантирана сума. Всеки Акционер е длъжен да внесе размера на номиналната стойност или пълната емисионна стойност на записаните от него акции в срок, определен с решението за издаване на съответните Акции. Общото събрание може да определи размера на отделните вноски от номиналната стойност на записаните Акции и срок, в който да бъде направена всяка вноска, при условие че пълният размер на номиналната стойност на всички записани Акции трябва да бъде внесен до 2 (две) години от записването на съответните Акции. Според същия Устав Органи на Дружеството са Общото събрание на Акционерите (Общо събрание) и Съвета на директорите. Общото събрание включва всички Акционери с право на глас. Акционери, притежаващи Клас А Привилегировани акции, участват в Общото събрание без право на глас. Членовете на Съвета на директорите може да присъстват на Общото събрание, но без право на глас, освен ако са Акционери. Компетентността на Общото събрание е: Да изменя и допълва Устава на Дружеството; Да увеличава и намалява капитала на Дружеството; Да взема решение по чл. 196 от Търговския закон; Да взема решения за издаване на облигации, конвертируеми в акции, както и за издаване на всякакви други ценни книжа, даващи право на придобиване на акции в Дружеството; Да взема решения за отпадане правото на Акционерите да придобият пропорционална част от акции, издавани при увеличение на капитала; Да одобрява създаването на нови класове акции или промяна или изключване на правата по вече издадени акции; Да взема решения за преобразуване на Дружеството; Да одобрява обратно изкупуване, придобиване или обезсилване на собствени акции от Дружеството и други. Съветът на директорите се състои от поне трима членове, определени от Общото събрание, като Съветът 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делегира</w:t>
      </w:r>
      <w:r w:rsidDel="00000000" w:rsidR="00000000" w:rsidRPr="00000000">
        <w:rPr>
          <w:vertAlign w:val="baseline"/>
          <w:rtl w:val="0"/>
        </w:rPr>
        <w:t xml:space="preserve"> управлението на Дружеството на един или повече изпълнителни директори, които ще управляват и представляват Дружеството („Изпълнителен директор“) съобразно посоченото в решението на Съвета на директорите. Овластяването може да бъде оттеглено по всяко време.</w:t>
      </w:r>
    </w:p>
    <w:p w:rsidR="00000000" w:rsidDel="00000000" w:rsidP="00000000" w:rsidRDefault="00000000" w:rsidRPr="00000000" w14:paraId="0000002C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събраните по административната преписка доказателства може да се изведе, че към датата на встъпване на Васил Терзиев като к. на С. о. „В. И.“ ЕООД, е преобразувано в еднолично акционерно дружество, а на 17.11.2023 г. в акционерно дружество. Също на 29.11.2023 г. Терзиев е прехвърлил 453 165 акции от капитала на В. И., представляващи 51% от акциите с право на глас на Дружеството на М. Т. В резултат на това прехвърляне, считано от 29.11.2023г., Васил Терзиев притежава 49% от акциите с право на глас на В. И. АД. Васил Терзиев не е член на управителен и контролен орган на акционерното дружество. Участието му в Общото събрание, не може да се приеме за участие в управителен и контролен орган, доколкото Общото събрание на акционерното дружество </w:t>
      </w:r>
      <w:r w:rsidDel="00000000" w:rsidR="00000000" w:rsidRPr="00000000">
        <w:rPr>
          <w:highlight w:val="white"/>
          <w:vertAlign w:val="baseline"/>
          <w:rtl w:val="0"/>
        </w:rPr>
        <w:t xml:space="preserve">не е върховен орган на управление</w:t>
      </w:r>
      <w:r w:rsidDel="00000000" w:rsidR="00000000" w:rsidRPr="00000000">
        <w:rPr>
          <w:vertAlign w:val="baseline"/>
          <w:rtl w:val="0"/>
        </w:rPr>
        <w:t xml:space="preserve">, какъвто в случая се явява Съвета на директорите.</w:t>
      </w:r>
    </w:p>
    <w:p w:rsidR="00000000" w:rsidDel="00000000" w:rsidP="00000000" w:rsidRDefault="00000000" w:rsidRPr="00000000" w14:paraId="0000002D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посоченото и събраните по административната преписката документи се извежда, че участието на физическо лице в акционерно дружество, в т. ч. придобиването, притежаването и продажбата на акции сами по себе си не представляват упражняване на търговска дейност по смисъла на Търговския закон. Следователно участието на акционер в този вид капиталово търговско дружество е пасивно и изцяло имуществено. На следващо място, от приложените по преписката доказателства се установява, че преобразуването на „В. И.“ от дружество с ограничена отговорност в акционерно дружество, така и прехвърлянето на контрола върху „В. И.“ са извършени преди изтичането на едномесечния срок по чл. 41 от ЗМСМА, за което Терзиев е уведомил в срок Общинската избирателна комисия Столична, в съответствие с разпоредбата на чл. 41, ал. 3 от ЗМСМА.</w:t>
      </w:r>
    </w:p>
    <w:p w:rsidR="00000000" w:rsidDel="00000000" w:rsidP="00000000" w:rsidRDefault="00000000" w:rsidRPr="00000000" w14:paraId="0000002E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 отношението на вписването на информация за действителни собственици на „В. И.“ АД, следва да се посочи, че същото е от административно естество и е направено в изпълнение на административното задължение на дружеството, съгласно разпоредбата на чл. 63, ал. 4 от ЗМИП. Това е задължение на законния представител на акционерното дружеството, а не на акционер в него, какъвто единствено се явява Васил Терзиев.</w:t>
      </w:r>
    </w:p>
    <w:p w:rsidR="00000000" w:rsidDel="00000000" w:rsidP="00000000" w:rsidRDefault="00000000" w:rsidRPr="00000000" w14:paraId="0000002F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 оглед на установеното по-горе, не може да се направи обоснован извод за наличие на несъвместимост по чл. 41, ал. 1 от ЗМСМА по отношение на Васил Терзиев, в качеството му на к. на С. о. за мандат 2023-2027 г. за периода от встъпването му в длъжност като такъв до настоящия момент, във връзка с участието му като акционер във „В. И.“ АД.</w:t>
      </w:r>
    </w:p>
    <w:p w:rsidR="00000000" w:rsidDel="00000000" w:rsidP="00000000" w:rsidRDefault="00000000" w:rsidRPr="00000000" w14:paraId="00000030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Във връзка с гореизложеното, на основание чл. 13, ал. 1, т. т. 8 от ЗПК във вр. с § 7, ал. 2 от ПЗР на ЗПК, Комисията за противодействие на корупцията</w:t>
      </w:r>
    </w:p>
    <w:p w:rsidR="00000000" w:rsidDel="00000000" w:rsidP="00000000" w:rsidRDefault="00000000" w:rsidRPr="00000000" w14:paraId="00000031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hd w:fill="ffffff" w:val="clear"/>
        <w:spacing w:after="0" w:before="0" w:lineRule="auto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4"/>
          <w:szCs w:val="24"/>
          <w:vertAlign w:val="baseline"/>
          <w:rtl w:val="0"/>
        </w:rPr>
        <w:t xml:space="preserve">            НЕ УСТАНОВЯВА НЕСЪВМЕСТИМОСТ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vertAlign w:val="baseline"/>
          <w:rtl w:val="0"/>
        </w:rPr>
        <w:t xml:space="preserve">по отношение на Васил Терзиев с ЕГН: *********, к. на С. о. за мандат 2023-2027 г. и лице, заемащо публична длъжност по смисъла на чл. 6, ал. 1, т. 32 от ЗПК, във връзка с участието му</w:t>
      </w:r>
      <w:r w:rsidDel="00000000" w:rsidR="00000000" w:rsidRPr="00000000">
        <w:rPr>
          <w:b w:val="1"/>
          <w:bCs w:val="1"/>
          <w:i w:val="1"/>
          <w:iCs w:val="1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vertAlign w:val="baseline"/>
          <w:rtl w:val="0"/>
        </w:rPr>
        <w:t xml:space="preserve">като акционер във „В. И.“ АД, за периода от встъпването му в длъжност като к. на С. о. до настоящия момент.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shd w:fill="ffffff" w:val="clear"/>
        <w:spacing w:after="0" w:before="0" w:lineRule="auto"/>
        <w:ind w:firstLine="720"/>
        <w:jc w:val="both"/>
        <w:rPr>
          <w:rFonts w:ascii="Times New Roman" w:cs="Times New Roman" w:eastAsia="Times New Roman" w:hAnsi="Times New Roman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6300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6300"/>
        </w:tabs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63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1440" w:firstLine="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ЗА ПРЕДСЕДАТЕЛ:…………П…………….…….../АНТОН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            ЧЛЕН:…………………………П.………….../АНТОАНЕТА ЦОНКОВА/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08" w:firstLine="720.0000000000001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  ЧЛЕН:…………………...……П.……....……………./ПЛАМЕН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400"/>
        </w:tabs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1135" w:top="1134" w:left="1418" w:right="1134" w:header="454" w:footer="17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u w:val="single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99.0" w:type="dxa"/>
      <w:jc w:val="left"/>
      <w:tblInd w:w="-1526.0000000000002" w:type="dxa"/>
      <w:tblLayout w:type="fixed"/>
      <w:tblLook w:val="0000"/>
    </w:tblPr>
    <w:tblGrid>
      <w:gridCol w:w="10599"/>
      <w:tblGridChange w:id="0">
        <w:tblGrid>
          <w:gridCol w:w="1059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4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ind w:left="1560" w:firstLine="0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  К О Р У П Ц И Я Т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center" w:leader="none" w:pos="4153"/>
              <w:tab w:val="right" w:leader="none" w:pos="8306"/>
            </w:tabs>
            <w:ind w:left="1560" w:firstLine="0"/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№6,  тел: (+359 2) 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tabs>
        <w:tab w:val="center" w:leader="none" w:pos="4153"/>
        <w:tab w:val="right" w:leader="none" w:pos="8306"/>
      </w:tabs>
      <w:ind w:left="1560" w:firstLine="0"/>
      <w:rPr>
        <w:sz w:val="26"/>
        <w:szCs w:val="26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bCs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