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0"/>
          <w:bCs w:val="0"/>
          <w:vertAlign w:val="baseline"/>
        </w:rPr>
      </w:pPr>
      <w:r w:rsidDel="00000000" w:rsidR="00000000" w:rsidRPr="00000000">
        <w:rPr>
          <w:rtl w:val="0"/>
        </w:rPr>
      </w:r>
    </w:p>
    <w:p w:rsidR="00000000" w:rsidDel="00000000" w:rsidP="00000000" w:rsidRDefault="00000000" w:rsidRPr="00000000" w14:paraId="00000002">
      <w:pPr>
        <w:jc w:val="both"/>
        <w:rPr>
          <w:b w:val="0"/>
          <w:bCs w:val="0"/>
          <w:vertAlign w:val="baseline"/>
        </w:rPr>
      </w:pPr>
      <w:r w:rsidDel="00000000" w:rsidR="00000000" w:rsidRPr="00000000">
        <w:rPr>
          <w:rtl w:val="0"/>
        </w:rPr>
      </w:r>
    </w:p>
    <w:p w:rsidR="00000000" w:rsidDel="00000000" w:rsidP="00000000" w:rsidRDefault="00000000" w:rsidRPr="00000000" w14:paraId="00000003">
      <w:pPr>
        <w:ind w:left="3600" w:firstLine="720"/>
        <w:jc w:val="both"/>
        <w:rPr>
          <w:b w:val="0"/>
          <w:bCs w:val="0"/>
          <w:vertAlign w:val="baseline"/>
        </w:rPr>
      </w:pPr>
      <w:r w:rsidDel="00000000" w:rsidR="00000000" w:rsidRPr="00000000">
        <w:rPr>
          <w:b w:val="1"/>
          <w:bCs w:val="1"/>
          <w:vertAlign w:val="baseline"/>
          <w:rtl w:val="0"/>
        </w:rPr>
        <w:t xml:space="preserve">РЕШЕНИЕ</w:t>
      </w:r>
      <w:r w:rsidDel="00000000" w:rsidR="00000000" w:rsidRPr="00000000">
        <w:rPr>
          <w:rtl w:val="0"/>
        </w:rPr>
      </w:r>
    </w:p>
    <w:p w:rsidR="00000000" w:rsidDel="00000000" w:rsidP="00000000" w:rsidRDefault="00000000" w:rsidRPr="00000000" w14:paraId="00000004">
      <w:pPr>
        <w:jc w:val="center"/>
        <w:rPr>
          <w:b w:val="0"/>
          <w:bCs w:val="0"/>
          <w:vertAlign w:val="baseline"/>
        </w:rPr>
      </w:pPr>
      <w:r w:rsidDel="00000000" w:rsidR="00000000" w:rsidRPr="00000000">
        <w:rPr>
          <w:b w:val="1"/>
          <w:bCs w:val="1"/>
          <w:vertAlign w:val="baseline"/>
          <w:rtl w:val="0"/>
        </w:rPr>
        <w:t xml:space="preserve">   № РН-36-25-015</w:t>
      </w:r>
      <w:r w:rsidDel="00000000" w:rsidR="00000000" w:rsidRPr="00000000">
        <w:rPr>
          <w:rtl w:val="0"/>
        </w:rPr>
      </w:r>
    </w:p>
    <w:p w:rsidR="00000000" w:rsidDel="00000000" w:rsidP="00000000" w:rsidRDefault="00000000" w:rsidRPr="00000000" w14:paraId="00000005">
      <w:pPr>
        <w:tabs>
          <w:tab w:val="left" w:leader="none" w:pos="567"/>
        </w:tabs>
        <w:ind w:firstLine="720"/>
        <w:jc w:val="center"/>
        <w:rPr>
          <w:vertAlign w:val="baseline"/>
        </w:rPr>
      </w:pPr>
      <w:r w:rsidDel="00000000" w:rsidR="00000000" w:rsidRPr="00000000">
        <w:rPr>
          <w:rtl w:val="0"/>
        </w:rPr>
      </w:r>
    </w:p>
    <w:p w:rsidR="00000000" w:rsidDel="00000000" w:rsidP="00000000" w:rsidRDefault="00000000" w:rsidRPr="00000000" w14:paraId="00000006">
      <w:pPr>
        <w:tabs>
          <w:tab w:val="left" w:leader="none" w:pos="567"/>
        </w:tabs>
        <w:ind w:firstLine="720"/>
        <w:jc w:val="both"/>
        <w:rPr>
          <w:vertAlign w:val="baseline"/>
        </w:rPr>
      </w:pPr>
      <w:r w:rsidDel="00000000" w:rsidR="00000000" w:rsidRPr="00000000">
        <w:rPr>
          <w:vertAlign w:val="baseline"/>
          <w:rtl w:val="0"/>
        </w:rPr>
        <w:t xml:space="preserve">Днес, 16.06.2025 г., Комисията за противодействие на корупцията /КПК/, в състав:</w:t>
      </w:r>
    </w:p>
    <w:p w:rsidR="00000000" w:rsidDel="00000000" w:rsidP="00000000" w:rsidRDefault="00000000" w:rsidRPr="00000000" w14:paraId="00000007">
      <w:pPr>
        <w:tabs>
          <w:tab w:val="left" w:leader="none" w:pos="567"/>
        </w:tabs>
        <w:ind w:firstLine="720"/>
        <w:jc w:val="both"/>
        <w:rPr>
          <w:b w:val="0"/>
          <w:bCs w:val="0"/>
          <w:vertAlign w:val="baseline"/>
        </w:rPr>
      </w:pPr>
      <w:r w:rsidDel="00000000" w:rsidR="00000000" w:rsidRPr="00000000">
        <w:rPr>
          <w:rtl w:val="0"/>
        </w:rPr>
      </w:r>
    </w:p>
    <w:p w:rsidR="00000000" w:rsidDel="00000000" w:rsidP="00000000" w:rsidRDefault="00000000" w:rsidRPr="00000000" w14:paraId="00000008">
      <w:pPr>
        <w:tabs>
          <w:tab w:val="left" w:leader="none" w:pos="426"/>
        </w:tabs>
        <w:ind w:firstLine="720"/>
        <w:jc w:val="both"/>
        <w:rPr>
          <w:b w:val="0"/>
          <w:bCs w:val="0"/>
          <w:vertAlign w:val="baseline"/>
        </w:rPr>
      </w:pPr>
      <w:r w:rsidDel="00000000" w:rsidR="00000000" w:rsidRPr="00000000">
        <w:rPr>
          <w:b w:val="1"/>
          <w:bCs w:val="1"/>
          <w:vertAlign w:val="baseline"/>
          <w:rtl w:val="0"/>
        </w:rPr>
        <w:t xml:space="preserve">За председател: Антон Славчев</w:t>
      </w:r>
      <w:r w:rsidDel="00000000" w:rsidR="00000000" w:rsidRPr="00000000">
        <w:rPr>
          <w:rtl w:val="0"/>
        </w:rPr>
      </w:r>
    </w:p>
    <w:p w:rsidR="00000000" w:rsidDel="00000000" w:rsidP="00000000" w:rsidRDefault="00000000" w:rsidRPr="00000000" w14:paraId="00000009">
      <w:pPr>
        <w:tabs>
          <w:tab w:val="left" w:leader="none" w:pos="426"/>
        </w:tabs>
        <w:ind w:firstLine="720"/>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A">
      <w:pPr>
        <w:tabs>
          <w:tab w:val="left" w:leader="none" w:pos="426"/>
        </w:tabs>
        <w:ind w:firstLine="720"/>
        <w:rPr>
          <w:b w:val="0"/>
          <w:bCs w:val="0"/>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B">
      <w:pPr>
        <w:ind w:left="2880" w:firstLine="720"/>
        <w:jc w:val="both"/>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0C">
      <w:pPr>
        <w:ind w:left="2880" w:firstLine="720"/>
        <w:jc w:val="both"/>
        <w:rPr>
          <w:b w:val="0"/>
          <w:bCs w:val="0"/>
          <w:vertAlign w:val="baseline"/>
        </w:rPr>
      </w:pPr>
      <w:r w:rsidDel="00000000" w:rsidR="00000000" w:rsidRPr="00000000">
        <w:rPr>
          <w:b w:val="1"/>
          <w:bCs w:val="1"/>
          <w:vertAlign w:val="baseline"/>
          <w:rtl w:val="0"/>
        </w:rPr>
        <w:t xml:space="preserve">   У С Т А Н О В И:</w:t>
      </w:r>
      <w:r w:rsidDel="00000000" w:rsidR="00000000" w:rsidRPr="00000000">
        <w:rPr>
          <w:rtl w:val="0"/>
        </w:rPr>
      </w:r>
    </w:p>
    <w:p w:rsidR="00000000" w:rsidDel="00000000" w:rsidP="00000000" w:rsidRDefault="00000000" w:rsidRPr="00000000" w14:paraId="0000000D">
      <w:pPr>
        <w:ind w:left="2880" w:firstLine="720"/>
        <w:jc w:val="both"/>
        <w:rPr>
          <w:b w:val="0"/>
          <w:bCs w:val="0"/>
          <w:vertAlign w:val="baseline"/>
        </w:rPr>
      </w:pPr>
      <w:r w:rsidDel="00000000" w:rsidR="00000000" w:rsidRPr="00000000">
        <w:rPr>
          <w:rtl w:val="0"/>
        </w:rPr>
      </w:r>
    </w:p>
    <w:p w:rsidR="00000000" w:rsidDel="00000000" w:rsidP="00000000" w:rsidRDefault="00000000" w:rsidRPr="00000000" w14:paraId="0000000E">
      <w:pPr>
        <w:tabs>
          <w:tab w:val="left" w:leader="none" w:pos="567"/>
        </w:tabs>
        <w:ind w:firstLine="720"/>
        <w:jc w:val="both"/>
        <w:rPr>
          <w:vertAlign w:val="baseline"/>
        </w:rPr>
      </w:pPr>
      <w:r w:rsidDel="00000000" w:rsidR="00000000" w:rsidRPr="00000000">
        <w:rPr>
          <w:vertAlign w:val="baseline"/>
          <w:rtl w:val="0"/>
        </w:rPr>
        <w:t xml:space="preserve">Проверката е по реда на чл. 13, ал. 1, т. 8 от Закона за противодействие на корупцията (ЗПК) и е образувана въз основа на Решение за извършване на проверка № КИ-059 от 10.02.2025 г. по сигнал с вх. № С-36/15.01.2025 г. на КПК. </w:t>
      </w:r>
    </w:p>
    <w:p w:rsidR="00000000" w:rsidDel="00000000" w:rsidP="00000000" w:rsidRDefault="00000000" w:rsidRPr="00000000" w14:paraId="0000000F">
      <w:pPr>
        <w:tabs>
          <w:tab w:val="left" w:leader="none" w:pos="567"/>
        </w:tabs>
        <w:ind w:firstLine="720"/>
        <w:jc w:val="both"/>
        <w:rPr>
          <w:vertAlign w:val="baseline"/>
        </w:rPr>
      </w:pPr>
      <w:r w:rsidDel="00000000" w:rsidR="00000000" w:rsidRPr="00000000">
        <w:rPr>
          <w:vertAlign w:val="baseline"/>
          <w:rtl w:val="0"/>
        </w:rPr>
        <w:t xml:space="preserve">Проверката е образувана срещу Константин С. Манев, в качеството му на общински съветник в Общински съвет (ОбС) Т.  </w:t>
      </w:r>
    </w:p>
    <w:p w:rsidR="00000000" w:rsidDel="00000000" w:rsidP="00000000" w:rsidRDefault="00000000" w:rsidRPr="00000000" w14:paraId="00000010">
      <w:pPr>
        <w:ind w:firstLine="720"/>
        <w:jc w:val="both"/>
        <w:rPr>
          <w:vertAlign w:val="baseline"/>
        </w:rPr>
      </w:pPr>
      <w:r w:rsidDel="00000000" w:rsidR="00000000" w:rsidRPr="00000000">
        <w:rPr>
          <w:vertAlign w:val="baseline"/>
          <w:rtl w:val="0"/>
        </w:rPr>
        <w:t xml:space="preserve">В сигнала са изложени твърдения, че Манев е управител и собственик на “В******* а***“ ООД, ЕИК: *********, което дружество е спечелило обществена поръчка и е сключило договор с Община Т. на 26.11.2024 г. в нарушение на чл. 34, ал. 5, т. 3 от Закона за местното самоуправление и местната администрация (ЗМСМА).</w:t>
      </w:r>
    </w:p>
    <w:p w:rsidR="00000000" w:rsidDel="00000000" w:rsidP="00000000" w:rsidRDefault="00000000" w:rsidRPr="00000000" w14:paraId="00000011">
      <w:pPr>
        <w:ind w:firstLine="720"/>
        <w:jc w:val="both"/>
        <w:rPr>
          <w:vertAlign w:val="baseline"/>
        </w:rPr>
      </w:pPr>
      <w:r w:rsidDel="00000000" w:rsidR="00000000" w:rsidRPr="00000000">
        <w:rPr>
          <w:vertAlign w:val="baseline"/>
          <w:rtl w:val="0"/>
        </w:rPr>
        <w:t xml:space="preserve">Изискани са и с писма вх. № КПК-337-3/11.03.2025 г. и № КПК-337-6/22.04.2025 г. на КПК от председателя на Постоянната комисия „Правна комисия“ към ОбС Т. са получени заверени копия на Клетвен лист от 08.11.2023 г. на Константин С. Манев, Удостоверение за избран общински съветник № 5/30.10.2023 г. на Общинска избирателна комисия (ОИК) Т. и Декларация за несъвместимост по чл. 49, ал. 1, т. 1 от ЗПК на Константин Манев с вх. № ДН-14/30.11.2023 г. на ОбС Т., както и цялата документация по проведена обществена поръчка, по която между Община Т. и “В******* а***“ ООД, ЕИК: ********* е сключен Договор за обществена поръчка № РД-Д-521/26.11.2024 година. </w:t>
      </w:r>
    </w:p>
    <w:p w:rsidR="00000000" w:rsidDel="00000000" w:rsidP="00000000" w:rsidRDefault="00000000" w:rsidRPr="00000000" w14:paraId="00000012">
      <w:pPr>
        <w:ind w:firstLine="720"/>
        <w:jc w:val="both"/>
        <w:rPr>
          <w:vertAlign w:val="baseline"/>
        </w:rPr>
      </w:pPr>
      <w:r w:rsidDel="00000000" w:rsidR="00000000" w:rsidRPr="00000000">
        <w:rPr>
          <w:vertAlign w:val="baseline"/>
          <w:rtl w:val="0"/>
        </w:rPr>
        <w:t xml:space="preserve">Комисията служебно е извършила справки в Търговския регистър и регистър на юридическите лица с нестопанска цел (ТРРЮЛНЦ) и на интернет страницата на ОбС Т.</w:t>
      </w:r>
    </w:p>
    <w:p w:rsidR="00000000" w:rsidDel="00000000" w:rsidP="00000000" w:rsidRDefault="00000000" w:rsidRPr="00000000" w14:paraId="00000013">
      <w:pPr>
        <w:tabs>
          <w:tab w:val="left" w:leader="none" w:pos="0"/>
          <w:tab w:val="left" w:leader="none" w:pos="567"/>
        </w:tabs>
        <w:ind w:firstLine="720"/>
        <w:jc w:val="both"/>
        <w:rPr>
          <w:i w:val="0"/>
          <w:iCs w:val="0"/>
          <w:vertAlign w:val="baseline"/>
        </w:rPr>
      </w:pPr>
      <w:r w:rsidDel="00000000" w:rsidR="00000000" w:rsidRPr="00000000">
        <w:rPr>
          <w:rtl w:val="0"/>
        </w:rPr>
      </w:r>
    </w:p>
    <w:p w:rsidR="00000000" w:rsidDel="00000000" w:rsidP="00000000" w:rsidRDefault="00000000" w:rsidRPr="00000000" w14:paraId="00000014">
      <w:pPr>
        <w:tabs>
          <w:tab w:val="left" w:leader="none" w:pos="0"/>
          <w:tab w:val="left" w:leader="none" w:pos="567"/>
        </w:tabs>
        <w:ind w:firstLine="720"/>
        <w:jc w:val="both"/>
        <w:rPr>
          <w:i w:val="0"/>
          <w:iCs w:val="0"/>
          <w:vertAlign w:val="baseline"/>
        </w:rPr>
      </w:pPr>
      <w:r w:rsidDel="00000000" w:rsidR="00000000" w:rsidRPr="00000000">
        <w:rPr>
          <w:i w:val="1"/>
          <w:iCs w:val="1"/>
          <w:vertAlign w:val="baseline"/>
          <w:rtl w:val="0"/>
        </w:rPr>
        <w:t xml:space="preserve">В хода на проверката по сигнала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5">
      <w:pPr>
        <w:ind w:firstLine="720"/>
        <w:jc w:val="both"/>
        <w:rPr>
          <w:vertAlign w:val="baseline"/>
        </w:rPr>
      </w:pPr>
      <w:r w:rsidDel="00000000" w:rsidR="00000000" w:rsidRPr="00000000">
        <w:rPr>
          <w:rtl w:val="0"/>
        </w:rPr>
      </w:r>
    </w:p>
    <w:p w:rsidR="00000000" w:rsidDel="00000000" w:rsidP="00000000" w:rsidRDefault="00000000" w:rsidRPr="00000000" w14:paraId="00000016">
      <w:pPr>
        <w:ind w:firstLine="720"/>
        <w:jc w:val="both"/>
        <w:rPr>
          <w:vertAlign w:val="baseline"/>
        </w:rPr>
      </w:pPr>
      <w:r w:rsidDel="00000000" w:rsidR="00000000" w:rsidRPr="00000000">
        <w:rPr>
          <w:vertAlign w:val="baseline"/>
          <w:rtl w:val="0"/>
        </w:rPr>
        <w:t xml:space="preserve">Сигналът е подаден от физическо лице с посочени три имена, ЕГН, адрес, телефон и е надлежно подписан.</w:t>
      </w:r>
    </w:p>
    <w:p w:rsidR="00000000" w:rsidDel="00000000" w:rsidP="00000000" w:rsidRDefault="00000000" w:rsidRPr="00000000" w14:paraId="00000017">
      <w:pPr>
        <w:ind w:firstLine="720"/>
        <w:jc w:val="both"/>
        <w:rPr>
          <w:color w:val="000000"/>
          <w:vertAlign w:val="baseline"/>
        </w:rPr>
      </w:pPr>
      <w:r w:rsidDel="00000000" w:rsidR="00000000" w:rsidRPr="00000000">
        <w:rPr>
          <w:color w:val="000000"/>
          <w:vertAlign w:val="baseline"/>
          <w:rtl w:val="0"/>
        </w:rPr>
        <w:t xml:space="preserve">Съгласно Удостоверение за избран общински съветник № 5/30.10.2023 г. на ОИК Т. Константин С. Манев е избран за общински съветник в ОбС Т. за мандат 2023-2027 г. и е положил клетва на 08.11.2023 г., видно от приложен по преписката клетвен лист. </w:t>
      </w:r>
    </w:p>
    <w:p w:rsidR="00000000" w:rsidDel="00000000" w:rsidP="00000000" w:rsidRDefault="00000000" w:rsidRPr="00000000" w14:paraId="00000018">
      <w:pPr>
        <w:ind w:firstLine="720"/>
        <w:jc w:val="both"/>
        <w:rPr>
          <w:color w:val="000000"/>
          <w:vertAlign w:val="baseline"/>
        </w:rPr>
      </w:pPr>
      <w:r w:rsidDel="00000000" w:rsidR="00000000" w:rsidRPr="00000000">
        <w:rPr>
          <w:color w:val="000000"/>
          <w:vertAlign w:val="baseline"/>
          <w:rtl w:val="0"/>
        </w:rPr>
        <w:t xml:space="preserve">Константин Манев е подал Декларация за несъвместимост по чл. 49, ал. 1, т. 1 от ЗПК с вх. № ДН-14/30.11.2023 г. на ОбС Т., в която декларира, че не заема друга длъжност и не извършва дейност, която съгласно Конституцията или специален закон е несъвместима с положението му на лице, заемащо публична длъжност.</w:t>
      </w:r>
    </w:p>
    <w:p w:rsidR="00000000" w:rsidDel="00000000" w:rsidP="00000000" w:rsidRDefault="00000000" w:rsidRPr="00000000" w14:paraId="00000019">
      <w:pPr>
        <w:ind w:firstLine="720"/>
        <w:jc w:val="both"/>
        <w:rPr>
          <w:color w:val="000000"/>
          <w:vertAlign w:val="baseline"/>
        </w:rPr>
      </w:pPr>
      <w:r w:rsidDel="00000000" w:rsidR="00000000" w:rsidRPr="00000000">
        <w:rPr>
          <w:color w:val="000000"/>
          <w:vertAlign w:val="baseline"/>
          <w:rtl w:val="0"/>
        </w:rPr>
        <w:t xml:space="preserve">От извършена справка в ТРРЮЛНЦ се установи, че Константин Манев е съдружник със Стоян Манев Стоянов и управител на “В******* а***“ ООД, ЕИК: *********, което развива селскостопанска и търговска дейност на територията на страната и в чужбина. От справката не се установи в дружеството да има общинско участие.</w:t>
      </w:r>
    </w:p>
    <w:p w:rsidR="00000000" w:rsidDel="00000000" w:rsidP="00000000" w:rsidRDefault="00000000" w:rsidRPr="00000000" w14:paraId="0000001A">
      <w:pPr>
        <w:ind w:firstLine="720"/>
        <w:jc w:val="both"/>
        <w:rPr>
          <w:color w:val="000000"/>
          <w:vertAlign w:val="baseline"/>
        </w:rPr>
      </w:pPr>
      <w:r w:rsidDel="00000000" w:rsidR="00000000" w:rsidRPr="00000000">
        <w:rPr>
          <w:color w:val="000000"/>
          <w:vertAlign w:val="baseline"/>
          <w:rtl w:val="0"/>
        </w:rPr>
        <w:t xml:space="preserve">От събраните по административната преписка материали се установи още, че между Община Т. и „В******* а***“ ООД е сключен Договор за обществена поръчка с рег. № РД-Д-521/26.11.2024 г. на Община Т. с предмет: „Снегопочистване на общинската пътна мрежа на територията на Община Т. – оперативни зимни сезони 2024-2025 и 2025-2026 година по 8 обособени позиции“. От страна на дружеството договорът е подписан от Николай Димитров, за което същият е упълномощен от Константин Манев с Пълномощно рег. № 8331/23.10.2024 г. на нотариус в район Районен съд Т., с рег. № 771 на Нотариалната камара. От представената в цялост документация по проведената от Община Т. обществена поръчка, не се установи същата да е била разглеждана на заседание на ОбС Т., с оглед на което не се установиха и упражнени правомощия по служба от Константин Манев в тази връзка. </w:t>
      </w:r>
    </w:p>
    <w:p w:rsidR="00000000" w:rsidDel="00000000" w:rsidP="00000000" w:rsidRDefault="00000000" w:rsidRPr="00000000" w14:paraId="0000001B">
      <w:pPr>
        <w:ind w:firstLine="720"/>
        <w:jc w:val="both"/>
        <w:rPr>
          <w:color w:val="000000"/>
          <w:vertAlign w:val="baseline"/>
        </w:rPr>
      </w:pPr>
      <w:r w:rsidDel="00000000" w:rsidR="00000000" w:rsidRPr="00000000">
        <w:rPr>
          <w:rtl w:val="0"/>
        </w:rPr>
      </w:r>
    </w:p>
    <w:p w:rsidR="00000000" w:rsidDel="00000000" w:rsidP="00000000" w:rsidRDefault="00000000" w:rsidRPr="00000000" w14:paraId="0000001C">
      <w:pPr>
        <w:tabs>
          <w:tab w:val="left" w:leader="none" w:pos="567"/>
        </w:tabs>
        <w:ind w:firstLine="720"/>
        <w:jc w:val="both"/>
        <w:rPr>
          <w:i w:val="0"/>
          <w:iCs w:val="0"/>
          <w:vertAlign w:val="baseline"/>
        </w:rPr>
      </w:pPr>
      <w:r w:rsidDel="00000000" w:rsidR="00000000" w:rsidRPr="00000000">
        <w:rPr>
          <w:i w:val="1"/>
          <w:iCs w:val="1"/>
          <w:vertAlign w:val="baseline"/>
          <w:rtl w:val="0"/>
        </w:rPr>
        <w:t xml:space="preserve">При така изяснената фактическа обстановка Комисията установи следното от правна страна:</w:t>
      </w:r>
      <w:r w:rsidDel="00000000" w:rsidR="00000000" w:rsidRPr="00000000">
        <w:rPr>
          <w:rtl w:val="0"/>
        </w:rPr>
      </w:r>
    </w:p>
    <w:p w:rsidR="00000000" w:rsidDel="00000000" w:rsidP="00000000" w:rsidRDefault="00000000" w:rsidRPr="00000000" w14:paraId="0000001D">
      <w:pPr>
        <w:tabs>
          <w:tab w:val="left" w:leader="none" w:pos="567"/>
        </w:tabs>
        <w:ind w:firstLine="720"/>
        <w:jc w:val="both"/>
        <w:rPr>
          <w:i w:val="0"/>
          <w:iCs w:val="0"/>
          <w:vertAlign w:val="baseline"/>
        </w:rPr>
      </w:pPr>
      <w:r w:rsidDel="00000000" w:rsidR="00000000" w:rsidRPr="00000000">
        <w:rPr>
          <w:rtl w:val="0"/>
        </w:rPr>
      </w:r>
    </w:p>
    <w:p w:rsidR="00000000" w:rsidDel="00000000" w:rsidP="00000000" w:rsidRDefault="00000000" w:rsidRPr="00000000" w14:paraId="0000001E">
      <w:pPr>
        <w:ind w:firstLine="720"/>
        <w:jc w:val="both"/>
        <w:rPr>
          <w:vertAlign w:val="baseline"/>
        </w:rPr>
      </w:pPr>
      <w:r w:rsidDel="00000000" w:rsidR="00000000" w:rsidRPr="00000000">
        <w:rPr>
          <w:vertAlign w:val="baseline"/>
          <w:rtl w:val="0"/>
        </w:rPr>
        <w:t xml:space="preserve">Съгласно разпоредбата на чл. 13, ал. 1, т. 8 от ЗПК (обн. ДВ. бр. 84 от 06.10.2023 г.), Комисията проверява сигнали във връзка с декларациите за несъвместимост на лицата, заемащи публични длъжности, като при установена несъвместимост – сезира органа по избора или назначаването им за предприемане на съответните действия.</w:t>
      </w:r>
    </w:p>
    <w:p w:rsidR="00000000" w:rsidDel="00000000" w:rsidP="00000000" w:rsidRDefault="00000000" w:rsidRPr="00000000" w14:paraId="0000001F">
      <w:pPr>
        <w:ind w:firstLine="720"/>
        <w:jc w:val="both"/>
        <w:rPr>
          <w:vertAlign w:val="baseline"/>
        </w:rPr>
      </w:pPr>
      <w:r w:rsidDel="00000000" w:rsidR="00000000" w:rsidRPr="00000000">
        <w:rPr>
          <w:vertAlign w:val="baseline"/>
          <w:rtl w:val="0"/>
        </w:rPr>
        <w:t xml:space="preserve">В качеството си на общински съветник в ОбС Т., Константин Манев е лице, заемащо  публична длъжност по чл. 6, ал. 1, т. 32 от ЗПК.</w:t>
      </w:r>
    </w:p>
    <w:p w:rsidR="00000000" w:rsidDel="00000000" w:rsidP="00000000" w:rsidRDefault="00000000" w:rsidRPr="00000000" w14:paraId="00000020">
      <w:pPr>
        <w:ind w:firstLine="720"/>
        <w:jc w:val="both"/>
        <w:rPr>
          <w:vertAlign w:val="baseline"/>
        </w:rPr>
      </w:pPr>
      <w:r w:rsidDel="00000000" w:rsidR="00000000" w:rsidRPr="00000000">
        <w:rPr>
          <w:vertAlign w:val="baseline"/>
          <w:rtl w:val="0"/>
        </w:rPr>
        <w:t xml:space="preserve">Съобразно разпоредбата на чл. 50, ал. 1 от ЗПК, при заемането на публична длъжност, за която с Конституцията или със закон са установени несъвместимости, лицето е задължено да подаде пред органа по избора или назначаването или пред съответната комисия за лице по чл. 90, ал. 2, т. 1 и т. 3 от ЗПК декларация за несъвместимост в едномесечен срок от заемане на длъжността.</w:t>
      </w:r>
    </w:p>
    <w:p w:rsidR="00000000" w:rsidDel="00000000" w:rsidP="00000000" w:rsidRDefault="00000000" w:rsidRPr="00000000" w14:paraId="00000021">
      <w:pPr>
        <w:ind w:firstLine="720"/>
        <w:jc w:val="both"/>
        <w:rPr>
          <w:vertAlign w:val="baseline"/>
        </w:rPr>
      </w:pPr>
      <w:r w:rsidDel="00000000" w:rsidR="00000000" w:rsidRPr="00000000">
        <w:rPr>
          <w:vertAlign w:val="baseline"/>
          <w:rtl w:val="0"/>
        </w:rPr>
        <w:t xml:space="preserve">Константин Манев е подал Декларация за несъвместимост по чл. 49, ал. 1, т. 1 от ЗПК с вх. № ДН-14/30.11.2023 г. на ОбС Т., в която декларира, че не заема друга длъжност и не извършва дейност, която съгласно Конституцията или специален закон е несъвместима с положението му на лице, заемащо публична длъжност.</w:t>
      </w:r>
    </w:p>
    <w:p w:rsidR="00000000" w:rsidDel="00000000" w:rsidP="00000000" w:rsidRDefault="00000000" w:rsidRPr="00000000" w14:paraId="00000022">
      <w:pPr>
        <w:ind w:firstLine="720"/>
        <w:jc w:val="both"/>
        <w:rPr>
          <w:vertAlign w:val="baseline"/>
        </w:rPr>
      </w:pPr>
      <w:r w:rsidDel="00000000" w:rsidR="00000000" w:rsidRPr="00000000">
        <w:rPr>
          <w:vertAlign w:val="baseline"/>
          <w:rtl w:val="0"/>
        </w:rPr>
        <w:t xml:space="preserve">Несъвместимостта по смисъла на § 1, т. 4 от ДР на ЗПК съставлява съвместяването на изпълнението на определена публична длъжност с изпълнението на друга длъжност или извършването на определена дейност, които съгласно Конституцията или закон са несъвместими с положението на лицето, като заемащо публична длъжност по чл. 6, ал. 1 от ЗПК. Целта на института на несъвместимостта е превантивна – да се предотврати възможността за възникване на колизия между евентуален частен интерес и държавния интерес, да се предотвратят още преди започване изпълнението на длъжността всякакви възможни влияния, които биха накърнили обществения интерес, доколкото несъвместимостта засяга именно безпристрастното изпълнение на публичната длъжност в обществен интерес. Закона за противодействие на корупцията не посочва самостоятелни основания за несъвместимост на изчерпателно изброените в чл. 6, ал. 1 от ЗПК длъжности. Поради разнородността на правомощията, произтичащи от различните длъжности, за всяка от последните са налице и различни предпоставки за възникване на несъвместимост.</w:t>
      </w:r>
    </w:p>
    <w:p w:rsidR="00000000" w:rsidDel="00000000" w:rsidP="00000000" w:rsidRDefault="00000000" w:rsidRPr="00000000" w14:paraId="00000023">
      <w:pPr>
        <w:ind w:firstLine="720"/>
        <w:jc w:val="both"/>
        <w:rPr>
          <w:vertAlign w:val="baseline"/>
        </w:rPr>
      </w:pPr>
      <w:r w:rsidDel="00000000" w:rsidR="00000000" w:rsidRPr="00000000">
        <w:rPr>
          <w:vertAlign w:val="baseline"/>
          <w:rtl w:val="0"/>
        </w:rPr>
        <w:t xml:space="preserve">Предвид основните характеристики на несъвместимостта като институт на правото, настоящата проверка изисква извършване на индивидуална и диференцирана преценка на предпоставките за несъвместимост, относими към конкретния случай. Нарушение може да се установи само и доколкото съответните относими факти съвпадат с хипотезата на съдържащите се в специалния закон норми. Затова при практическото прилагане е необходимо точно да се установи кои са приложимите разпоредби от Конституцията или от специалните закони, да се съпостави фактическата обстановка с въведените в тях забрани, за да се направи обоснован извод за наличието на факти и обстоятелства, водещи до несъвместимост. В тази връзка и предвид служебното положение на Константин Манев като общински съветник в ОбС Т. за мандат 2023-2027 г., приложение намират разпоредбите на ЗМСМА.</w:t>
      </w:r>
    </w:p>
    <w:p w:rsidR="00000000" w:rsidDel="00000000" w:rsidP="00000000" w:rsidRDefault="00000000" w:rsidRPr="00000000" w14:paraId="00000024">
      <w:pPr>
        <w:ind w:firstLine="720"/>
        <w:jc w:val="both"/>
        <w:rPr>
          <w:vertAlign w:val="baseline"/>
        </w:rPr>
      </w:pPr>
      <w:r w:rsidDel="00000000" w:rsidR="00000000" w:rsidRPr="00000000">
        <w:rPr>
          <w:vertAlign w:val="baseline"/>
          <w:rtl w:val="0"/>
        </w:rPr>
        <w:t xml:space="preserve">Съгласно чл. 34, ал. 5 от ЗМСМА, общинският съветник не може да бъде член на управителен, надзорен или контролен съвет, съвет на директорите, контрольор, управител, прокурист, търговски пълномощник, синдик или ликвидатор на търговски дружества с общинско участие или директор на общинско предприятие, да заема длъжност като общински съветник или подобна длъжност в друга държава – членка на Европейския съюз, както и да извършва дейности, водещи до нарушаване на забрана или ограничение по Глава осма, Раздел втори от ЗПК. Съгласно ал. 6 на същата разпоредба, в едномесечен срок от полагането на клетвата лице, което при избирането му за общински съветник заема някоя от изброените по-горе длъжности, подава молба за освобождаването му от заеманата длъжност и уведомява писмено за това председателя на общинския съвет и общинската избирателна комисия. </w:t>
      </w:r>
    </w:p>
    <w:p w:rsidR="00000000" w:rsidDel="00000000" w:rsidP="00000000" w:rsidRDefault="00000000" w:rsidRPr="00000000" w14:paraId="00000025">
      <w:pPr>
        <w:ind w:firstLine="720"/>
        <w:jc w:val="both"/>
        <w:rPr>
          <w:vertAlign w:val="baseline"/>
        </w:rPr>
      </w:pPr>
      <w:r w:rsidDel="00000000" w:rsidR="00000000" w:rsidRPr="00000000">
        <w:rPr>
          <w:vertAlign w:val="baseline"/>
          <w:rtl w:val="0"/>
        </w:rPr>
        <w:t xml:space="preserve">С оглед на изложеното, не може да се обоснове извод за наличие на несъвместимост по чл. 34, ал. 5 от ЗМСМА за Константин Манев в качеството му на общински съветник в ОбС Т., тъй като дружеството, в което той е съдружник и управител – „Виктори агро“ ООД, не е такова с общинско участие.</w:t>
      </w:r>
    </w:p>
    <w:p w:rsidR="00000000" w:rsidDel="00000000" w:rsidP="00000000" w:rsidRDefault="00000000" w:rsidRPr="00000000" w14:paraId="00000026">
      <w:pPr>
        <w:ind w:firstLine="720"/>
        <w:jc w:val="both"/>
        <w:rPr>
          <w:vertAlign w:val="baseline"/>
        </w:rPr>
      </w:pPr>
      <w:r w:rsidDel="00000000" w:rsidR="00000000" w:rsidRPr="00000000">
        <w:rPr>
          <w:vertAlign w:val="baseline"/>
          <w:rtl w:val="0"/>
        </w:rPr>
        <w:t xml:space="preserve">Във връзка с гореизложеното, на основание чл. 13, ал. 1, т. т. 8 от ЗПК във вр. с § 7, ал. 2 от ПЗР на ЗПК, Комисията за противодействие на корупцията</w:t>
      </w:r>
    </w:p>
    <w:p w:rsidR="00000000" w:rsidDel="00000000" w:rsidP="00000000" w:rsidRDefault="00000000" w:rsidRPr="00000000" w14:paraId="00000027">
      <w:pPr>
        <w:ind w:firstLine="720"/>
        <w:jc w:val="both"/>
        <w:rPr>
          <w:b w:val="0"/>
          <w:bCs w:val="0"/>
          <w:vertAlign w:val="baseline"/>
        </w:rPr>
      </w:pPr>
      <w:r w:rsidDel="00000000" w:rsidR="00000000" w:rsidRPr="00000000">
        <w:rPr>
          <w:rtl w:val="0"/>
        </w:rPr>
      </w:r>
    </w:p>
    <w:p w:rsidR="00000000" w:rsidDel="00000000" w:rsidP="00000000" w:rsidRDefault="00000000" w:rsidRPr="00000000" w14:paraId="00000028">
      <w:pPr>
        <w:ind w:left="3600" w:firstLine="720"/>
        <w:jc w:val="both"/>
        <w:rPr>
          <w:b w:val="0"/>
          <w:bCs w:val="0"/>
          <w:vertAlign w:val="baseline"/>
        </w:rPr>
      </w:pPr>
      <w:r w:rsidDel="00000000" w:rsidR="00000000" w:rsidRPr="00000000">
        <w:rPr>
          <w:b w:val="1"/>
          <w:bCs w:val="1"/>
          <w:vertAlign w:val="baseline"/>
          <w:rtl w:val="0"/>
        </w:rPr>
        <w:t xml:space="preserve">РЕШИ:</w:t>
      </w:r>
      <w:r w:rsidDel="00000000" w:rsidR="00000000" w:rsidRPr="00000000">
        <w:rPr>
          <w:rtl w:val="0"/>
        </w:rPr>
      </w:r>
    </w:p>
    <w:p w:rsidR="00000000" w:rsidDel="00000000" w:rsidP="00000000" w:rsidRDefault="00000000" w:rsidRPr="00000000" w14:paraId="00000029">
      <w:pPr>
        <w:ind w:left="3600" w:firstLine="720"/>
        <w:jc w:val="both"/>
        <w:rPr>
          <w:b w:val="0"/>
          <w:bCs w:val="0"/>
          <w:vertAlign w:val="baseline"/>
        </w:rPr>
      </w:pPr>
      <w:r w:rsidDel="00000000" w:rsidR="00000000" w:rsidRPr="00000000">
        <w:rPr>
          <w:rtl w:val="0"/>
        </w:rPr>
      </w:r>
    </w:p>
    <w:p w:rsidR="00000000" w:rsidDel="00000000" w:rsidP="00000000" w:rsidRDefault="00000000" w:rsidRPr="00000000" w14:paraId="0000002A">
      <w:pPr>
        <w:pStyle w:val="Heading2"/>
        <w:shd w:fill="ffffff" w:val="clear"/>
        <w:spacing w:after="0" w:before="0" w:lineRule="auto"/>
        <w:jc w:val="both"/>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b w:val="1"/>
          <w:bCs w:val="1"/>
          <w:i w:val="0"/>
          <w:iCs w:val="0"/>
          <w:sz w:val="24"/>
          <w:szCs w:val="24"/>
          <w:vertAlign w:val="baseline"/>
          <w:rtl w:val="0"/>
        </w:rPr>
        <w:t xml:space="preserve">            НЕ УСТАНОВЯВА НЕСЪВМЕСТИМОСТ </w:t>
      </w:r>
      <w:r w:rsidDel="00000000" w:rsidR="00000000" w:rsidRPr="00000000">
        <w:rPr>
          <w:rFonts w:ascii="Times New Roman" w:cs="Times New Roman" w:eastAsia="Times New Roman" w:hAnsi="Times New Roman"/>
          <w:b w:val="0"/>
          <w:bCs w:val="0"/>
          <w:i w:val="0"/>
          <w:iCs w:val="0"/>
          <w:sz w:val="24"/>
          <w:szCs w:val="24"/>
          <w:vertAlign w:val="baseline"/>
          <w:rtl w:val="0"/>
        </w:rPr>
        <w:t xml:space="preserve">по отношение на Константин С. Манев</w:t>
      </w:r>
      <w:r w:rsidDel="00000000" w:rsidR="00000000" w:rsidRPr="00000000">
        <w:rPr>
          <w:rFonts w:ascii="Times New Roman" w:cs="Times New Roman" w:eastAsia="Times New Roman" w:hAnsi="Times New Roman"/>
          <w:b w:val="1"/>
          <w:bCs w:val="1"/>
          <w:i w:val="1"/>
          <w:iCs w:val="1"/>
          <w:sz w:val="24"/>
          <w:szCs w:val="24"/>
          <w:vertAlign w:val="baseline"/>
          <w:rtl w:val="0"/>
        </w:rPr>
        <w:t xml:space="preserve"> </w:t>
      </w:r>
      <w:r w:rsidDel="00000000" w:rsidR="00000000" w:rsidRPr="00000000">
        <w:rPr>
          <w:rFonts w:ascii="Times New Roman" w:cs="Times New Roman" w:eastAsia="Times New Roman" w:hAnsi="Times New Roman"/>
          <w:b w:val="0"/>
          <w:bCs w:val="0"/>
          <w:i w:val="0"/>
          <w:iCs w:val="0"/>
          <w:sz w:val="24"/>
          <w:szCs w:val="24"/>
          <w:vertAlign w:val="baseline"/>
          <w:rtl w:val="0"/>
        </w:rPr>
        <w:t xml:space="preserve">с ЕГН: **********, общински съветник в ОбС Т. за мандат 2023-2027 г. и лице, заемащо публична длъжност по смисъла на чл. 6, ал. 1, т. 32 от ЗПК, във връзка с това, че е съдружник и управител на „В******* а***“ ООД.</w:t>
      </w:r>
      <w:r w:rsidDel="00000000" w:rsidR="00000000" w:rsidRPr="00000000">
        <w:rPr>
          <w:rtl w:val="0"/>
        </w:rPr>
      </w:r>
    </w:p>
    <w:p w:rsidR="00000000" w:rsidDel="00000000" w:rsidP="00000000" w:rsidRDefault="00000000" w:rsidRPr="00000000" w14:paraId="0000002B">
      <w:pPr>
        <w:tabs>
          <w:tab w:val="left" w:leader="none" w:pos="6300"/>
        </w:tabs>
        <w:jc w:val="both"/>
        <w:rPr>
          <w:b w:val="0"/>
          <w:bCs w:val="0"/>
          <w:vertAlign w:val="baseline"/>
        </w:rPr>
      </w:pPr>
      <w:r w:rsidDel="00000000" w:rsidR="00000000" w:rsidRPr="00000000">
        <w:rPr>
          <w:rtl w:val="0"/>
        </w:rPr>
      </w:r>
    </w:p>
    <w:p w:rsidR="00000000" w:rsidDel="00000000" w:rsidP="00000000" w:rsidRDefault="00000000" w:rsidRPr="00000000" w14:paraId="0000002C">
      <w:pPr>
        <w:tabs>
          <w:tab w:val="left" w:leader="none" w:pos="6300"/>
        </w:tabs>
        <w:jc w:val="both"/>
        <w:rPr>
          <w:b w:val="0"/>
          <w:bCs w:val="0"/>
          <w:vertAlign w:val="baseline"/>
        </w:rPr>
      </w:pPr>
      <w:r w:rsidDel="00000000" w:rsidR="00000000" w:rsidRPr="00000000">
        <w:rPr>
          <w:rtl w:val="0"/>
        </w:rPr>
      </w:r>
    </w:p>
    <w:p w:rsidR="00000000" w:rsidDel="00000000" w:rsidP="00000000" w:rsidRDefault="00000000" w:rsidRPr="00000000" w14:paraId="0000002D">
      <w:pPr>
        <w:tabs>
          <w:tab w:val="left" w:leader="none" w:pos="6300"/>
        </w:tabs>
        <w:ind w:firstLine="720"/>
        <w:jc w:val="both"/>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2E">
      <w:pPr>
        <w:ind w:left="1440" w:firstLine="0"/>
        <w:jc w:val="both"/>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2F">
      <w:pPr>
        <w:ind w:firstLine="720"/>
        <w:jc w:val="both"/>
        <w:rPr>
          <w:b w:val="0"/>
          <w:bCs w:val="0"/>
          <w:vertAlign w:val="baseline"/>
        </w:rPr>
      </w:pPr>
      <w:r w:rsidDel="00000000" w:rsidR="00000000" w:rsidRPr="00000000">
        <w:rPr>
          <w:b w:val="1"/>
          <w:bCs w:val="1"/>
          <w:vertAlign w:val="baseline"/>
          <w:rtl w:val="0"/>
        </w:rPr>
        <w:t xml:space="preserve">                     ЗА ПРЕДСЕДАТЕЛ:………….….………….……../АНТОН СЛАВЧЕВ/</w:t>
      </w:r>
      <w:r w:rsidDel="00000000" w:rsidR="00000000" w:rsidRPr="00000000">
        <w:rPr>
          <w:rtl w:val="0"/>
        </w:rPr>
      </w:r>
    </w:p>
    <w:p w:rsidR="00000000" w:rsidDel="00000000" w:rsidP="00000000" w:rsidRDefault="00000000" w:rsidRPr="00000000" w14:paraId="00000030">
      <w:pPr>
        <w:ind w:firstLine="720"/>
        <w:jc w:val="both"/>
        <w:rPr>
          <w:b w:val="0"/>
          <w:bCs w:val="0"/>
          <w:vertAlign w:val="baseline"/>
        </w:rPr>
      </w:pPr>
      <w:r w:rsidDel="00000000" w:rsidR="00000000" w:rsidRPr="00000000">
        <w:rPr>
          <w:rtl w:val="0"/>
        </w:rPr>
      </w:r>
    </w:p>
    <w:p w:rsidR="00000000" w:rsidDel="00000000" w:rsidP="00000000" w:rsidRDefault="00000000" w:rsidRPr="00000000" w14:paraId="00000031">
      <w:pPr>
        <w:ind w:firstLine="720"/>
        <w:jc w:val="both"/>
        <w:rPr>
          <w:b w:val="0"/>
          <w:bCs w:val="0"/>
          <w:vertAlign w:val="baseline"/>
        </w:rPr>
      </w:pPr>
      <w:r w:rsidDel="00000000" w:rsidR="00000000" w:rsidRPr="00000000">
        <w:rPr>
          <w:b w:val="1"/>
          <w:bCs w:val="1"/>
          <w:vertAlign w:val="baseline"/>
          <w:rtl w:val="0"/>
        </w:rPr>
        <w:t xml:space="preserve">                     ЧЛЕН:………………………………………../АНТОАНЕТА ЦОНКОВА/</w:t>
      </w:r>
      <w:r w:rsidDel="00000000" w:rsidR="00000000" w:rsidRPr="00000000">
        <w:rPr>
          <w:rtl w:val="0"/>
        </w:rPr>
      </w:r>
    </w:p>
    <w:p w:rsidR="00000000" w:rsidDel="00000000" w:rsidP="00000000" w:rsidRDefault="00000000" w:rsidRPr="00000000" w14:paraId="00000032">
      <w:pPr>
        <w:ind w:firstLine="720"/>
        <w:jc w:val="both"/>
        <w:rPr>
          <w:b w:val="0"/>
          <w:bCs w:val="0"/>
          <w:vertAlign w:val="baseline"/>
        </w:rPr>
      </w:pPr>
      <w:r w:rsidDel="00000000" w:rsidR="00000000" w:rsidRPr="00000000">
        <w:rPr>
          <w:rtl w:val="0"/>
        </w:rPr>
      </w:r>
    </w:p>
    <w:p w:rsidR="00000000" w:rsidDel="00000000" w:rsidP="00000000" w:rsidRDefault="00000000" w:rsidRPr="00000000" w14:paraId="00000033">
      <w:pPr>
        <w:ind w:left="708" w:firstLine="720.0000000000001"/>
        <w:jc w:val="both"/>
        <w:rPr>
          <w:b w:val="0"/>
          <w:bCs w:val="0"/>
          <w:vertAlign w:val="baseline"/>
        </w:rPr>
      </w:pPr>
      <w:r w:rsidDel="00000000" w:rsidR="00000000" w:rsidRPr="00000000">
        <w:rPr>
          <w:b w:val="1"/>
          <w:bCs w:val="1"/>
          <w:vertAlign w:val="baseline"/>
          <w:rtl w:val="0"/>
        </w:rPr>
        <w:t xml:space="preserve">          ЧЛЕН:…………………..……………..……….……./ПЛАМЕН ЙОЦОВ/</w:t>
      </w:r>
      <w:r w:rsidDel="00000000" w:rsidR="00000000" w:rsidRPr="00000000">
        <w:rPr>
          <w:rtl w:val="0"/>
        </w:rPr>
      </w:r>
    </w:p>
    <w:p w:rsidR="00000000" w:rsidDel="00000000" w:rsidP="00000000" w:rsidRDefault="00000000" w:rsidRPr="00000000" w14:paraId="00000034">
      <w:pPr>
        <w:ind w:left="708" w:firstLine="720.0000000000001"/>
        <w:jc w:val="both"/>
        <w:rPr>
          <w:b w:val="0"/>
          <w:bCs w:val="0"/>
          <w:vertAlign w:val="baseline"/>
        </w:rPr>
      </w:pPr>
      <w:r w:rsidDel="00000000" w:rsidR="00000000" w:rsidRPr="00000000">
        <w:rPr>
          <w:rtl w:val="0"/>
        </w:rPr>
      </w:r>
    </w:p>
    <w:p w:rsidR="00000000" w:rsidDel="00000000" w:rsidP="00000000" w:rsidRDefault="00000000" w:rsidRPr="00000000" w14:paraId="00000035">
      <w:pPr>
        <w:rPr>
          <w:u w:val="single"/>
          <w:vertAlign w:val="baseline"/>
        </w:rPr>
      </w:pPr>
      <w:r w:rsidDel="00000000" w:rsidR="00000000" w:rsidRPr="00000000">
        <w:rPr>
          <w:rtl w:val="0"/>
        </w:rPr>
      </w:r>
    </w:p>
    <w:p w:rsidR="00000000" w:rsidDel="00000000" w:rsidP="00000000" w:rsidRDefault="00000000" w:rsidRPr="00000000" w14:paraId="00000036">
      <w:pPr>
        <w:rPr>
          <w:u w:val="single"/>
          <w:vertAlign w:val="baseline"/>
        </w:rPr>
      </w:pPr>
      <w:r w:rsidDel="00000000" w:rsidR="00000000" w:rsidRPr="00000000">
        <w:rPr>
          <w:rtl w:val="0"/>
        </w:rPr>
      </w:r>
    </w:p>
    <w:p w:rsidR="00000000" w:rsidDel="00000000" w:rsidP="00000000" w:rsidRDefault="00000000" w:rsidRPr="00000000" w14:paraId="00000037">
      <w:pPr>
        <w:rPr>
          <w:u w:val="single"/>
          <w:vertAlign w:val="baseline"/>
        </w:rPr>
      </w:pPr>
      <w:r w:rsidDel="00000000" w:rsidR="00000000" w:rsidRPr="00000000">
        <w:rPr>
          <w:rtl w:val="0"/>
        </w:rPr>
      </w:r>
    </w:p>
    <w:p w:rsidR="00000000" w:rsidDel="00000000" w:rsidP="00000000" w:rsidRDefault="00000000" w:rsidRPr="00000000" w14:paraId="00000038">
      <w:pPr>
        <w:rPr>
          <w:u w:val="single"/>
          <w:vertAlign w:val="baseline"/>
        </w:rPr>
      </w:pPr>
      <w:r w:rsidDel="00000000" w:rsidR="00000000" w:rsidRPr="00000000">
        <w:rPr>
          <w:rtl w:val="0"/>
        </w:rPr>
      </w:r>
    </w:p>
    <w:p w:rsidR="00000000" w:rsidDel="00000000" w:rsidP="00000000" w:rsidRDefault="00000000" w:rsidRPr="00000000" w14:paraId="00000039">
      <w:pPr>
        <w:rPr>
          <w:u w:val="single"/>
          <w:vertAlign w:val="baseline"/>
        </w:rPr>
      </w:pPr>
      <w:r w:rsidDel="00000000" w:rsidR="00000000" w:rsidRPr="00000000">
        <w:rPr>
          <w:rtl w:val="0"/>
        </w:rPr>
      </w:r>
    </w:p>
    <w:p w:rsidR="00000000" w:rsidDel="00000000" w:rsidP="00000000" w:rsidRDefault="00000000" w:rsidRPr="00000000" w14:paraId="0000003A">
      <w:pPr>
        <w:tabs>
          <w:tab w:val="left" w:leader="none" w:pos="5400"/>
        </w:tabs>
        <w:ind w:firstLine="720"/>
        <w:jc w:val="both"/>
        <w:rPr>
          <w:b w:val="0"/>
          <w:bCs w:val="0"/>
          <w:vertAlign w:val="baseline"/>
        </w:rPr>
      </w:pPr>
      <w:r w:rsidDel="00000000" w:rsidR="00000000" w:rsidRPr="00000000">
        <w:rPr>
          <w:rtl w:val="0"/>
        </w:rPr>
      </w:r>
    </w:p>
    <w:sectPr>
      <w:headerReference r:id="rId6" w:type="first"/>
      <w:footerReference r:id="rId7" w:type="default"/>
      <w:footerReference r:id="rId8" w:type="first"/>
      <w:pgSz w:h="15840" w:w="12240" w:orient="portrait"/>
      <w:pgMar w:bottom="1134" w:top="1134" w:left="1418" w:right="1134" w:header="454" w:footer="17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bl>
    <w:tblPr>
      <w:tblStyle w:val="Table1"/>
      <w:tblW w:w="10599.0" w:type="dxa"/>
      <w:jc w:val="left"/>
      <w:tblInd w:w="-1526.0000000000002" w:type="dxa"/>
      <w:tblLayout w:type="fixed"/>
      <w:tblLook w:val="0000"/>
    </w:tblPr>
    <w:tblGrid>
      <w:gridCol w:w="10599"/>
      <w:tblGridChange w:id="0">
        <w:tblGrid>
          <w:gridCol w:w="10599"/>
        </w:tblGrid>
      </w:tblGridChange>
    </w:tblGrid>
    <w:tr>
      <w:trPr>
        <w:cantSplit w:val="0"/>
        <w:tblHeader w:val="0"/>
      </w:trPr>
      <w:tc>
        <w:tcPr>
          <w:vAlign w:val="center"/>
        </w:tcPr>
        <w:p w:rsidR="00000000" w:rsidDel="00000000" w:rsidP="00000000" w:rsidRDefault="00000000" w:rsidRPr="00000000" w14:paraId="0000003C">
          <w:pPr>
            <w:tabs>
              <w:tab w:val="center" w:leader="none" w:pos="4153"/>
              <w:tab w:val="right" w:leader="none" w:pos="8306"/>
            </w:tabs>
            <w:spacing w:after="20" w:before="20" w:lineRule="auto"/>
            <w:rPr>
              <w:b w:val="0"/>
              <w:bCs w:val="0"/>
              <w:vertAlign w:val="baseline"/>
            </w:rPr>
          </w:pPr>
          <w:r w:rsidDel="00000000" w:rsidR="00000000" w:rsidRPr="00000000">
            <w:rPr>
              <w:rtl w:val="0"/>
            </w:rPr>
          </w:r>
        </w:p>
        <w:p w:rsidR="00000000" w:rsidDel="00000000" w:rsidP="00000000" w:rsidRDefault="00000000" w:rsidRPr="00000000" w14:paraId="0000003D">
          <w:pPr>
            <w:tabs>
              <w:tab w:val="center" w:leader="none" w:pos="4153"/>
              <w:tab w:val="right" w:leader="none" w:pos="8306"/>
            </w:tabs>
            <w:spacing w:after="20" w:before="20" w:lineRule="auto"/>
            <w:ind w:left="1560" w:firstLine="0"/>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3E">
          <w:pPr>
            <w:pBdr>
              <w:bottom w:color="000000" w:space="1" w:sz="6" w:val="single"/>
            </w:pBdr>
            <w:tabs>
              <w:tab w:val="center" w:leader="none" w:pos="4153"/>
              <w:tab w:val="right" w:leader="none" w:pos="8306"/>
            </w:tabs>
            <w:spacing w:after="20" w:before="20" w:lineRule="auto"/>
            <w:ind w:left="1560" w:firstLine="0"/>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  К О Р У П Ц И Я Т А</w:t>
          </w:r>
          <w:r w:rsidDel="00000000" w:rsidR="00000000" w:rsidRPr="00000000">
            <w:rPr>
              <w:rtl w:val="0"/>
            </w:rPr>
          </w:r>
        </w:p>
        <w:p w:rsidR="00000000" w:rsidDel="00000000" w:rsidP="00000000" w:rsidRDefault="00000000" w:rsidRPr="00000000" w14:paraId="0000003F">
          <w:pPr>
            <w:tabs>
              <w:tab w:val="center" w:leader="none" w:pos="4153"/>
              <w:tab w:val="right" w:leader="none" w:pos="8306"/>
            </w:tabs>
            <w:ind w:left="1560" w:firstLine="0"/>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пл. "Света Неделя" №6,  тел: (+359 2)   9401 444, факс: (+359 2) 9401 595 </w:t>
          </w:r>
          <w:r w:rsidDel="00000000" w:rsidR="00000000" w:rsidRPr="00000000">
            <w:rPr>
              <w:rtl w:val="0"/>
            </w:rPr>
          </w:r>
        </w:p>
      </w:tc>
    </w:tr>
  </w:tbl>
  <w:p w:rsidR="00000000" w:rsidDel="00000000" w:rsidP="00000000" w:rsidRDefault="00000000" w:rsidRPr="00000000" w14:paraId="00000040">
    <w:pPr>
      <w:tabs>
        <w:tab w:val="center" w:leader="none" w:pos="4153"/>
        <w:tab w:val="right" w:leader="none" w:pos="8306"/>
      </w:tabs>
      <w:ind w:left="1560" w:firstLine="0"/>
      <w:rPr>
        <w:sz w:val="26"/>
        <w:szCs w:val="26"/>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