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75" w:line="240" w:lineRule="auto"/>
        <w:jc w:val="center"/>
        <w:rPr>
          <w:rFonts w:ascii="Arial" w:cs="Arial" w:eastAsia="Arial" w:hAnsi="Arial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36"/>
          <w:szCs w:val="36"/>
          <w:highlight w:val="whit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75" w:line="240" w:lineRule="auto"/>
        <w:jc w:val="center"/>
        <w:rPr>
          <w:rFonts w:ascii="Arial" w:cs="Arial" w:eastAsia="Arial" w:hAnsi="Arial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8"/>
          <w:szCs w:val="28"/>
          <w:highlight w:val="white"/>
          <w:rtl w:val="0"/>
        </w:rPr>
        <w:t xml:space="preserve">№ 1237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75" w:line="240" w:lineRule="auto"/>
        <w:jc w:val="center"/>
        <w:rPr>
          <w:rFonts w:ascii="Arial" w:cs="Arial" w:eastAsia="Arial" w:hAnsi="Arial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8"/>
          <w:szCs w:val="28"/>
          <w:highlight w:val="white"/>
          <w:rtl w:val="0"/>
        </w:rPr>
        <w:t xml:space="preserve">София, 12.02.2025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75" w:line="240" w:lineRule="auto"/>
        <w:jc w:val="center"/>
        <w:rPr>
          <w:rFonts w:ascii="Arial" w:cs="Arial" w:eastAsia="Arial" w:hAnsi="Arial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8"/>
          <w:szCs w:val="28"/>
          <w:highlight w:val="white"/>
          <w:rtl w:val="0"/>
        </w:rPr>
        <w:t xml:space="preserve">В ИМЕТО НА НАРОДА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75" w:line="240" w:lineRule="auto"/>
        <w:rPr>
          <w:rFonts w:ascii="Arial" w:cs="Arial" w:eastAsia="Arial" w:hAnsi="Arial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  <w:highlight w:val="white"/>
          <w:rtl w:val="0"/>
        </w:rPr>
        <w:t xml:space="preserve">Върховният административен съд на Република България - Шесто отделение,</w:t>
      </w: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highlight w:val="white"/>
          <w:rtl w:val="0"/>
        </w:rPr>
        <w:t xml:space="preserve"> в съдебно заседание на двадесет и осми януари две хиляди двадесет и пета година в състав: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15.0" w:type="dxa"/>
        <w:tblLayout w:type="fixed"/>
        <w:tblLook w:val="0400"/>
      </w:tblPr>
      <w:tblGrid>
        <w:gridCol w:w="2170"/>
        <w:gridCol w:w="3757"/>
        <w:gridCol w:w="3523"/>
        <w:tblGridChange w:id="0">
          <w:tblGrid>
            <w:gridCol w:w="2170"/>
            <w:gridCol w:w="3757"/>
            <w:gridCol w:w="352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mallCaps w:val="1"/>
                <w:color w:val="000000"/>
                <w:sz w:val="24"/>
                <w:szCs w:val="24"/>
                <w:rtl w:val="0"/>
              </w:rPr>
              <w:t xml:space="preserve">ПРЕДСЕДАТЕЛ: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mallCaps w:val="1"/>
                <w:color w:val="000000"/>
                <w:sz w:val="24"/>
                <w:szCs w:val="24"/>
                <w:rtl w:val="0"/>
              </w:rPr>
              <w:t xml:space="preserve">ГЕОРГИ ГЕОРГИЕВ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mallCaps w:val="1"/>
                <w:color w:val="000000"/>
                <w:sz w:val="24"/>
                <w:szCs w:val="24"/>
                <w:rtl w:val="0"/>
              </w:rPr>
              <w:t xml:space="preserve">ЧЛЕНОВЕ: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ДЕСИСЛАВА СТОЕВА</w:t>
              <w:br w:type="textWrapping"/>
              <w:t xml:space="preserve">ЯВОР КОЛЕВ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при секретар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Светослава Огнянова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и с участието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на прокурора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Кирил Христов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изслуша докладваното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от съдията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Десислава Стоева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 административно дело № 5306/2024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Производството е по реда на чл. 208 и следващите от Административнопроцесуалния кодекс (АПК).</w:t>
      </w:r>
    </w:p>
    <w:p w:rsidR="00000000" w:rsidDel="00000000" w:rsidP="00000000" w:rsidRDefault="00000000" w:rsidRPr="00000000" w14:paraId="00000022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Образувано е по касационна жалба на Комисията за противодействие на корупцията (до 06.10.2023 г. с наименование "Комисия за противодействие на корупцията и за отнемане на незаконно придобито имущество"), чрез старши юрисконсулт К. Станчева срещу Решение № 1191 от 26.03.2024 г., постановено по адм. дело № 956 по описа за 2023 г. на Административен съд- Пазарджик.</w:t>
      </w:r>
    </w:p>
    <w:p w:rsidR="00000000" w:rsidDel="00000000" w:rsidP="00000000" w:rsidRDefault="00000000" w:rsidRPr="00000000" w14:paraId="00000023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Касаторът оспорва съдебното решение като твърди, че то е неправилно, постановено в нарушение на материалния закон и необосновано – касационни основания по чл. 209, т. 3 от АПК. Молбата е да се отмени решението, като вместо него бъде постановено ново, по съществото на спора, с което да бъде отменен административния акт. Претендира разноски.</w:t>
      </w:r>
    </w:p>
    <w:p w:rsidR="00000000" w:rsidDel="00000000" w:rsidP="00000000" w:rsidRDefault="00000000" w:rsidRPr="00000000" w14:paraId="00000024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Ответникът Д. В. Г., чрез адвокат В. Карабойчев, в писмен отговор оспорва жалбата като неоснователна. Претендира разноски.</w:t>
      </w:r>
    </w:p>
    <w:p w:rsidR="00000000" w:rsidDel="00000000" w:rsidP="00000000" w:rsidRDefault="00000000" w:rsidRPr="00000000" w14:paraId="00000025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Прокурорът от Върховната прокуратура изразява мотивирано становище за неоснователност на касационната жалба.</w:t>
      </w:r>
    </w:p>
    <w:p w:rsidR="00000000" w:rsidDel="00000000" w:rsidP="00000000" w:rsidRDefault="00000000" w:rsidRPr="00000000" w14:paraId="00000026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Върховният административен съд, шесто отделение, счита, че касационната жалба, е подадена в срок от надлежна страна, поради което е процесуално допустима, а разгледана по същество жалбата е основателна поради следните съображения:</w:t>
      </w:r>
    </w:p>
    <w:p w:rsidR="00000000" w:rsidDel="00000000" w:rsidP="00000000" w:rsidRDefault="00000000" w:rsidRPr="00000000" w14:paraId="00000027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С обжалваното решение е отменено Решение № РС-173-23-074 от 05.09.2023 г. на Комисията за противодействие на корупцията и за отнемане на незаконно придобитото имущество (КПКОНПИ), с което е установен конфликт на интереси по отношение на Д. В. Г., в качеството му на управител на „Многопрофилна болница за активно лечение (МБАЛ) – Велинград“ ЕООД, като лице, заемащо висша публична длъжност по смисъла на чл. 6, ал. 1, т. 46 от Закона за противодействие на корупцията и за отнемане на незаконно придобито имущество (отм.) (ЗПКОНПИ, (отм.)) за това, че е издал седем броя заповеди с поименни списъци с индивидуализирани допълнителни възнаграждения, в свой частен интерес, в нарушение на разпоредбата на чл. 58, изречение първо, предложение четвърто от ЗПКОНПИ (отм.) и на основание чл. 171, ал. 1 от ЗПКОНПИ (отм.) му е наложена глоба в размер на 5 000 лева, а на основание чл. 81, ал. 1 ЗПКОНПИ (отм.), в полза на държавата е отнета сумата 1 505,60 лева, представляваща полученото от Д. В. Г. нетно дневно възнаграждение за 18.07.2022 г., 17.08.2022 г., 19.09.2022 г., 17.10.2022 г., 17.11.2022 г., 16.12.2022 г. и за 18.01.2023 г., на които дати са осъществени деянията, породили конфликт на интереси.</w:t>
      </w:r>
    </w:p>
    <w:p w:rsidR="00000000" w:rsidDel="00000000" w:rsidP="00000000" w:rsidRDefault="00000000" w:rsidRPr="00000000" w14:paraId="00000028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От фактическа страна съдът е приел за установено, че административното производство пред КПКОНПИ е започнало с Решение за образуване на производство за конфликт на интереси № КИ-86 от 03.05.2023 по сигнал с вх. № ЦУ01/С-173 от 20.03.2023 г. срещу Д. В. Г., в качеството му на управител на МБАЛ – Велинград ЕООД и лице, заемащо висша публична длъжност по смисъла на чл. 6, ал. 1, т. 46 ЗПКОНПИ (отм.) и едновременно с това лекар-анестезиолог в отделението по анестезиология и интензивно лечение в същата болница, което по силата на сключения трудов договор си разпределя и плаща сам на себе си суми под формата на допълнително материално стимулиране.</w:t>
      </w:r>
    </w:p>
    <w:p w:rsidR="00000000" w:rsidDel="00000000" w:rsidP="00000000" w:rsidRDefault="00000000" w:rsidRPr="00000000" w14:paraId="00000029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В резултат на проведеното административно производство и събраните доказателства, КПКОНПИ е установила, че е налице конфликт на интереси по смисъла на чл. 58, изречение първо, предложение четвърто от ЗПКОНПИ (отм.), тъй Д. В. Г., в качеството си на управител на „МБАЛ – Велинград“ ЕООД, е издал Заповеди №№ 128 от 18.07.2022 г.; №169 от 17.08.2022 г.; №180-2 от 19.09.2022 г.; №204 от 17.10.2022 г.; №230 от 17.11.2022 г.; №257 от 16.12.2022 г. и № 8 от 18.01.2023 г., с което е упражнил свои правомощия, съгласно чл. 26 от Вътрешните правила за организация на работната заплата в „МБАЛ – Велинград“ ЕООД. Тези заповеди предвиждат изплащането на суми за допълнително материално стимулиране (ДМС) на лекарите и медицинския персонал на болницата, в това число и на него самия, при което той е действал при наличието на свой частен интерес, който може да повлияе върху обективното и безпристрастно изпълнение на правомощията или задълженията му по служба. От страна на КПКОНПИ е прието, че е налице нарушение на забраната по чл. 58, изречение първо, предложение 4 от ЗПКОНПИ (отм.) от страна на Д. В. Г., в качеството му на управител на „МБАЛ – Велинград“ ЕООД и лице, заемащо висша публична длъжност по чл. 6, ал. 1, т. 46 от ЗПКОНПИ (отм.), изразяващи се в издаване на Заповеди №№ 128 от 18.07.2022 г.; №169 от 17.08.2022 г.; №180-2 от 19.09.2022 г.; №204 от 17.10.2022 г.; №230 от 17.11.2022 г.; №257 от 16.12.2022 г. и № 8 от 18.01.2023 г. в негов частен интерес.</w:t>
      </w:r>
    </w:p>
    <w:p w:rsidR="00000000" w:rsidDel="00000000" w:rsidP="00000000" w:rsidRDefault="00000000" w:rsidRPr="00000000" w14:paraId="0000002A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Вследствие на това КПКОНПИ е издала оспореното решение, предмет на съдебен контрол. Първоинстанционният съд е приел, че административният акт е издаден от компетентен орган, в предвидената от закона форма, при наличие на фактически и правни основания за издаването му, при спазване на административнопроизводствени правила, но в нарушение на материалния закон, поради което е отменил административния акт и е възложил в тежест на касатора разноските по делото.</w:t>
      </w:r>
    </w:p>
    <w:p w:rsidR="00000000" w:rsidDel="00000000" w:rsidP="00000000" w:rsidRDefault="00000000" w:rsidRPr="00000000" w14:paraId="0000002B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Постановено решение е валидно и допустимо, но неправилно.</w:t>
      </w:r>
    </w:p>
    <w:p w:rsidR="00000000" w:rsidDel="00000000" w:rsidP="00000000" w:rsidRDefault="00000000" w:rsidRPr="00000000" w14:paraId="0000002C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Необосновано административният съд е възприел доводите, наведени в първоинстанционната жалба, като е развил доводи, че забраната на чл. 58 от ЗПКОНПИ (отм.) не е абсолютна и в случая не е налице частен интерес и липсва облага, тъй като този резултат би се получил и без участието на лицето.</w:t>
      </w:r>
    </w:p>
    <w:p w:rsidR="00000000" w:rsidDel="00000000" w:rsidP="00000000" w:rsidRDefault="00000000" w:rsidRPr="00000000" w14:paraId="0000002D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Съдът се е мотивирал с липсата на субективен елемент при определяне на конкретното допълнително възнаграждение за конкретен служител, като управителят Д. В. Г. не е повлиял върху определянето на размера на получаваното възнаграждение както за себе си, така и за останалите служители в болницата. Мотивирал се е с обстоятелството, че в трудовия договор на Д. В. Г. е уговорено, че ще му се изплаща и разликата в нетното трудово възнаграждение до 5 000 лева месечно, което се допълва с ДМС и неизплащането му от работодателя би довело до неизпълнение на клаузите по трудовия договор.</w:t>
      </w:r>
    </w:p>
    <w:p w:rsidR="00000000" w:rsidDel="00000000" w:rsidP="00000000" w:rsidRDefault="00000000" w:rsidRPr="00000000" w14:paraId="0000002E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Не могат да бъдат възприети доводите на ответника, наведени в отговора на касационната жалба, изложени и пред първоинстанционния съд, че конфликтът на интереси в случая произтича от двойнствената позиция на Д. В. Г.: от една страна работи по трудов договор с болницата, а от друга страна е неин управител по силата на решение на Общински съвет – Велинград и договора за възлагане на управление на еднолично търговско дружество с общинско имущество с ограничена отговорност- МБАЛ-Велинград. Дали между двете позиции е налице несъвместимост не е предмет на настоящото производство и това обстоятелство не може да служи като оправдание за нарушаване на закона.</w:t>
      </w:r>
    </w:p>
    <w:p w:rsidR="00000000" w:rsidDel="00000000" w:rsidP="00000000" w:rsidRDefault="00000000" w:rsidRPr="00000000" w14:paraId="0000002F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Съгласно разпоредбата на чл. 52 от ЗПКОНПИ (отм.), конфликт на интереси възниква, когато лице, заемащо висша публична длъжност, има частен интерес, който може да повлияе върху безпристрастното и обективно изпълнение на правомощията или задълженията му по служба.</w:t>
      </w:r>
    </w:p>
    <w:p w:rsidR="00000000" w:rsidDel="00000000" w:rsidP="00000000" w:rsidRDefault="00000000" w:rsidRPr="00000000" w14:paraId="00000030">
      <w:pPr>
        <w:spacing w:after="0" w:before="75" w:line="240" w:lineRule="auto"/>
        <w:ind w:firstLine="709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Фактическият състав на конфликта на интереси по смисъла на цитираната разпоредба изисква кумулативното наличие на три материалноправни предпоставки, а именно: лице, което заема длъжност в органите на изпълнителната власт, частен интерес на това лице по смисъла на чл. 53, във връзка с чл. 54 от ЗПКОНПИ (отм.) и възможност този частен интерес да повлияе на безпристрастното и обективно изпълнение на правомощията на лицето, заемащо тази длъжност, или на задължението му по служба.</w:t>
      </w:r>
    </w:p>
    <w:p w:rsidR="00000000" w:rsidDel="00000000" w:rsidP="00000000" w:rsidRDefault="00000000" w:rsidRPr="00000000" w14:paraId="00000031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Конфликт на интереси е налице тогава, когато лицето, заемащо публична длъжност е упражнило правомощията си в съответствие с материалноправните предпоставки за тяхното прилагане, но това е станало в негов или на свързано с него лице интерес, тъй като конфликтът на интереси се обективира не в резултата – придобита облага, а във възможността частният интерес да повлияе на обективното и безпристрастно изпълнение на правомощията.</w:t>
      </w:r>
    </w:p>
    <w:p w:rsidR="00000000" w:rsidDel="00000000" w:rsidP="00000000" w:rsidRDefault="00000000" w:rsidRPr="00000000" w14:paraId="00000032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В своите решения Върховният административен съд, при тълкуване разпоредбите на закона, многократно е посочвал, че законодателят не изисква доказване на обстоятелството дали и как в действителност упражнените властнически правомощия са повлияни от установения частен интерес. Конфликт на интереси е налице, ако съответният частен интерес на лицето, заемащо публична длъжност или на свързаното с него лице, е във връзка с упражняването на неговите властнически правомощия. За съставомерността на деянието по чл. 52 от ЗПКОНПИ (отм.) е достатъчно да е налице формално нарушение на посочената разпоредба, водещо до съмнение в начина, по който се осъществяват съответните публични длъжности. Не е необходимо да бъде доказано резултатно деяние с реални негативни последици. Законът не допуска фактически ситуации, в които дадено лице, заемащо публична длъжност, би могло да повлияе в частен интерес, като по този начин компрометира публичната длъжност, реда и начина, по който се осъществяват функциите, възложени на съответното учреждение, ведомство и пр. Целта на закона е предотвратяването на съмнения, че лицата, заемащи публични длъжности, осъществяват правомощията си на база на лични и роднински отношения, а не на база законоустановените критерии (в този смисъл са: Решение № 12130/30.09.2020 г. на ВАС по адм. д. № 2277/2020 г., VI отд., Решение № 17114 от 13.12.2019 г. на ВАС по адм. д. № 9250/2019 г., VІ отд., Решение № 115 от 6.01.2016 г. на ВАС по адм. д. № 1439/2015 г., VII отд., Решение № 6945 от 23.05.2014 г. на ВАС по адм. д. № 1791/2014 г., VII отд. и мн. др.).</w:t>
      </w:r>
    </w:p>
    <w:p w:rsidR="00000000" w:rsidDel="00000000" w:rsidP="00000000" w:rsidRDefault="00000000" w:rsidRPr="00000000" w14:paraId="00000033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За избягване и преодоляване потенциалната възможност лицето, заемащо публична длъжност, да бъде поставено в ситуация, в която упражняването на правомощията му да бъде повлияно от частен интерес, е въведена забраната за действие в такива ситуации – лицето, заемащо публична длъжност, няма право да извършва дейности в частен интерес при изпълнение на правомощията си. Поведението на настоящия ответник правилно е квалифицирано от органа като наличие на частен интерес, който в нарушение на чл. 58, изречение първо, предложение четвърто от ЗПКОНПИ (отм.) е издал Заповеди №№ 128 от 18.07.2022 г.; №169 от 17.08.2022 г.; №180-2 от 19.09.2022 г.; №204 от 17.10.2022 г.; №230 от 17.11.2022 г.; №257 от 16.12.2022 г. и № 8 от 18.01.2023 г. досежно определянето размера на допълнително материално стимулиране на лекарите и медицинския персонал на болницата, в това число и на него самия.</w:t>
      </w:r>
    </w:p>
    <w:p w:rsidR="00000000" w:rsidDel="00000000" w:rsidP="00000000" w:rsidRDefault="00000000" w:rsidRPr="00000000" w14:paraId="00000034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Предвид изложеното, настоящият съдебен състав на Върховния административен съд, шесто отделение, намира, че първоинстанционното решение е постановено в противоречие с приложимите материалноправни норми и целта на закона. Като е отменил административния акт, съдът е постановил едно неправилно решение, което следва да бъде отменено, а вместо него постановено ново, по съществото на спора, с което първоначалната жалба да бъде отхвърлена.</w:t>
      </w:r>
    </w:p>
    <w:p w:rsidR="00000000" w:rsidDel="00000000" w:rsidP="00000000" w:rsidRDefault="00000000" w:rsidRPr="00000000" w14:paraId="00000035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С оглед изхода на спора, на касатора се дължат претендираните разноски. На основание § 1, т. 6 от ДР на АПК, Д. В. Г. следва да заплати на КПК сумата от 550 лева, от която 70 лева държавна такса и 480 лева юрисконсултско възнаграждение. Размерът на юрисконсултското възнаграждение е редуциран спрямо претендирания размер от 500 лева в представения списък с разноски и е определен в максимален размер, съгл. чл. 143, ал. 3 от АПК, във връзка с чл. 37 от Закона за правната помощ и чл. 24 от Наредбата за заплащането на правната помощ.</w:t>
      </w:r>
    </w:p>
    <w:p w:rsidR="00000000" w:rsidDel="00000000" w:rsidP="00000000" w:rsidRDefault="00000000" w:rsidRPr="00000000" w14:paraId="00000036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Воден от горното и на основание чл. 221, ал. 2 от АПК, Върховният административен съд, шесто отделение,</w:t>
      </w:r>
    </w:p>
    <w:p w:rsidR="00000000" w:rsidDel="00000000" w:rsidP="00000000" w:rsidRDefault="00000000" w:rsidRPr="00000000" w14:paraId="00000037">
      <w:pPr>
        <w:spacing w:after="0" w:before="75" w:line="240" w:lineRule="auto"/>
        <w:ind w:left="3540" w:firstLine="708.0000000000001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РЕШИ:</w:t>
      </w:r>
    </w:p>
    <w:p w:rsidR="00000000" w:rsidDel="00000000" w:rsidP="00000000" w:rsidRDefault="00000000" w:rsidRPr="00000000" w14:paraId="00000038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ОТМЕНЯ Решение № 1191 от 26.03.2024 г., постановено по адм. дело № 956 по описа за 2023 г. на Административен съд- Пазарджик, като вместо него ПОСТАНОВЯВА:</w:t>
      </w:r>
    </w:p>
    <w:p w:rsidR="00000000" w:rsidDel="00000000" w:rsidP="00000000" w:rsidRDefault="00000000" w:rsidRPr="00000000" w14:paraId="00000039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ОТХВЪРЛЯ жалбата на Д. В. Г. срещу Решение № РС-173-23-074 от 05.09.2023 г. на Комисията за противодействие на корупцията и за отнемане на незаконно придобитото имущество (от 06.10.2023 г. с наименование "Комисия за противодействие на корупцията").</w:t>
      </w:r>
    </w:p>
    <w:p w:rsidR="00000000" w:rsidDel="00000000" w:rsidP="00000000" w:rsidRDefault="00000000" w:rsidRPr="00000000" w14:paraId="0000003A">
      <w:pPr>
        <w:spacing w:after="0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ОСЪЖДА Д. В. Г. да заплати на Комисията за противодействие на корупцията сторените разноски в касационното производство в размер на 550 (петстотин и петдесет) лева.</w:t>
      </w:r>
    </w:p>
    <w:p w:rsidR="00000000" w:rsidDel="00000000" w:rsidP="00000000" w:rsidRDefault="00000000" w:rsidRPr="00000000" w14:paraId="0000003B">
      <w:pPr>
        <w:spacing w:after="4" w:before="75" w:line="240" w:lineRule="auto"/>
        <w:ind w:firstLine="708"/>
        <w:jc w:val="both"/>
        <w:rPr>
          <w:rFonts w:ascii="Open Sans" w:cs="Open Sans" w:eastAsia="Open Sans" w:hAnsi="Open Sans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4"/>
          <w:szCs w:val="24"/>
          <w:highlight w:val="white"/>
          <w:rtl w:val="0"/>
        </w:rPr>
        <w:t xml:space="preserve">Решението е окончателно.</w:t>
      </w:r>
    </w:p>
    <w:tbl>
      <w:tblPr>
        <w:tblStyle w:val="Table2"/>
        <w:tblW w:w="11700.0" w:type="dxa"/>
        <w:jc w:val="left"/>
        <w:tblInd w:w="-15.0" w:type="dxa"/>
        <w:tblLayout w:type="fixed"/>
        <w:tblLook w:val="0400"/>
      </w:tblPr>
      <w:tblGrid>
        <w:gridCol w:w="4018"/>
        <w:gridCol w:w="3614"/>
        <w:gridCol w:w="4068"/>
        <w:tblGridChange w:id="0">
          <w:tblGrid>
            <w:gridCol w:w="4018"/>
            <w:gridCol w:w="3614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Вярно с оригинала,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mallCaps w:val="1"/>
                <w:color w:val="000000"/>
                <w:sz w:val="24"/>
                <w:szCs w:val="24"/>
                <w:rtl w:val="0"/>
              </w:rPr>
              <w:t xml:space="preserve">ПРЕДСЕДАТЕЛ: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/п/ ГЕОРГИ ГЕОРГИЕВ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секретар: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mallCaps w:val="1"/>
                <w:color w:val="000000"/>
                <w:sz w:val="24"/>
                <w:szCs w:val="24"/>
                <w:rtl w:val="0"/>
              </w:rPr>
              <w:t xml:space="preserve">ЧЛЕНОВЕ: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/п/ ДЕСИСЛАВА СТОЕВА</w:t>
              <w:br w:type="textWrapping"/>
              <w:br w:type="textWrapping"/>
              <w:t xml:space="preserve">/п/ ЯВОР КОЛЕВ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