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before="75" w:lineRule="auto"/>
        <w:jc w:val="center"/>
        <w:rPr>
          <w:rFonts w:ascii="Arial" w:cs="Arial" w:eastAsia="Arial" w:hAnsi="Arial"/>
          <w:color w:val="222222"/>
          <w:sz w:val="18"/>
          <w:szCs w:val="18"/>
        </w:rPr>
      </w:pPr>
      <w:r w:rsidDel="00000000" w:rsidR="00000000" w:rsidRPr="00000000">
        <w:rPr>
          <w:rFonts w:ascii="Open Sans" w:cs="Open Sans" w:eastAsia="Open Sans" w:hAnsi="Open Sans"/>
          <w:b w:val="1"/>
          <w:bCs w:val="1"/>
          <w:color w:val="000000"/>
          <w:sz w:val="36"/>
          <w:szCs w:val="36"/>
          <w:rtl w:val="0"/>
        </w:rPr>
        <w:t xml:space="preserve">РЕШЕНИЕ</w:t>
      </w:r>
      <w:r w:rsidDel="00000000" w:rsidR="00000000" w:rsidRPr="00000000">
        <w:rPr>
          <w:rtl w:val="0"/>
        </w:rPr>
      </w:r>
    </w:p>
    <w:p w:rsidR="00000000" w:rsidDel="00000000" w:rsidP="00000000" w:rsidRDefault="00000000" w:rsidRPr="00000000" w14:paraId="00000002">
      <w:pPr>
        <w:shd w:fill="ffffff" w:val="clear"/>
        <w:spacing w:before="75" w:lineRule="auto"/>
        <w:jc w:val="center"/>
        <w:rPr>
          <w:rFonts w:ascii="Arial" w:cs="Arial" w:eastAsia="Arial" w:hAnsi="Arial"/>
          <w:color w:val="222222"/>
          <w:sz w:val="18"/>
          <w:szCs w:val="18"/>
        </w:rPr>
      </w:pPr>
      <w:r w:rsidDel="00000000" w:rsidR="00000000" w:rsidRPr="00000000">
        <w:rPr>
          <w:rFonts w:ascii="Arial Unicode MS" w:cs="Arial Unicode MS" w:eastAsia="Arial Unicode MS" w:hAnsi="Arial Unicode MS"/>
          <w:b w:val="1"/>
          <w:bCs w:val="1"/>
          <w:color w:val="000000"/>
          <w:sz w:val="28"/>
          <w:szCs w:val="28"/>
          <w:rtl w:val="0"/>
        </w:rPr>
        <w:t xml:space="preserve">№ 12142</w:t>
      </w:r>
      <w:r w:rsidDel="00000000" w:rsidR="00000000" w:rsidRPr="00000000">
        <w:rPr>
          <w:rtl w:val="0"/>
        </w:rPr>
      </w:r>
    </w:p>
    <w:p w:rsidR="00000000" w:rsidDel="00000000" w:rsidP="00000000" w:rsidRDefault="00000000" w:rsidRPr="00000000" w14:paraId="00000003">
      <w:pPr>
        <w:shd w:fill="ffffff" w:val="clear"/>
        <w:spacing w:before="75" w:lineRule="auto"/>
        <w:jc w:val="center"/>
        <w:rPr>
          <w:rFonts w:ascii="Arial" w:cs="Arial" w:eastAsia="Arial" w:hAnsi="Arial"/>
          <w:color w:val="222222"/>
          <w:sz w:val="18"/>
          <w:szCs w:val="18"/>
        </w:rPr>
      </w:pPr>
      <w:r w:rsidDel="00000000" w:rsidR="00000000" w:rsidRPr="00000000">
        <w:rPr>
          <w:rFonts w:ascii="Open Sans" w:cs="Open Sans" w:eastAsia="Open Sans" w:hAnsi="Open Sans"/>
          <w:b w:val="1"/>
          <w:bCs w:val="1"/>
          <w:color w:val="000000"/>
          <w:sz w:val="28"/>
          <w:szCs w:val="28"/>
          <w:rtl w:val="0"/>
        </w:rPr>
        <w:t xml:space="preserve">София, 27.11.2025 г.</w:t>
      </w:r>
      <w:r w:rsidDel="00000000" w:rsidR="00000000" w:rsidRPr="00000000">
        <w:rPr>
          <w:rtl w:val="0"/>
        </w:rPr>
      </w:r>
    </w:p>
    <w:p w:rsidR="00000000" w:rsidDel="00000000" w:rsidP="00000000" w:rsidRDefault="00000000" w:rsidRPr="00000000" w14:paraId="00000004">
      <w:pPr>
        <w:shd w:fill="ffffff" w:val="clear"/>
        <w:spacing w:before="75" w:lineRule="auto"/>
        <w:jc w:val="center"/>
        <w:rPr>
          <w:rFonts w:ascii="Arial" w:cs="Arial" w:eastAsia="Arial" w:hAnsi="Arial"/>
          <w:color w:val="222222"/>
          <w:sz w:val="18"/>
          <w:szCs w:val="18"/>
        </w:rPr>
      </w:pPr>
      <w:r w:rsidDel="00000000" w:rsidR="00000000" w:rsidRPr="00000000">
        <w:rPr>
          <w:rFonts w:ascii="Open Sans" w:cs="Open Sans" w:eastAsia="Open Sans" w:hAnsi="Open Sans"/>
          <w:b w:val="1"/>
          <w:bCs w:val="1"/>
          <w:color w:val="000000"/>
          <w:sz w:val="28"/>
          <w:szCs w:val="28"/>
          <w:rtl w:val="0"/>
        </w:rPr>
        <w:t xml:space="preserve">В ИМЕТО НА НАРОДА</w:t>
      </w:r>
      <w:r w:rsidDel="00000000" w:rsidR="00000000" w:rsidRPr="00000000">
        <w:rPr>
          <w:rtl w:val="0"/>
        </w:rPr>
      </w:r>
    </w:p>
    <w:p w:rsidR="00000000" w:rsidDel="00000000" w:rsidP="00000000" w:rsidRDefault="00000000" w:rsidRPr="00000000" w14:paraId="00000005">
      <w:pPr>
        <w:shd w:fill="ffffff" w:val="clear"/>
        <w:spacing w:before="75" w:lineRule="auto"/>
        <w:rPr>
          <w:rFonts w:ascii="Arial" w:cs="Arial" w:eastAsia="Arial" w:hAnsi="Arial"/>
          <w:color w:val="222222"/>
          <w:sz w:val="24"/>
          <w:szCs w:val="24"/>
        </w:rPr>
      </w:pPr>
      <w:r w:rsidDel="00000000" w:rsidR="00000000" w:rsidRPr="00000000">
        <w:rPr>
          <w:rFonts w:ascii="Open Sans" w:cs="Open Sans" w:eastAsia="Open Sans" w:hAnsi="Open Sans"/>
          <w:b w:val="1"/>
          <w:bCs w:val="1"/>
          <w:color w:val="000000"/>
          <w:sz w:val="24"/>
          <w:szCs w:val="24"/>
          <w:rtl w:val="0"/>
        </w:rPr>
        <w:t xml:space="preserve">Върховният административен съд на Република България - Шесто отделение,</w:t>
      </w:r>
      <w:r w:rsidDel="00000000" w:rsidR="00000000" w:rsidRPr="00000000">
        <w:rPr>
          <w:rFonts w:ascii="Open Sans" w:cs="Open Sans" w:eastAsia="Open Sans" w:hAnsi="Open Sans"/>
          <w:color w:val="000000"/>
          <w:sz w:val="24"/>
          <w:szCs w:val="24"/>
          <w:rtl w:val="0"/>
        </w:rPr>
        <w:t xml:space="preserve"> в съдебно заседание на единадесети ноември две хиляди двадесет и пета година в състав:</w:t>
      </w:r>
      <w:r w:rsidDel="00000000" w:rsidR="00000000" w:rsidRPr="00000000">
        <w:rPr>
          <w:rtl w:val="0"/>
        </w:rPr>
      </w:r>
    </w:p>
    <w:tbl>
      <w:tblPr>
        <w:tblStyle w:val="Table1"/>
        <w:tblW w:w="11700.0" w:type="dxa"/>
        <w:jc w:val="left"/>
        <w:tblLayout w:type="fixed"/>
        <w:tblLook w:val="0400"/>
      </w:tblPr>
      <w:tblGrid>
        <w:gridCol w:w="2463"/>
        <w:gridCol w:w="4240"/>
        <w:gridCol w:w="4997"/>
        <w:tblGridChange w:id="0">
          <w:tblGrid>
            <w:gridCol w:w="2463"/>
            <w:gridCol w:w="4240"/>
            <w:gridCol w:w="4997"/>
          </w:tblGrid>
        </w:tblGridChange>
      </w:tblGrid>
      <w:tr>
        <w:trPr>
          <w:cantSplit w:val="0"/>
          <w:tblHeader w:val="0"/>
        </w:trPr>
        <w:tc>
          <w:tcPr>
            <w:gridSpan w:val="2"/>
            <w:shd w:fill="ffffff" w:val="clear"/>
          </w:tcPr>
          <w:p w:rsidR="00000000" w:rsidDel="00000000" w:rsidP="00000000" w:rsidRDefault="00000000" w:rsidRPr="00000000" w14:paraId="00000006">
            <w:pPr>
              <w:jc w:val="right"/>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w:t>
            </w:r>
          </w:p>
        </w:tc>
        <w:tc>
          <w:tcPr>
            <w:shd w:fill="ffffff" w:val="clear"/>
            <w:vAlign w:val="center"/>
          </w:tcPr>
          <w:p w:rsidR="00000000" w:rsidDel="00000000" w:rsidP="00000000" w:rsidRDefault="00000000" w:rsidRPr="00000000" w14:paraId="00000008">
            <w:pP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w:t>
            </w:r>
          </w:p>
        </w:tc>
      </w:tr>
      <w:tr>
        <w:trPr>
          <w:cantSplit w:val="0"/>
          <w:tblHeader w:val="0"/>
        </w:trPr>
        <w:tc>
          <w:tcPr>
            <w:gridSpan w:val="2"/>
            <w:shd w:fill="ffffff" w:val="clear"/>
          </w:tcPr>
          <w:p w:rsidR="00000000" w:rsidDel="00000000" w:rsidP="00000000" w:rsidRDefault="00000000" w:rsidRPr="00000000" w14:paraId="00000009">
            <w:pPr>
              <w:jc w:val="right"/>
              <w:rPr>
                <w:rFonts w:ascii="Arial" w:cs="Arial" w:eastAsia="Arial" w:hAnsi="Arial"/>
                <w:color w:val="222222"/>
                <w:sz w:val="24"/>
                <w:szCs w:val="24"/>
              </w:rPr>
            </w:pPr>
            <w:r w:rsidDel="00000000" w:rsidR="00000000" w:rsidRPr="00000000">
              <w:rPr>
                <w:rFonts w:ascii="Open Sans" w:cs="Open Sans" w:eastAsia="Open Sans" w:hAnsi="Open Sans"/>
                <w:b w:val="1"/>
                <w:bCs w:val="1"/>
                <w:smallCaps w:val="1"/>
                <w:color w:val="000000"/>
                <w:sz w:val="24"/>
                <w:szCs w:val="24"/>
                <w:rtl w:val="0"/>
              </w:rPr>
              <w:t xml:space="preserve">ПРЕДСЕДАТЕЛ:</w:t>
            </w:r>
            <w:r w:rsidDel="00000000" w:rsidR="00000000" w:rsidRPr="00000000">
              <w:rPr>
                <w:rtl w:val="0"/>
              </w:rPr>
            </w:r>
          </w:p>
        </w:tc>
        <w:tc>
          <w:tcPr>
            <w:shd w:fill="ffffff" w:val="clear"/>
            <w:vAlign w:val="center"/>
          </w:tcPr>
          <w:p w:rsidR="00000000" w:rsidDel="00000000" w:rsidP="00000000" w:rsidRDefault="00000000" w:rsidRPr="00000000" w14:paraId="0000000B">
            <w:pPr>
              <w:rPr>
                <w:rFonts w:ascii="Arial" w:cs="Arial" w:eastAsia="Arial" w:hAnsi="Arial"/>
                <w:color w:val="222222"/>
                <w:sz w:val="24"/>
                <w:szCs w:val="24"/>
              </w:rPr>
            </w:pPr>
            <w:r w:rsidDel="00000000" w:rsidR="00000000" w:rsidRPr="00000000">
              <w:rPr>
                <w:rFonts w:ascii="Open Sans" w:cs="Open Sans" w:eastAsia="Open Sans" w:hAnsi="Open Sans"/>
                <w:smallCaps w:val="1"/>
                <w:color w:val="000000"/>
                <w:sz w:val="24"/>
                <w:szCs w:val="24"/>
                <w:rtl w:val="0"/>
              </w:rPr>
              <w:t xml:space="preserve">ГЕОРГИ ГЕОРГИЕВ</w:t>
            </w:r>
            <w:r w:rsidDel="00000000" w:rsidR="00000000" w:rsidRPr="00000000">
              <w:rPr>
                <w:rtl w:val="0"/>
              </w:rPr>
            </w:r>
          </w:p>
        </w:tc>
      </w:tr>
      <w:tr>
        <w:trPr>
          <w:cantSplit w:val="0"/>
          <w:tblHeader w:val="0"/>
        </w:trPr>
        <w:tc>
          <w:tcPr>
            <w:gridSpan w:val="2"/>
            <w:shd w:fill="ffffff" w:val="clear"/>
          </w:tcPr>
          <w:p w:rsidR="00000000" w:rsidDel="00000000" w:rsidP="00000000" w:rsidRDefault="00000000" w:rsidRPr="00000000" w14:paraId="0000000C">
            <w:pPr>
              <w:jc w:val="right"/>
              <w:rPr>
                <w:rFonts w:ascii="Arial" w:cs="Arial" w:eastAsia="Arial" w:hAnsi="Arial"/>
                <w:color w:val="222222"/>
                <w:sz w:val="24"/>
                <w:szCs w:val="24"/>
              </w:rPr>
            </w:pPr>
            <w:r w:rsidDel="00000000" w:rsidR="00000000" w:rsidRPr="00000000">
              <w:rPr>
                <w:rFonts w:ascii="Open Sans" w:cs="Open Sans" w:eastAsia="Open Sans" w:hAnsi="Open Sans"/>
                <w:b w:val="1"/>
                <w:bCs w:val="1"/>
                <w:smallCaps w:val="1"/>
                <w:color w:val="000000"/>
                <w:sz w:val="24"/>
                <w:szCs w:val="24"/>
                <w:rtl w:val="0"/>
              </w:rPr>
              <w:t xml:space="preserve">ЧЛЕНОВЕ:</w:t>
            </w:r>
            <w:r w:rsidDel="00000000" w:rsidR="00000000" w:rsidRPr="00000000">
              <w:rPr>
                <w:rtl w:val="0"/>
              </w:rPr>
            </w:r>
          </w:p>
        </w:tc>
        <w:tc>
          <w:tcPr>
            <w:shd w:fill="ffffff" w:val="clear"/>
            <w:vAlign w:val="center"/>
          </w:tcPr>
          <w:p w:rsidR="00000000" w:rsidDel="00000000" w:rsidP="00000000" w:rsidRDefault="00000000" w:rsidRPr="00000000" w14:paraId="0000000E">
            <w:pPr>
              <w:rPr>
                <w:rFonts w:ascii="Arial" w:cs="Arial" w:eastAsia="Arial" w:hAnsi="Arial"/>
                <w:color w:val="222222"/>
                <w:sz w:val="24"/>
                <w:szCs w:val="24"/>
              </w:rPr>
            </w:pPr>
            <w:r w:rsidDel="00000000" w:rsidR="00000000" w:rsidRPr="00000000">
              <w:rPr>
                <w:rFonts w:ascii="Open Sans" w:cs="Open Sans" w:eastAsia="Open Sans" w:hAnsi="Open Sans"/>
                <w:color w:val="000000"/>
                <w:sz w:val="24"/>
                <w:szCs w:val="24"/>
                <w:rtl w:val="0"/>
              </w:rPr>
              <w:t xml:space="preserve">ДЕСИСЛАВА СТОЕВА</w:t>
              <w:br w:type="textWrapping"/>
              <w:t xml:space="preserve">ЯВОР КОЛЕВ</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0F">
            <w:pP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w:t>
            </w:r>
          </w:p>
        </w:tc>
        <w:tc>
          <w:tcPr>
            <w:shd w:fill="ffffff" w:val="clear"/>
            <w:vAlign w:val="center"/>
          </w:tcPr>
          <w:p w:rsidR="00000000" w:rsidDel="00000000" w:rsidP="00000000" w:rsidRDefault="00000000" w:rsidRPr="00000000" w14:paraId="00000010">
            <w:pP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w:t>
            </w:r>
          </w:p>
        </w:tc>
        <w:tc>
          <w:tcPr>
            <w:shd w:fill="ffffff" w:val="clear"/>
            <w:vAlign w:val="center"/>
          </w:tcPr>
          <w:p w:rsidR="00000000" w:rsidDel="00000000" w:rsidP="00000000" w:rsidRDefault="00000000" w:rsidRPr="00000000" w14:paraId="00000011">
            <w:pPr>
              <w:jc w:val="right"/>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w:t>
            </w:r>
          </w:p>
        </w:tc>
      </w:tr>
      <w:tr>
        <w:trPr>
          <w:cantSplit w:val="0"/>
          <w:tblHeader w:val="0"/>
        </w:trPr>
        <w:tc>
          <w:tcPr>
            <w:shd w:fill="ffffff" w:val="clear"/>
            <w:vAlign w:val="center"/>
          </w:tcPr>
          <w:p w:rsidR="00000000" w:rsidDel="00000000" w:rsidP="00000000" w:rsidRDefault="00000000" w:rsidRPr="00000000" w14:paraId="00000012">
            <w:pPr>
              <w:rPr>
                <w:rFonts w:ascii="Arial" w:cs="Arial" w:eastAsia="Arial" w:hAnsi="Arial"/>
                <w:color w:val="222222"/>
                <w:sz w:val="24"/>
                <w:szCs w:val="24"/>
              </w:rPr>
            </w:pPr>
            <w:r w:rsidDel="00000000" w:rsidR="00000000" w:rsidRPr="00000000">
              <w:rPr>
                <w:rFonts w:ascii="Open Sans" w:cs="Open Sans" w:eastAsia="Open Sans" w:hAnsi="Open Sans"/>
                <w:color w:val="000000"/>
                <w:sz w:val="24"/>
                <w:szCs w:val="24"/>
                <w:rtl w:val="0"/>
              </w:rPr>
              <w:t xml:space="preserve">при секретар</w:t>
            </w:r>
            <w:r w:rsidDel="00000000" w:rsidR="00000000" w:rsidRPr="00000000">
              <w:rPr>
                <w:rtl w:val="0"/>
              </w:rPr>
            </w:r>
          </w:p>
        </w:tc>
        <w:tc>
          <w:tcPr>
            <w:shd w:fill="ffffff" w:val="clear"/>
            <w:vAlign w:val="center"/>
          </w:tcPr>
          <w:p w:rsidR="00000000" w:rsidDel="00000000" w:rsidP="00000000" w:rsidRDefault="00000000" w:rsidRPr="00000000" w14:paraId="00000013">
            <w:pPr>
              <w:rPr>
                <w:rFonts w:ascii="Arial" w:cs="Arial" w:eastAsia="Arial" w:hAnsi="Arial"/>
                <w:color w:val="222222"/>
                <w:sz w:val="24"/>
                <w:szCs w:val="24"/>
              </w:rPr>
            </w:pPr>
            <w:r w:rsidDel="00000000" w:rsidR="00000000" w:rsidRPr="00000000">
              <w:rPr>
                <w:rFonts w:ascii="Open Sans" w:cs="Open Sans" w:eastAsia="Open Sans" w:hAnsi="Open Sans"/>
                <w:color w:val="000000"/>
                <w:sz w:val="24"/>
                <w:szCs w:val="24"/>
                <w:rtl w:val="0"/>
              </w:rPr>
              <w:t xml:space="preserve">Светослава Огнянова</w:t>
            </w:r>
            <w:r w:rsidDel="00000000" w:rsidR="00000000" w:rsidRPr="00000000">
              <w:rPr>
                <w:rtl w:val="0"/>
              </w:rPr>
            </w:r>
          </w:p>
        </w:tc>
        <w:tc>
          <w:tcPr>
            <w:shd w:fill="ffffff" w:val="clear"/>
            <w:vAlign w:val="center"/>
          </w:tcPr>
          <w:p w:rsidR="00000000" w:rsidDel="00000000" w:rsidP="00000000" w:rsidRDefault="00000000" w:rsidRPr="00000000" w14:paraId="00000014">
            <w:pPr>
              <w:jc w:val="right"/>
              <w:rPr>
                <w:rFonts w:ascii="Arial" w:cs="Arial" w:eastAsia="Arial" w:hAnsi="Arial"/>
                <w:color w:val="222222"/>
                <w:sz w:val="24"/>
                <w:szCs w:val="24"/>
              </w:rPr>
            </w:pPr>
            <w:r w:rsidDel="00000000" w:rsidR="00000000" w:rsidRPr="00000000">
              <w:rPr>
                <w:rFonts w:ascii="Open Sans" w:cs="Open Sans" w:eastAsia="Open Sans" w:hAnsi="Open Sans"/>
                <w:color w:val="000000"/>
                <w:sz w:val="24"/>
                <w:szCs w:val="24"/>
                <w:rtl w:val="0"/>
              </w:rPr>
              <w:t xml:space="preserve">и с участието</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15">
            <w:pPr>
              <w:rPr>
                <w:rFonts w:ascii="Arial" w:cs="Arial" w:eastAsia="Arial" w:hAnsi="Arial"/>
                <w:color w:val="222222"/>
                <w:sz w:val="24"/>
                <w:szCs w:val="24"/>
              </w:rPr>
            </w:pPr>
            <w:r w:rsidDel="00000000" w:rsidR="00000000" w:rsidRPr="00000000">
              <w:rPr>
                <w:rFonts w:ascii="Open Sans" w:cs="Open Sans" w:eastAsia="Open Sans" w:hAnsi="Open Sans"/>
                <w:color w:val="000000"/>
                <w:sz w:val="24"/>
                <w:szCs w:val="24"/>
                <w:rtl w:val="0"/>
              </w:rPr>
              <w:t xml:space="preserve">на прокурора</w:t>
            </w:r>
            <w:r w:rsidDel="00000000" w:rsidR="00000000" w:rsidRPr="00000000">
              <w:rPr>
                <w:rtl w:val="0"/>
              </w:rPr>
            </w:r>
          </w:p>
        </w:tc>
        <w:tc>
          <w:tcPr>
            <w:shd w:fill="ffffff" w:val="clear"/>
            <w:vAlign w:val="center"/>
          </w:tcPr>
          <w:p w:rsidR="00000000" w:rsidDel="00000000" w:rsidP="00000000" w:rsidRDefault="00000000" w:rsidRPr="00000000" w14:paraId="00000016">
            <w:pPr>
              <w:rPr>
                <w:rFonts w:ascii="Arial" w:cs="Arial" w:eastAsia="Arial" w:hAnsi="Arial"/>
                <w:color w:val="222222"/>
                <w:sz w:val="24"/>
                <w:szCs w:val="24"/>
              </w:rPr>
            </w:pPr>
            <w:r w:rsidDel="00000000" w:rsidR="00000000" w:rsidRPr="00000000">
              <w:rPr>
                <w:rFonts w:ascii="Open Sans" w:cs="Open Sans" w:eastAsia="Open Sans" w:hAnsi="Open Sans"/>
                <w:color w:val="000000"/>
                <w:sz w:val="24"/>
                <w:szCs w:val="24"/>
                <w:rtl w:val="0"/>
              </w:rPr>
              <w:t xml:space="preserve">Илиана Стойкова</w:t>
            </w:r>
            <w:r w:rsidDel="00000000" w:rsidR="00000000" w:rsidRPr="00000000">
              <w:rPr>
                <w:rtl w:val="0"/>
              </w:rPr>
            </w:r>
          </w:p>
        </w:tc>
        <w:tc>
          <w:tcPr>
            <w:shd w:fill="ffffff" w:val="clear"/>
            <w:vAlign w:val="center"/>
          </w:tcPr>
          <w:p w:rsidR="00000000" w:rsidDel="00000000" w:rsidP="00000000" w:rsidRDefault="00000000" w:rsidRPr="00000000" w14:paraId="00000017">
            <w:pPr>
              <w:jc w:val="right"/>
              <w:rPr>
                <w:rFonts w:ascii="Arial" w:cs="Arial" w:eastAsia="Arial" w:hAnsi="Arial"/>
                <w:color w:val="222222"/>
                <w:sz w:val="24"/>
                <w:szCs w:val="24"/>
              </w:rPr>
            </w:pPr>
            <w:r w:rsidDel="00000000" w:rsidR="00000000" w:rsidRPr="00000000">
              <w:rPr>
                <w:rFonts w:ascii="Open Sans" w:cs="Open Sans" w:eastAsia="Open Sans" w:hAnsi="Open Sans"/>
                <w:color w:val="000000"/>
                <w:sz w:val="24"/>
                <w:szCs w:val="24"/>
                <w:rtl w:val="0"/>
              </w:rPr>
              <w:t xml:space="preserve">изслуша докладваното</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18">
            <w:pPr>
              <w:rPr>
                <w:rFonts w:ascii="Arial" w:cs="Arial" w:eastAsia="Arial" w:hAnsi="Arial"/>
                <w:color w:val="222222"/>
                <w:sz w:val="24"/>
                <w:szCs w:val="24"/>
              </w:rPr>
            </w:pPr>
            <w:r w:rsidDel="00000000" w:rsidR="00000000" w:rsidRPr="00000000">
              <w:rPr>
                <w:rFonts w:ascii="Open Sans" w:cs="Open Sans" w:eastAsia="Open Sans" w:hAnsi="Open Sans"/>
                <w:color w:val="000000"/>
                <w:sz w:val="24"/>
                <w:szCs w:val="24"/>
                <w:rtl w:val="0"/>
              </w:rPr>
              <w:t xml:space="preserve">от съдията</w:t>
            </w:r>
            <w:r w:rsidDel="00000000" w:rsidR="00000000" w:rsidRPr="00000000">
              <w:rPr>
                <w:rtl w:val="0"/>
              </w:rPr>
            </w:r>
          </w:p>
        </w:tc>
        <w:tc>
          <w:tcPr>
            <w:shd w:fill="ffffff" w:val="clear"/>
            <w:vAlign w:val="center"/>
          </w:tcPr>
          <w:p w:rsidR="00000000" w:rsidDel="00000000" w:rsidP="00000000" w:rsidRDefault="00000000" w:rsidRPr="00000000" w14:paraId="00000019">
            <w:pPr>
              <w:rPr>
                <w:rFonts w:ascii="Arial" w:cs="Arial" w:eastAsia="Arial" w:hAnsi="Arial"/>
                <w:color w:val="222222"/>
                <w:sz w:val="24"/>
                <w:szCs w:val="24"/>
              </w:rPr>
            </w:pPr>
            <w:r w:rsidDel="00000000" w:rsidR="00000000" w:rsidRPr="00000000">
              <w:rPr>
                <w:rFonts w:ascii="Open Sans" w:cs="Open Sans" w:eastAsia="Open Sans" w:hAnsi="Open Sans"/>
                <w:color w:val="000000"/>
                <w:sz w:val="24"/>
                <w:szCs w:val="24"/>
                <w:rtl w:val="0"/>
              </w:rPr>
              <w:t xml:space="preserve">Десислава Стоева</w:t>
            </w:r>
            <w:r w:rsidDel="00000000" w:rsidR="00000000" w:rsidRPr="00000000">
              <w:rPr>
                <w:rtl w:val="0"/>
              </w:rPr>
            </w:r>
          </w:p>
        </w:tc>
        <w:tc>
          <w:tcPr>
            <w:shd w:fill="ffffff" w:val="clear"/>
            <w:vAlign w:val="center"/>
          </w:tcPr>
          <w:p w:rsidR="00000000" w:rsidDel="00000000" w:rsidP="00000000" w:rsidRDefault="00000000" w:rsidRPr="00000000" w14:paraId="0000001A">
            <w:pP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w:t>
            </w:r>
          </w:p>
        </w:tc>
      </w:tr>
      <w:tr>
        <w:trPr>
          <w:cantSplit w:val="0"/>
          <w:tblHeader w:val="0"/>
        </w:trPr>
        <w:tc>
          <w:tcPr>
            <w:gridSpan w:val="3"/>
            <w:shd w:fill="ffffff" w:val="clear"/>
            <w:vAlign w:val="center"/>
          </w:tcPr>
          <w:p w:rsidR="00000000" w:rsidDel="00000000" w:rsidP="00000000" w:rsidRDefault="00000000" w:rsidRPr="00000000" w14:paraId="0000001B">
            <w:pPr>
              <w:rPr>
                <w:rFonts w:ascii="Arial" w:cs="Arial" w:eastAsia="Arial" w:hAnsi="Arial"/>
                <w:color w:val="222222"/>
                <w:sz w:val="24"/>
                <w:szCs w:val="24"/>
              </w:rPr>
            </w:pPr>
            <w:r w:rsidDel="00000000" w:rsidR="00000000" w:rsidRPr="00000000">
              <w:rPr>
                <w:rFonts w:ascii="Arial" w:cs="Arial" w:eastAsia="Arial" w:hAnsi="Arial"/>
                <w:color w:val="000000"/>
                <w:sz w:val="24"/>
                <w:szCs w:val="24"/>
                <w:rtl w:val="0"/>
              </w:rPr>
              <w:t xml:space="preserve">по административно дело № 6685/2025 г.</w:t>
            </w:r>
            <w:r w:rsidDel="00000000" w:rsidR="00000000" w:rsidRPr="00000000">
              <w:rPr>
                <w:rtl w:val="0"/>
              </w:rPr>
            </w:r>
          </w:p>
        </w:tc>
      </w:tr>
      <w:tr>
        <w:trPr>
          <w:cantSplit w:val="0"/>
          <w:tblHeader w:val="0"/>
        </w:trPr>
        <w:tc>
          <w:tcPr>
            <w:gridSpan w:val="3"/>
            <w:shd w:fill="ffffff" w:val="clear"/>
            <w:vAlign w:val="center"/>
          </w:tcPr>
          <w:p w:rsidR="00000000" w:rsidDel="00000000" w:rsidP="00000000" w:rsidRDefault="00000000" w:rsidRPr="00000000" w14:paraId="0000001E">
            <w:pP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w:t>
            </w:r>
          </w:p>
        </w:tc>
      </w:tr>
    </w:tbl>
    <w:p w:rsidR="00000000" w:rsidDel="00000000" w:rsidP="00000000" w:rsidRDefault="00000000" w:rsidRPr="00000000" w14:paraId="00000021">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Производството е по реда на чл. 208 и сл. от Административнопроцесуалния кодекс (АПК).</w:t>
      </w:r>
    </w:p>
    <w:p w:rsidR="00000000" w:rsidDel="00000000" w:rsidP="00000000" w:rsidRDefault="00000000" w:rsidRPr="00000000" w14:paraId="00000022">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Образувано е по касационна жалба на Т. Е. И., чрез адв. Е. Златева, против Решение № 433/02.04.2025 г. постановено по адм. дело № 1502/2024 по описа на Административен съд София – област. Изложени са подробни доводи за неговата неправилност поради нарушение на материалния закон и необоснованост – касационни основания по чл. 209, т. 3, пр. 1 и 3 от АПК. Искането е оспорваното решение да бъде отменено с произтичащите от това законови последици. Претендират се направените пред касационната инстанция деловодни разноски.</w:t>
      </w:r>
    </w:p>
    <w:p w:rsidR="00000000" w:rsidDel="00000000" w:rsidP="00000000" w:rsidRDefault="00000000" w:rsidRPr="00000000" w14:paraId="00000023">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Ответникът – Комисия за противодействие на корупцията (КПК), чрез процесуален представител гл. юрисконсулт К. Станчева, в писмен отговор излага доводи за неоснователност на касационната жалба и правилност на обжалваното решение.</w:t>
      </w:r>
    </w:p>
    <w:p w:rsidR="00000000" w:rsidDel="00000000" w:rsidP="00000000" w:rsidRDefault="00000000" w:rsidRPr="00000000" w14:paraId="00000024">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Представителят на Върховната касационна прокуратура дава мотивирано становище за допустимост, но неоснователност на касационното оспорване. Поддържа становище за правилност и законосъобразност на първоинстанционното решение.</w:t>
      </w:r>
    </w:p>
    <w:p w:rsidR="00000000" w:rsidDel="00000000" w:rsidP="00000000" w:rsidRDefault="00000000" w:rsidRPr="00000000" w14:paraId="00000025">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Разгледана по същество на основанията, посочени в нея и след проверка на решението за валидност, допустимост и съответствие с материалния закон, съгласно чл. 218, ал. 2 от АПК, касационната жалба се явява неоснователна.</w:t>
      </w:r>
    </w:p>
    <w:p w:rsidR="00000000" w:rsidDel="00000000" w:rsidP="00000000" w:rsidRDefault="00000000" w:rsidRPr="00000000" w14:paraId="00000026">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С обжалвания съдебен акт се отхвърля жалбата, подадена от Т. И. срещу Решение № РС-КПК-4311-24-119/24.09.2024 г. на Комисията за противодействие на корупцията /КПК/ в частта, с която е бил установен конфликт на интереси от нейна страна, в качеството й на лице, заемащо публична длъжност по смисъла на чл. 6, ал. 1, т. 50 от ЗПК, в частен интерес, свързан с лицата Р. Р. Б. и Л. Г. Б. и е извършила нарушения на разпоредбите на чл. 60 от ЗПКОНПИ (отм.), съответно чл.78 от ЗПК; чл. 57 от ЗПКОНПИ (отм.), съответно чл.75 от ЗПК; чл. 58, изр. първо, предл. 4 от ЗПКОНПИ /отм./, съответно чл. 76, изр. първо, предл. 4 от ЗПК; чл. 76, изр. първо, предл. 4 от ЗПК и в частта, с която, на основание чл. 171, ал. 1 от ЗПКОНПИ (отм.) и чл. 113, ал. 1 от ЗПК, на Т. Е. И. е била наложена глоба за всяко едно от извършените нарушения, както и в частта, с която, на основание чл. 81, ал. 1 и ал. 2 от ЗПКОНПИ /отм./ и чл. 99, ал. 1 и ал. 2 от ЗПК, са били отнети в полза на държавата сумите, представляващи дневното й възнаграждение за датите, на които са били извършени нарушенията, съставляващи конфликт на интереси, както и отнетите в полза на държавата суми, представляващи получената материална облага от свързаните с нея лица – Л. Б. и Р. Б., в резултат на установения конфликт на интереси.</w:t>
      </w:r>
    </w:p>
    <w:p w:rsidR="00000000" w:rsidDel="00000000" w:rsidP="00000000" w:rsidRDefault="00000000" w:rsidRPr="00000000" w14:paraId="00000027">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От фактическа страна е установено, че административното производство е образувано по реда на чл. 89, ал. 1, пр. 1 от Закона за противодействие на корупцията (ЗПК), въз основа на Решение № КИ-086/11.03.2024 г. на Комисията за противодействие на корупцията (КПК), по сигнал с вх. № КПК-4311/01.03.2024 г. и приобщен към него сигнал с вх. № КПК-4919/08.03.2024 г., подадени срещу Т. И., директор на 33 ОУ „Санкт Петербург“ – София. В сигналите се твърди, че дъщерята на И. – Р. Б. и нейният съпруг Л. Б. работят в училището, което тя ръководи, както и че внучката ѝ посещава подготвителна група без да отговаря на изискванията.</w:t>
      </w:r>
    </w:p>
    <w:p w:rsidR="00000000" w:rsidDel="00000000" w:rsidP="00000000" w:rsidRDefault="00000000" w:rsidRPr="00000000" w14:paraId="00000028">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В рамките на проверката Регионално управление на образуванието (РУО) – София - град предоставило документи за служебния статут на Т. И., всички трудови договори, допълнителни споразумения, заявления и документи по подборите за заеманите от Р. и Л. Б. длъжности, както и всички поименни щатни разписания за периода 2021–2024 г. Представени са заповеди за самоотводи на директорката и определяне на комисии, документи за командировки в Лондон, Албена и Кипър, фишове за възнаграждения, заповеди за изплащане на допълнителни трудови възнаграждения, както и кореспонденция относно посещенията на внучката А. Б. в подготвителна група. Налице са и документи на РУО- София- град, послужили като основание за определянето и изплащането на допълнителните трудови възнаграждения- доклади на гл.счетоводител до директора и заповеди на директора на 33- то ОУ „Санкт Петербург“- гр. София, както и мн. други документи.</w:t>
      </w:r>
    </w:p>
    <w:p w:rsidR="00000000" w:rsidDel="00000000" w:rsidP="00000000" w:rsidRDefault="00000000" w:rsidRPr="00000000" w14:paraId="00000029">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Установено е, че Т. И. е директор на 33- то ОУ „Санкт Петербург“- гр. София от 17.08.2020 г., Р. Б. е нейна дъщеря, а Л. Б. – зет, като двамата имат дете- А. Б.. Трудовите договори на Л. Б. за длъжностите „работник поддръжка на сгради“ (8 часов работен ден) и „работник поддръжка на плувен басейн“ (непълно работно време, на 4 часа) са сключени на 22.06.2021 г. и подписани от зам.-директора И. Ф. поради самоотвод на директорката Т. И.. От документите по подборите е видно, че Л. Б. е бил единственият кандидат, като по преписката липсват доказателства за публично обявяване на свободните позиции в Бюрото по труда, в РУО - София - град или друга общодостъпна платформа. Впоследствие той е преназначаван и на длъжността „архивар“ (на 4 часа) от 01.09.2023 г., отново след самоотводи на И., а договорът му е прекратен на 02.11.2023 г. Сключени са четири допълнителни споразумения към основния договор, всички подписани от зам.-директора, след самоотвод на директорката, с които последователно са увеличавани заплатите му – от 1 200 лв. на 1 320 лв., на 1 400 лв., на 1 540 лв. и на 1 669 лв. При извършен анализ на щатните разписания е установено, че основното му възнаграждение е значително по-високо от възнагражденията на останалия непедагогически персонал, включително на длъжности, изискващи по-висока квалификация.</w:t>
      </w:r>
    </w:p>
    <w:p w:rsidR="00000000" w:rsidDel="00000000" w:rsidP="00000000" w:rsidRDefault="00000000" w:rsidRPr="00000000" w14:paraId="0000002A">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Р. Б. е участвала в подбор през 2022 г. за длъжността „учител в група за целодневна организация на учебния ден“. Тя представила диплома за акушерка и уверение от Нов български университет - гр. София, специалност „Бизнес администрация, мениджмънт и лидерство“ за обучения, но не притежавала необходимата педагогическа квалификация „учител“, съгласно Наредба № 15/2019 г. за статута и професионалното развитие на учителите, директорите и другите педагогически специалисти. Съгласно чл. 11, ал. 2 от Наредба № 15/22.07.2019 г. за статута и професионалното развитие на учителите, директорите и другите педагогически специалисти, длъжността „учител в група за целодневна организация на учебния ден“ се заема от лица, придобили висше образование и професионална квалификация „учител“, съгласно т. 3.5 от Приложение № 1 към чл. 10. Въпреки това комисията я допуснала до интервю, ведно с още 11 кандидати, а впоследствие я предложила като резервен кандидат с още двама човека. С подписан от зам.-директор М. Х. Т. договор № 2306/15.11.2022 г., след самоотвод на Т. И., тя е назначена като „учител ГЦОУД“ с основно възнаграждение 1 420 лв. През 2023 г. е проведена вътрешна процедура за „ресурсен учител“, при която не са установени данни за действително обявяване на свободната позиция. Единствените подадени документи са от Р. Б., за която е установено, че не притежава необходимата квалификация „Специална педагогика“ или да има придобита допълнителна професионална квалификация по специална педагогика. Комисията обаче е приела, че отговаря на условията и с Трудов договор № 2389/11.09.2023 г. е назначена на тази длъжност, на 4-часов работен ден, подписан след самоотвод на И.. Договорът е бил прекратен на 02.11.2023 г.</w:t>
      </w:r>
    </w:p>
    <w:p w:rsidR="00000000" w:rsidDel="00000000" w:rsidP="00000000" w:rsidRDefault="00000000" w:rsidRPr="00000000" w14:paraId="0000002B">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По отношение на описаните подробно в обстоятелствената част на решението командировки е установено следното:</w:t>
      </w:r>
    </w:p>
    <w:p w:rsidR="00000000" w:rsidDel="00000000" w:rsidP="00000000" w:rsidRDefault="00000000" w:rsidRPr="00000000" w14:paraId="0000002C">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За работното посещение в Лондон (29.03–01.04.2023 г.) Р. Б. е командирована след самоотвод на И., а самата И. също е командирована от РУО - София. И двете отчитат дневни в размер на 118 евро, докато по Наредбата за служебните командировки и специализации в чужбина (НСКСЧ) за Великобритания дневните са 59 евро, като не са представени доказателства за издаване на заповед за увеличен размер по чл. 17, ал. 1 от НСКСЧ. При пътуването в к.к. „А.“ (08–11.06.2023 г.) Б. е определена като придружител, без да има отношение към художествената дейност на участниците, а в пътуването е участвал и Л. Б., въпреки че е бил в платен отпуск. За работното посещение в Кипър (16–19.03.2024 г.) И. е отчела дневни по 106 евро, вместо нормативните 53 евро. За посещението в Дубай през април 2024 г. липсват данни за разходи и финансиране, като И. е ползвала служебен отпуск, а Р. Б. – неплатен отпуск.</w:t>
      </w:r>
    </w:p>
    <w:p w:rsidR="00000000" w:rsidDel="00000000" w:rsidP="00000000" w:rsidRDefault="00000000" w:rsidRPr="00000000" w14:paraId="0000002D">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След извършен анализ на заповедите за изплащане на допълнителни трудови възнаграждения (ДТВ) по различни поводи (Коледа, 24 май, 1 ноември и др.) е установено, че във всички случаи И. се е самоотвеждала в частта, касаеща свързаните с нея лица, но чрез издаваните от нея заповеди е възлагала на заместник-директорите да извършват действията по начисляване и изплащане. Установено е, че Л. Б. е получавал значително по-високи ДТВ от останалите непедагогически служители, а И. е получавала ДТВ, които са били определени от РУО- София чрез отделни заповеди. Представените щатни разписания установяват, че възнагражденията на Л. Б. значително надхвърлят тези на сходни или по-високо квалифицирани служители, а при Р. Б. възнагражденията са в диапазона на педагогическите специалисти.</w:t>
      </w:r>
    </w:p>
    <w:p w:rsidR="00000000" w:rsidDel="00000000" w:rsidP="00000000" w:rsidRDefault="00000000" w:rsidRPr="00000000" w14:paraId="0000002E">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КПК приела, че Т. И., като лице по чл. 6, ал. 1, т. 50 от ЗПК, е упражнила служебните си правомощия в частен интерес на свързаните с нея лица, като чрез издаване на заповеди и възлагане на действия на подчинените си е осигурила на дъщеря си и на зет си облагодетелстване при назначения, възнаграждения, преназначавания, командировки и участия в служебни дейности. Самоотводите формално декларират наличие на конфликт, но не предотвратяват влиянието върху подчинените, доколкото И.. продължава да ръководи процеса чрез властнически актове. Комисията приела, че поведението ѝ нарушава чл. 57, чл. 58 и чл. 60 от ЗПКОНПИ (отм.) и съответно чл. 75, чл. 76 и чл. 78 от ЗПК, като се установява конфликт на интереси.</w:t>
      </w:r>
    </w:p>
    <w:p w:rsidR="00000000" w:rsidDel="00000000" w:rsidP="00000000" w:rsidRDefault="00000000" w:rsidRPr="00000000" w14:paraId="0000002F">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С обжалваното решение съдът е приел, че оспореният пред него административен акт е издаден от компетентен специализиран орган, в предвидената от закона писмена форма, при наличие на фактически и правни основания за постановяването му, в съответствие с материалния закон и при липсата на съществени нарушения на административнопроизводствените правила.</w:t>
      </w:r>
    </w:p>
    <w:p w:rsidR="00000000" w:rsidDel="00000000" w:rsidP="00000000" w:rsidRDefault="00000000" w:rsidRPr="00000000" w14:paraId="00000030">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Решението е правилно.</w:t>
      </w:r>
    </w:p>
    <w:p w:rsidR="00000000" w:rsidDel="00000000" w:rsidP="00000000" w:rsidRDefault="00000000" w:rsidRPr="00000000" w14:paraId="00000031">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Съгласно разпоредбата на чл. 52 от ЗПКОНПИ (отм.)/ чл. 70 от ЗПК/ конфликт на интереси възниква, когато лице заемащо висша публична длъжност има частен интерес, който може да повлияе върху безпристрастното и обективно изпълнение на правомощията или задълженията му по служба.</w:t>
      </w:r>
    </w:p>
    <w:p w:rsidR="00000000" w:rsidDel="00000000" w:rsidP="00000000" w:rsidRDefault="00000000" w:rsidRPr="00000000" w14:paraId="00000032">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Разпоредбата на чл.71 ЗПК, съответно чл. 53 от ЗПКОНПИ (отм.), определя, че частен е всеки интерес, който води до облага от материален или нематериален характер за лице, заемащо публична длъжност, или за свързани с него лица, включително всяко поето задължение. Във връзка с горното чл.72 ЗПК /чл. 54 ЗПКОНПИ (отм.)/ гласи, че облага представлява всеки доход в пари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ниска от пазарните, получаване на привилегия или почести, помощ, глас, подкрепа или влияние, предимство, получаване на или обещания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3">
      <w:pPr>
        <w:shd w:fill="ffffff" w:val="clear"/>
        <w:spacing w:before="75" w:lineRule="auto"/>
        <w:ind w:firstLine="708"/>
        <w:jc w:val="both"/>
        <w:rPr>
          <w:rFonts w:ascii="Open Sans" w:cs="Open Sans" w:eastAsia="Open Sans" w:hAnsi="Open Sans"/>
          <w:color w:val="222222"/>
          <w:sz w:val="24"/>
          <w:szCs w:val="24"/>
        </w:rPr>
      </w:pPr>
      <w:bookmarkStart w:colFirst="0" w:colLast="0" w:name="_njntcz5tm818" w:id="0"/>
      <w:bookmarkEnd w:id="0"/>
      <w:r w:rsidDel="00000000" w:rsidR="00000000" w:rsidRPr="00000000">
        <w:rPr>
          <w:rFonts w:ascii="Open Sans" w:cs="Open Sans" w:eastAsia="Open Sans" w:hAnsi="Open Sans"/>
          <w:color w:val="222222"/>
          <w:sz w:val="24"/>
          <w:szCs w:val="24"/>
          <w:rtl w:val="0"/>
        </w:rPr>
        <w:t xml:space="preserve">На първо място съдът правилно е приел, че Т. И., като директор на 33-то ОУ „Санкт Петербург“- гр. София, е лице, заемащо висша публична длъжност по смисъла на чл. 6 ЗПК, поради което за нея се прилагат ограниченията и забраните на ЗПКОНПИ/ЗПК. Съгласно чл. 60 ЗПКОНПИ (отм.), съотв. 78 от ЗПК, лице, заемащо публична длъжност, няма право да използва или да разрешава използването в частен интерес на информация, получена при изпълнението на правомощията или задълженията му по служба, докато заема длъжността и една година след напускането, освен ако в специален закон е предвидено друго. С оглед установеното, съдът обосновано е стигнал до извод, че Т. И. е използвала служебна информация в частен интерес на свързано лице – нейният зет Л. Б. – при назначаването му на длъжности „поддръжка“ и „поддръжка на басейн“. Тази информация не е била публично достъпна и е достигнала единствено до него чрез Т. И., което е в противоречие с разпоредбата на чл. 78 ЗПК. Правилно оказаната помощ, изразяваща се в получаване на предимство и привилегия за Л. Б. при подаването на заявление за заемане на длъжностите „работник поддръжка“ и „работник поддръжка на плувен басейн“ е квалифицирана като облага по чл. чл. 54 ЗПКОНПИ (отм.), респ. чл. 72 от ЗПК. Тя е реална, осъществена и представлява предимство за свързаното лице, а не хипотетичен интерес.</w:t>
      </w:r>
    </w:p>
    <w:p w:rsidR="00000000" w:rsidDel="00000000" w:rsidP="00000000" w:rsidRDefault="00000000" w:rsidRPr="00000000" w14:paraId="00000034">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Съдът правилно и обосновано е приел, че назначенията на Р. Б. като „учител ЦОУД“ и впоследствие като „ресурсен учител“ са извършени в нарушение на Наредба № 15/2019 г., тъй като тя не е притежавала изискуемата квалификация за нито една от длъжностите. Независимо от формално проведените процедури, Т. И. е осигурила на дъщеря си предимство – както при първоначалното назначаване, така и чрез допълнителен трудов договор и съответните възнаграждения.</w:t>
      </w:r>
    </w:p>
    <w:p w:rsidR="00000000" w:rsidDel="00000000" w:rsidP="00000000" w:rsidRDefault="00000000" w:rsidRPr="00000000" w14:paraId="00000035">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Правилен е изводът на съда, че КПК е установила конфликт на интереси по чл. 57 от ЗПКОНПИ (отм.), съотв. чл. 75 от ЗПК. Т. И. е използвала служебното си положение, за да упражнява влияние върху заместник-директорите – свои подчинени – чрез издаване на заповеди, с които им е възлагала действия в полза на Р. Б. (дъщеря) и Л. Б. (зет). Налице са отношения на власт и подчинение, които позволяват влияние, а резултатът е осигуряване на работа, допълнителни трудови договори, участие в командировки и получаване на по-високи възнаграждения. Налице са материални и нематериални облаги, които се изразяват в назначение на Р. Б. без необходимата по Наредба № 15 квалификация и извън нормативните предпоставки, а за Л. Б. - необосновано високо първоначално възнаграждение (1200 лв., значително над МРЗ и над възнагражденията на други непедагогически специалисти), както и редица допълнителни договори и възнаграждения.</w:t>
      </w:r>
    </w:p>
    <w:p w:rsidR="00000000" w:rsidDel="00000000" w:rsidP="00000000" w:rsidRDefault="00000000" w:rsidRPr="00000000" w14:paraId="00000036">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В своята съдебна практика Върховният административен съд последователно поддържа становището, какъвто е и настоящият случай, че конфликт на интереси възниква не при реално настъпила вреда, а при осъществяване на правомощие в частен интерес, което само по себе си поражда съмнение в безпристрастното упражняване на публична власт. Не е необходимо настъпване на вреди, а е достатъчно актът да е в частен интерес. В конкретния случай многократно са издавани подобни актове – заповеди за назначения, допълнителни възнаграждения, командировки и други актове относно свързани с Т. И. лица. От събраните доказателства недвусмислено се установява, че тези действия са извършени в частен интерес на дъщеря й и нейния съпруг, което осъществява фактическия състав на конфликта на интереси. Безспорно е установено, че изброените актове по-горе са насочени конкретно към предоставяне на облаги на определени лица.</w:t>
      </w:r>
    </w:p>
    <w:p w:rsidR="00000000" w:rsidDel="00000000" w:rsidP="00000000" w:rsidRDefault="00000000" w:rsidRPr="00000000" w14:paraId="00000037">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С оглед спецификата на висшата публична длъжност, изпълнението на задълженията и осъществяването на правомощията, които са й вменени, не следва да допускат наличие на съмнение за съществуването на частен интерес при реализирането им. Изложените съображения се извеждат от целта на ЗПКОНПИ, а именно- да се попречи не само на възможността за незаконно обогатяване и/или получаване на облага чрез използване на служебното положение на лицето, но и да се изключи каквото и да е било съмнение, че такива действия ще бъдат осъществени при реализиране на правомощията на лицето.</w:t>
      </w:r>
    </w:p>
    <w:p w:rsidR="00000000" w:rsidDel="00000000" w:rsidP="00000000" w:rsidRDefault="00000000" w:rsidRPr="00000000" w14:paraId="00000038">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По изложените съображения решението, като правилно, следва да бъде оставено в сила, като настоящата инстанция споделя напълно мотивите на първата инстанция относно обсъждането на доказателствата и фактическите правни изводи въз основа на тях. Правилни са фактическите и правни изводи относно размера на глобата, както и относно размера и основанието за отнетите суми в полза на държавата.</w:t>
      </w:r>
    </w:p>
    <w:p w:rsidR="00000000" w:rsidDel="00000000" w:rsidP="00000000" w:rsidRDefault="00000000" w:rsidRPr="00000000" w14:paraId="00000039">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При този изход на делото основателно се явява искането на ответника за присъждане на юрисконсултско възнаграждение. Същото следва да се присъди в размер на 100 лева, определено на основание чл. 143, ал.3 АПК, във връзка с чл. 37, ал. 1 от Закона за правната помощ и чл. 24 от Наредбата за заплащането на правната помощ.</w:t>
      </w:r>
    </w:p>
    <w:p w:rsidR="00000000" w:rsidDel="00000000" w:rsidP="00000000" w:rsidRDefault="00000000" w:rsidRPr="00000000" w14:paraId="0000003A">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Мотивиран от горното и на основание чл. 221, ал. 2, изречение първо, предл. първо от АПК, Върховният административен съд, шесто отделение,</w:t>
      </w:r>
    </w:p>
    <w:p w:rsidR="00000000" w:rsidDel="00000000" w:rsidP="00000000" w:rsidRDefault="00000000" w:rsidRPr="00000000" w14:paraId="0000003B">
      <w:pPr>
        <w:shd w:fill="ffffff" w:val="clear"/>
        <w:spacing w:before="75" w:lineRule="auto"/>
        <w:ind w:firstLine="708"/>
        <w:jc w:val="center"/>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 </w:t>
      </w:r>
    </w:p>
    <w:p w:rsidR="00000000" w:rsidDel="00000000" w:rsidP="00000000" w:rsidRDefault="00000000" w:rsidRPr="00000000" w14:paraId="0000003C">
      <w:pPr>
        <w:shd w:fill="ffffff" w:val="clear"/>
        <w:spacing w:before="75" w:lineRule="auto"/>
        <w:ind w:firstLine="708"/>
        <w:jc w:val="center"/>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 </w:t>
      </w:r>
    </w:p>
    <w:p w:rsidR="00000000" w:rsidDel="00000000" w:rsidP="00000000" w:rsidRDefault="00000000" w:rsidRPr="00000000" w14:paraId="0000003D">
      <w:pPr>
        <w:shd w:fill="ffffff" w:val="clear"/>
        <w:spacing w:before="75" w:lineRule="auto"/>
        <w:ind w:firstLine="708"/>
        <w:jc w:val="center"/>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 </w:t>
      </w:r>
    </w:p>
    <w:p w:rsidR="00000000" w:rsidDel="00000000" w:rsidP="00000000" w:rsidRDefault="00000000" w:rsidRPr="00000000" w14:paraId="0000003E">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b w:val="1"/>
          <w:bCs w:val="1"/>
          <w:color w:val="222222"/>
          <w:sz w:val="24"/>
          <w:szCs w:val="24"/>
          <w:rtl w:val="0"/>
        </w:rPr>
        <w:t xml:space="preserve">Р Е Ш И:</w:t>
      </w:r>
      <w:r w:rsidDel="00000000" w:rsidR="00000000" w:rsidRPr="00000000">
        <w:rPr>
          <w:rtl w:val="0"/>
        </w:rPr>
      </w:r>
    </w:p>
    <w:p w:rsidR="00000000" w:rsidDel="00000000" w:rsidP="00000000" w:rsidRDefault="00000000" w:rsidRPr="00000000" w14:paraId="0000003F">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 </w:t>
      </w:r>
    </w:p>
    <w:p w:rsidR="00000000" w:rsidDel="00000000" w:rsidP="00000000" w:rsidRDefault="00000000" w:rsidRPr="00000000" w14:paraId="00000040">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b w:val="1"/>
          <w:bCs w:val="1"/>
          <w:color w:val="222222"/>
          <w:sz w:val="24"/>
          <w:szCs w:val="24"/>
          <w:rtl w:val="0"/>
        </w:rPr>
        <w:t xml:space="preserve">ОСТАВЯ В СИЛА</w:t>
      </w:r>
      <w:r w:rsidDel="00000000" w:rsidR="00000000" w:rsidRPr="00000000">
        <w:rPr>
          <w:rFonts w:ascii="Arial" w:cs="Arial" w:eastAsia="Arial" w:hAnsi="Arial"/>
          <w:color w:val="222222"/>
          <w:sz w:val="24"/>
          <w:szCs w:val="24"/>
          <w:rtl w:val="0"/>
        </w:rPr>
        <w:t xml:space="preserve"> Решение № 433/02.04.2025 г., постановено по адм. дело № 1502/2024 по описа на Административен съд София – област.</w:t>
      </w:r>
    </w:p>
    <w:p w:rsidR="00000000" w:rsidDel="00000000" w:rsidP="00000000" w:rsidRDefault="00000000" w:rsidRPr="00000000" w14:paraId="00000041">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b w:val="1"/>
          <w:bCs w:val="1"/>
          <w:color w:val="222222"/>
          <w:sz w:val="24"/>
          <w:szCs w:val="24"/>
          <w:rtl w:val="0"/>
        </w:rPr>
        <w:t xml:space="preserve">ОСЪЖДА</w:t>
      </w:r>
      <w:r w:rsidDel="00000000" w:rsidR="00000000" w:rsidRPr="00000000">
        <w:rPr>
          <w:rFonts w:ascii="Open Sans" w:cs="Open Sans" w:eastAsia="Open Sans" w:hAnsi="Open Sans"/>
          <w:color w:val="222222"/>
          <w:sz w:val="24"/>
          <w:szCs w:val="24"/>
          <w:rtl w:val="0"/>
        </w:rPr>
        <w:t xml:space="preserve"> Т. Е. И. да заплати на Комисия за противодействие на корупцията сторените разноски в касационното производство в размер на 100 (сто) лева.</w:t>
      </w:r>
    </w:p>
    <w:p w:rsidR="00000000" w:rsidDel="00000000" w:rsidP="00000000" w:rsidRDefault="00000000" w:rsidRPr="00000000" w14:paraId="00000042">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Решението е окончателно.</w:t>
      </w:r>
    </w:p>
    <w:p w:rsidR="00000000" w:rsidDel="00000000" w:rsidP="00000000" w:rsidRDefault="00000000" w:rsidRPr="00000000" w14:paraId="00000043">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 </w:t>
      </w:r>
    </w:p>
    <w:p w:rsidR="00000000" w:rsidDel="00000000" w:rsidP="00000000" w:rsidRDefault="00000000" w:rsidRPr="00000000" w14:paraId="00000044">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 </w:t>
      </w:r>
    </w:p>
    <w:p w:rsidR="00000000" w:rsidDel="00000000" w:rsidP="00000000" w:rsidRDefault="00000000" w:rsidRPr="00000000" w14:paraId="00000045">
      <w:pPr>
        <w:shd w:fill="ffffff" w:val="clear"/>
        <w:spacing w:before="75" w:lineRule="auto"/>
        <w:rPr>
          <w:rFonts w:ascii="Arial" w:cs="Arial" w:eastAsia="Arial" w:hAnsi="Arial"/>
          <w:color w:val="222222"/>
          <w:sz w:val="18"/>
          <w:szCs w:val="18"/>
        </w:rPr>
      </w:pPr>
      <w:r w:rsidDel="00000000" w:rsidR="00000000" w:rsidRPr="00000000">
        <w:rPr>
          <w:rFonts w:ascii="Arial" w:cs="Arial" w:eastAsia="Arial" w:hAnsi="Arial"/>
          <w:color w:val="222222"/>
          <w:sz w:val="18"/>
          <w:szCs w:val="18"/>
          <w:rtl w:val="0"/>
        </w:rPr>
        <w:t xml:space="preserve"> </w:t>
      </w:r>
    </w:p>
    <w:tbl>
      <w:tblPr>
        <w:tblStyle w:val="Table2"/>
        <w:tblW w:w="11700.0" w:type="dxa"/>
        <w:jc w:val="left"/>
        <w:tblLayout w:type="fixed"/>
        <w:tblLook w:val="0400"/>
      </w:tblPr>
      <w:tblGrid>
        <w:gridCol w:w="4018"/>
        <w:gridCol w:w="3614"/>
        <w:gridCol w:w="4068"/>
        <w:tblGridChange w:id="0">
          <w:tblGrid>
            <w:gridCol w:w="4018"/>
            <w:gridCol w:w="3614"/>
            <w:gridCol w:w="4068"/>
          </w:tblGrid>
        </w:tblGridChange>
      </w:tblGrid>
      <w:tr>
        <w:trPr>
          <w:cantSplit w:val="0"/>
          <w:tblHeader w:val="0"/>
        </w:trPr>
        <w:tc>
          <w:tcPr/>
          <w:p w:rsidR="00000000" w:rsidDel="00000000" w:rsidP="00000000" w:rsidRDefault="00000000" w:rsidRPr="00000000" w14:paraId="0000004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p w:rsidR="00000000" w:rsidDel="00000000" w:rsidP="00000000" w:rsidRDefault="00000000" w:rsidRPr="00000000" w14:paraId="00000047">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vAlign w:val="center"/>
          </w:tcPr>
          <w:p w:rsidR="00000000" w:rsidDel="00000000" w:rsidP="00000000" w:rsidRDefault="00000000" w:rsidRPr="00000000" w14:paraId="0000004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p w:rsidR="00000000" w:rsidDel="00000000" w:rsidP="00000000" w:rsidRDefault="00000000" w:rsidRPr="00000000" w14:paraId="00000049">
            <w:pP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color w:val="000000"/>
                <w:sz w:val="24"/>
                <w:szCs w:val="24"/>
                <w:rtl w:val="0"/>
              </w:rPr>
              <w:t xml:space="preserve">Вярно с оригинала,</w:t>
            </w:r>
            <w:r w:rsidDel="00000000" w:rsidR="00000000" w:rsidRPr="00000000">
              <w:rPr>
                <w:rtl w:val="0"/>
              </w:rPr>
            </w:r>
          </w:p>
        </w:tc>
        <w:tc>
          <w:tcPr/>
          <w:p w:rsidR="00000000" w:rsidDel="00000000" w:rsidP="00000000" w:rsidRDefault="00000000" w:rsidRPr="00000000" w14:paraId="0000004A">
            <w:pPr>
              <w:jc w:val="right"/>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smallCaps w:val="1"/>
                <w:color w:val="000000"/>
                <w:sz w:val="24"/>
                <w:szCs w:val="24"/>
                <w:rtl w:val="0"/>
              </w:rPr>
              <w:t xml:space="preserve">ПРЕДСЕДАТЕЛ:</w:t>
            </w:r>
            <w:r w:rsidDel="00000000" w:rsidR="00000000" w:rsidRPr="00000000">
              <w:rPr>
                <w:rtl w:val="0"/>
              </w:rPr>
            </w:r>
          </w:p>
        </w:tc>
        <w:tc>
          <w:tcPr>
            <w:vAlign w:val="center"/>
          </w:tcPr>
          <w:p w:rsidR="00000000" w:rsidDel="00000000" w:rsidP="00000000" w:rsidRDefault="00000000" w:rsidRPr="00000000" w14:paraId="0000004B">
            <w:pP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/п/ ГЕОРГИ ГЕОРГИЕВ</w:t>
            </w:r>
            <w:r w:rsidDel="00000000" w:rsidR="00000000" w:rsidRPr="00000000">
              <w:rPr>
                <w:rFonts w:ascii="Times New Roman" w:cs="Times New Roman" w:eastAsia="Times New Roman" w:hAnsi="Times New Roman"/>
                <w:sz w:val="24"/>
                <w:szCs w:val="24"/>
                <w:rtl w:val="0"/>
              </w:rPr>
              <w:br w:type="textWrapping"/>
              <w:t xml:space="preserve"> </w:t>
            </w:r>
          </w:p>
        </w:tc>
      </w:tr>
      <w:tr>
        <w:trPr>
          <w:cantSplit w:val="0"/>
          <w:tblHeader w:val="0"/>
        </w:trPr>
        <w:tc>
          <w:tcPr/>
          <w:p w:rsidR="00000000" w:rsidDel="00000000" w:rsidP="00000000" w:rsidRDefault="00000000" w:rsidRPr="00000000" w14:paraId="0000004C">
            <w:pP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color w:val="000000"/>
                <w:sz w:val="24"/>
                <w:szCs w:val="24"/>
                <w:rtl w:val="0"/>
              </w:rPr>
              <w:t xml:space="preserve">секретар:</w:t>
            </w:r>
            <w:r w:rsidDel="00000000" w:rsidR="00000000" w:rsidRPr="00000000">
              <w:rPr>
                <w:rtl w:val="0"/>
              </w:rPr>
            </w:r>
          </w:p>
        </w:tc>
        <w:tc>
          <w:tcPr/>
          <w:p w:rsidR="00000000" w:rsidDel="00000000" w:rsidP="00000000" w:rsidRDefault="00000000" w:rsidRPr="00000000" w14:paraId="0000004D">
            <w:pPr>
              <w:jc w:val="right"/>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smallCaps w:val="1"/>
                <w:color w:val="000000"/>
                <w:sz w:val="24"/>
                <w:szCs w:val="24"/>
                <w:rtl w:val="0"/>
              </w:rPr>
              <w:t xml:space="preserve">ЧЛЕНОВЕ:</w:t>
            </w:r>
            <w:r w:rsidDel="00000000" w:rsidR="00000000" w:rsidRPr="00000000">
              <w:rPr>
                <w:rtl w:val="0"/>
              </w:rPr>
            </w:r>
          </w:p>
        </w:tc>
        <w:tc>
          <w:tcPr>
            <w:vAlign w:val="center"/>
          </w:tcPr>
          <w:p w:rsidR="00000000" w:rsidDel="00000000" w:rsidP="00000000" w:rsidRDefault="00000000" w:rsidRPr="00000000" w14:paraId="0000004E">
            <w:pP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/п/ ДЕСИСЛАВА СТОЕВА</w:t>
              <w:br w:type="textWrapping"/>
              <w:br w:type="textWrapping"/>
              <w:t xml:space="preserve">/п/ ЯВОР КОЛЕВ</w:t>
            </w:r>
            <w:r w:rsidDel="00000000" w:rsidR="00000000" w:rsidRPr="00000000">
              <w:rPr>
                <w:rtl w:val="0"/>
              </w:rPr>
            </w:r>
          </w:p>
        </w:tc>
      </w:tr>
    </w:tbl>
    <w:p w:rsidR="00000000" w:rsidDel="00000000" w:rsidP="00000000" w:rsidRDefault="00000000" w:rsidRPr="00000000" w14:paraId="0000004F">
      <w:pPr>
        <w:rPr/>
      </w:pPr>
      <w:r w:rsidDel="00000000" w:rsidR="00000000" w:rsidRPr="00000000">
        <w:rPr>
          <w:rtl w:val="0"/>
        </w:rPr>
      </w:r>
    </w:p>
    <w:sectPr>
      <w:pgSz w:h="16838" w:w="11906" w:orient="portrait"/>
      <w:pgMar w:bottom="1134" w:top="1134" w:left="1417"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Arial Unicode MS"/>
  <w:font w:name="Times New Roman"/>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