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sv2c2m882p34" w:id="0"/>
    <w:bookmarkEnd w:id="0"/>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rtl w:val="0"/>
        </w:rPr>
        <w:t xml:space="preserve">Р Е Ш Е Н И Е</w:t>
      </w:r>
    </w:p>
    <w:bookmarkStart w:colFirst="0" w:colLast="0" w:name="k9vecvx4nybp" w:id="1"/>
    <w:bookmarkEnd w:id="1"/>
    <w:p w:rsidR="00000000" w:rsidDel="00000000" w:rsidP="00000000" w:rsidRDefault="00000000" w:rsidRPr="00000000" w14:paraId="00000002">
      <w:pPr>
        <w:jc w:val="center"/>
        <w:rPr>
          <w:rFonts w:ascii="Calibri" w:cs="Calibri" w:eastAsia="Calibri" w:hAnsi="Calibri"/>
        </w:rPr>
      </w:pPr>
      <w:r w:rsidDel="00000000" w:rsidR="00000000" w:rsidRPr="00000000">
        <w:rPr>
          <w:rFonts w:ascii="Calibri" w:cs="Calibri" w:eastAsia="Calibri" w:hAnsi="Calibri"/>
          <w:rtl w:val="0"/>
        </w:rPr>
        <w:t xml:space="preserve">№ 4132</w:t>
      </w:r>
    </w:p>
    <w:p w:rsidR="00000000" w:rsidDel="00000000" w:rsidP="00000000" w:rsidRDefault="00000000" w:rsidRPr="00000000" w14:paraId="00000003">
      <w:pPr>
        <w:spacing w:after="240" w:lineRule="auto"/>
        <w:jc w:val="center"/>
        <w:rPr>
          <w:rFonts w:ascii="Calibri" w:cs="Calibri" w:eastAsia="Calibri" w:hAnsi="Calibri"/>
        </w:rPr>
      </w:pPr>
      <w:r w:rsidDel="00000000" w:rsidR="00000000" w:rsidRPr="00000000">
        <w:rPr>
          <w:rFonts w:ascii="Calibri" w:cs="Calibri" w:eastAsia="Calibri" w:hAnsi="Calibri"/>
          <w:rtl w:val="0"/>
        </w:rPr>
        <w:t xml:space="preserve">гр. София, 17.06.2019 г.</w:t>
      </w:r>
    </w:p>
    <w:bookmarkStart w:colFirst="0" w:colLast="0" w:name="m16otkq7wrwl" w:id="2"/>
    <w:bookmarkEnd w:id="2"/>
    <w:p w:rsidR="00000000" w:rsidDel="00000000" w:rsidP="00000000" w:rsidRDefault="00000000" w:rsidRPr="00000000" w14:paraId="00000004">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В ИМЕТО НА НАРОДА АДМИНИСТРАТИВЕН СЪД - СОФИЯ-ГРАД, Второ отделение 30 състав, в публично заседание на 16.05.2019г. в следния състав:</w:t>
      </w:r>
    </w:p>
    <w:bookmarkStart w:colFirst="0" w:colLast="0" w:name="x1uqehog9k54" w:id="3"/>
    <w:bookmarkEnd w:id="3"/>
    <w:p w:rsidR="00000000" w:rsidDel="00000000" w:rsidP="00000000" w:rsidRDefault="00000000" w:rsidRPr="00000000" w14:paraId="00000005">
      <w:pPr>
        <w:spacing w:after="240" w:lineRule="auto"/>
        <w:jc w:val="right"/>
        <w:rPr>
          <w:rFonts w:ascii="Calibri" w:cs="Calibri" w:eastAsia="Calibri" w:hAnsi="Calibri"/>
        </w:rPr>
      </w:pPr>
      <w:r w:rsidDel="00000000" w:rsidR="00000000" w:rsidRPr="00000000">
        <w:rPr>
          <w:rFonts w:ascii="Calibri" w:cs="Calibri" w:eastAsia="Calibri" w:hAnsi="Calibri"/>
          <w:rtl w:val="0"/>
        </w:rPr>
        <w:t xml:space="preserve">СЪДИЯ: Любка Петрова</w:t>
      </w:r>
    </w:p>
    <w:bookmarkStart w:colFirst="0" w:colLast="0" w:name="ifn64sba2q5i" w:id="4"/>
    <w:bookmarkEnd w:id="4"/>
    <w:p w:rsidR="00000000" w:rsidDel="00000000" w:rsidP="00000000" w:rsidRDefault="00000000" w:rsidRPr="00000000" w14:paraId="00000006">
      <w:pPr>
        <w:spacing w:after="240" w:lineRule="auto"/>
        <w:jc w:val="both"/>
        <w:rPr>
          <w:rFonts w:ascii="Calibri" w:cs="Calibri" w:eastAsia="Calibri" w:hAnsi="Calibri"/>
        </w:rPr>
      </w:pPr>
      <w:bookmarkStart w:colFirst="0" w:colLast="0" w:name="_dlboelr9bphd" w:id="5"/>
      <w:bookmarkEnd w:id="5"/>
      <w:r w:rsidDel="00000000" w:rsidR="00000000" w:rsidRPr="00000000">
        <w:rPr>
          <w:rFonts w:ascii="Calibri" w:cs="Calibri" w:eastAsia="Calibri" w:hAnsi="Calibri"/>
          <w:rtl w:val="0"/>
        </w:rPr>
        <w:t xml:space="preserve">при участието на секретаря А.С., като разгледа дело номер 1343 по описа за 2019 година докладвано от съдията, и за да се произнесе взе предвид следното:</w:t>
      </w:r>
    </w:p>
    <w:p w:rsidR="00000000" w:rsidDel="00000000" w:rsidP="00000000" w:rsidRDefault="00000000" w:rsidRPr="00000000" w14:paraId="00000007">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Производството е по реда на чл.145 - чл.178 от Административно - процесуалния кодекс /АПК/, във връзка с чл.27, ал.5 от Закона за предотвратяване и установяване на конфликт на интереси /ЗПУКИ - отм./.</w:t>
      </w:r>
    </w:p>
    <w:p w:rsidR="00000000" w:rsidDel="00000000" w:rsidP="00000000" w:rsidRDefault="00000000" w:rsidRPr="00000000" w14:paraId="00000008">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Образувано е по жалба на И.С.Н., ЕГН [ЕГН], с постоянен адрес в [населено място] ***, срещу Решение № РС-194-17-079 от 19.12.2018г. по описа на Комисията за предотвратяване на корупцията и отнемане на незаконно придобитото имущество /КПКОНПИ/. С оспореното решение е установен конфликт на интереси по отношение на жалбоподателката за това, че в качеството и на директор на 69 СОУ „***“ [населено място] при упражняването на правомощията и по служба свързани с назначаването на дъщеря и С.В.К. на длъжността „младши възпитател“ в същото училище, както и при последвалите допълнителни споразумения е извършила нарушение на чл.8, изречение 2, предложение 1 от ЗПУКИ- отм., както и неподаване на декларации по чл.12, т.4 от ЗПУКИ- отм. при сключването на трудовия договор и последващите споразумения, с което е нарушила разпоредбата на чл.16 от ЗПУКИ- отм.</w:t>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В жалбата се твърди, че решението е постановено в противоречие с материалния закон и несъответствие с целта на закона. Счита за неправилен направения от комисия извод за наличие на частен интерес, който би могъл да повлияе върху безпристрастното и обективно изпълнение на служебните й правомощия. Намира, че не са събрани от Комисията достатъчно доказателства, които да разкрият в пълнота</w:t>
      </w:r>
    </w:p>
    <w:p w:rsidR="00000000" w:rsidDel="00000000" w:rsidP="00000000" w:rsidRDefault="00000000" w:rsidRPr="00000000" w14:paraId="0000000A">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обективната истина, с което са нарушени и процесуалноправните изисквания на закона. Претендира се отмяна на оспореното решение, с което е установено наличието на конфликт на интереси по отношение на И.Н. В производството жалбоподателката е представлявана от адвокат П., който поддържа жалбата и излага допълнителни доводи за нейната основателност, включително в писмени бележки. Претендира присъждане на направените по делото разноски и представя списък по чл.80 от ГПК. Ответникът по делото, чрез юрк. Н. оспорва жалбата и моли същата да бъде оставена без уважение. Смята, че решението е законосъобразно. Излага допълнителни доводи и в писмени бележки. Твърди, че чл.2 от ЗПУКИ дава общия състав на конфликт на интереси, като несъвместимостта е формално нарушение и не се иска да е налице облага. Коментирано е и спазването на Закона за народната просвета и правилника за неговото прилагане /отменени понастоящем, но в сила към процесния период на извършване на действията/, както и Инструкция от 1994г.</w:t>
      </w:r>
    </w:p>
    <w:p w:rsidR="00000000" w:rsidDel="00000000" w:rsidP="00000000" w:rsidRDefault="00000000" w:rsidRPr="00000000" w14:paraId="0000000B">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Административен съд София - град, след като се запозна с доказателствата по делото, прецени доводите на страните и съобрази законосъобразността на оспорения административен акт, намира жалбата за ПРОЦЕСУАЛНО ДОПУСТИМА, като подадена от надлежна страна - адресат на индивидуален административен акт с негативни правни последици в неговата правна сфера, в законоустановения срок. Разгледана по същество, жалбата е НЕОСНОВАТЕЛНА по следните съображения: Производството пред административния орган е образувано по сигнал с твърдения, че по отношение на жалбоподателката е установен конфликт на интереси за това, че в качеството й на директор на 69 СОУ „***“ [населено място] е назначила дъщеря си С.В.К. на длъжността „младши възпитател“ в същото училище, в нарушение на чл.8, изр.2, предл. 1 във връзка с чл.35 от ЗПУКИ.</w:t>
      </w:r>
    </w:p>
    <w:p w:rsidR="00000000" w:rsidDel="00000000" w:rsidP="00000000" w:rsidRDefault="00000000" w:rsidRPr="00000000" w14:paraId="0000000C">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Комисията е изпратила писма до Регионалното управление на образованието - С.-град /понастоящем РИО/, за събиране на доказателства, свързани с правния статут на лицето, подадените от него декларации по ЗПУКИ - отм., длъжностни разписания и регистрирани трудови договори.</w:t>
      </w:r>
    </w:p>
    <w:p w:rsidR="00000000" w:rsidDel="00000000" w:rsidP="00000000" w:rsidRDefault="00000000" w:rsidRPr="00000000" w14:paraId="0000000D">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С Покани за изслушване с изх.№ ЦУ01/С-2017-194/#20/#21/09.07.2018г г-жа Н. е поканена за изслушване на 18.07.2018г.</w:t>
      </w:r>
    </w:p>
    <w:p w:rsidR="00000000" w:rsidDel="00000000" w:rsidP="00000000" w:rsidRDefault="00000000" w:rsidRPr="00000000" w14:paraId="0000000E">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В заседанието си на 18.07.2018г. комисията е приела за разглеждане по същество сигнала и представените с него доказателства. Съгласно изискванията на чл.26 ЗПУКИ - отм. комисията е изслушала жалбоподателката в заседанието си.</w:t>
      </w:r>
    </w:p>
    <w:p w:rsidR="00000000" w:rsidDel="00000000" w:rsidP="00000000" w:rsidRDefault="00000000" w:rsidRPr="00000000" w14:paraId="0000000F">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По административната преписка и по делото са събрани доказателства за факти, които не се оспорват - еднократно обявен конкурс през септември 2014г. за същата длъжност - възпитател, назначаване на спечелилите конкурса, след което неочакваното напускане на едно от назначените лица; липса на интерес от страна на други лица за участие в конкурс за съответното място.</w:t>
      </w:r>
    </w:p>
    <w:p w:rsidR="00000000" w:rsidDel="00000000" w:rsidP="00000000" w:rsidRDefault="00000000" w:rsidRPr="00000000" w14:paraId="00000010">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По делото са изслушани свидетелски показания, които съдът кредитира, досежно фактите на провеждане на конкурса и на липса на интерес от страна на лица със съответния образователен ценз, които да кандидатстват за позицията в това столично училище.</w:t>
      </w:r>
    </w:p>
    <w:p w:rsidR="00000000" w:rsidDel="00000000" w:rsidP="00000000" w:rsidRDefault="00000000" w:rsidRPr="00000000" w14:paraId="00000011">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Въз основа на събраните доказателства и изслушването на Н., комисията приема оспореното решение, с което установява конфликт на интереси по отношение на жалбоподателката, изразяващ се в това, че същата като лице, заемащо длъжността Директор е сключила трудов договор в полза на свързаното с нея лице - по смисъла на §1, т.1 от ДР на ЗПУКИ- отм. - С.К. /нейна дъщеря/, в нарушение на чл.8, изр.2, предл. 1 във връзка с чл.35 от ЗПУКИ- отм. Установено е също, че не е подала декларация по чл.12, т.4 от ЗПУКИ- отм. за наличие на частен интерес във връзка с подписването на трудов договор и анекси, в нарушение на чл.16 ЗПУКИ- отм.</w:t>
      </w:r>
    </w:p>
    <w:p w:rsidR="00000000" w:rsidDel="00000000" w:rsidP="00000000" w:rsidRDefault="00000000" w:rsidRPr="00000000" w14:paraId="00000012">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При така установените факти, като извърши по реда на чл.168, ал.1 от АПК цялостна проверка за законосъобразност на оспорения административен акт на всички основания по чл.146 от АПК, Административен съд София - град достигна до следните ПРАВНИ ИЗВОДИ:</w:t>
      </w:r>
    </w:p>
    <w:p w:rsidR="00000000" w:rsidDel="00000000" w:rsidP="00000000" w:rsidRDefault="00000000" w:rsidRPr="00000000" w14:paraId="00000013">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Решението е издадено от компетентен административен орган. Заседанията на комисията се считат за редовни, ако на тях присъстват най- малко трима от членовете на комисията. Съгласно чл.22а, ал.2 от ЗПУКИ- отм. комисията се състои от петима членове, т.е. при провеждане на заседанието е бил налице необходимият кворум, тъй като са присъствали повече от половината от всички членове.</w:t>
      </w:r>
    </w:p>
    <w:p w:rsidR="00000000" w:rsidDel="00000000" w:rsidP="00000000" w:rsidRDefault="00000000" w:rsidRPr="00000000" w14:paraId="00000014">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Оспореното решение е издадено в предвидената от закона форма, като съдържа необходимите реквизити - наименование на органа, наименование на акта, правни основания за издаването му, разпоредителна част, дата на издаване и подпис на членовете на комисията, указания относно реда и срока за обжалване.</w:t>
      </w:r>
    </w:p>
    <w:p w:rsidR="00000000" w:rsidDel="00000000" w:rsidP="00000000" w:rsidRDefault="00000000" w:rsidRPr="00000000" w14:paraId="00000015">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При преглед на проведената процедура, съдът приема, че не са налице и съществени процесуални нарушения, които биха могли да бъдат основания за отмяна на решението по чл.146, т.3 от АПК.</w:t>
      </w:r>
    </w:p>
    <w:p w:rsidR="00000000" w:rsidDel="00000000" w:rsidP="00000000" w:rsidRDefault="00000000" w:rsidRPr="00000000" w14:paraId="00000016">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При вземане на решението е спазена е процедурата, регламентирана в чл.22ж от ЗПУКИ- отм.</w:t>
      </w:r>
    </w:p>
    <w:p w:rsidR="00000000" w:rsidDel="00000000" w:rsidP="00000000" w:rsidRDefault="00000000" w:rsidRPr="00000000" w14:paraId="00000017">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Нормата на чл.26 от ЗПУКИ- отм. предписва задължението да се извърши проверка за установяване на конфликт на интереси, в хода на която се събират доказателства и се извършва задължително изслушване на лицето.</w:t>
      </w:r>
    </w:p>
    <w:p w:rsidR="00000000" w:rsidDel="00000000" w:rsidP="00000000" w:rsidRDefault="00000000" w:rsidRPr="00000000" w14:paraId="00000018">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Жалбоподателката е била поканена за изслушване и е предоставена възможност да се запознае с доказателствата, с което е гарантирано нейното право на защита.</w:t>
      </w:r>
    </w:p>
    <w:p w:rsidR="00000000" w:rsidDel="00000000" w:rsidP="00000000" w:rsidRDefault="00000000" w:rsidRPr="00000000" w14:paraId="00000019">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Съдът счита, че решението е издадено и в съответствие с материалния закон и целта на закона, поради което не са налице основания за отмяна съгласно чл.146, т.4 и т.5 от АПК.</w:t>
      </w:r>
    </w:p>
    <w:p w:rsidR="00000000" w:rsidDel="00000000" w:rsidP="00000000" w:rsidRDefault="00000000" w:rsidRPr="00000000" w14:paraId="0000001A">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Видно от приложеното по делото споразумение с № РД-35-347/31.07., работодател на И.Н. е Регионалният инспекторат по образованието - С., като жалбоподателката безспорно притежава качеството на лице, заемащо публична длъжност, поради което е налице една от предпоставките на чл.2, ал.1 от ЗПУКИ - отм. за установяване на конфликт на интереси.</w:t>
      </w:r>
    </w:p>
    <w:p w:rsidR="00000000" w:rsidDel="00000000" w:rsidP="00000000" w:rsidRDefault="00000000" w:rsidRPr="00000000" w14:paraId="0000001B">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По смисъла на §1, т.1 от ДР на ЗПУКИ- отм. „свързани лица“ са съпрузите или лицата, които се намират във фактическо съжителство, роднините по права линия, по съребрена линия - до четвърта степен включително, и роднините по сватовство - до втора степен включително, както и физически и юридически лица, с които лицето, заемащо публична длъжност, се намира в икономически или политически зависимости, които пораждат основателни съмнения в неговата безпристрастност и обективност“. Не се спори по делото, че И.Н. и С.К. имат родствена връзка /майка и дъщеря/, а лицето К. е “свързано“ по отношение на Н. лице /§1 т.1 от ДР на ЗПУКИ- отм. /.</w:t>
      </w:r>
    </w:p>
    <w:p w:rsidR="00000000" w:rsidDel="00000000" w:rsidP="00000000" w:rsidRDefault="00000000" w:rsidRPr="00000000" w14:paraId="0000001C">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За да възникне конфликт на интереси, е необходимо да са налице три кумулативни предпоставки съгласно чл.2, ал.1 от ЗПУКИ- отм.:</w:t>
      </w:r>
    </w:p>
    <w:p w:rsidR="00000000" w:rsidDel="00000000" w:rsidP="00000000" w:rsidRDefault="00000000" w:rsidRPr="00000000" w14:paraId="0000001D">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1. лице, заемащо публична длъжност;</w:t>
      </w:r>
    </w:p>
    <w:p w:rsidR="00000000" w:rsidDel="00000000" w:rsidP="00000000" w:rsidRDefault="00000000" w:rsidRPr="00000000" w14:paraId="0000001E">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2. частен интерес, който води до облага от материален или нематериален характер за лице, заемащо публична длъжност, или за свързани с него лица, включително всяко поето задължение /чл.2, ал.2 от ЗПУКИ- отм. /;</w:t>
      </w:r>
    </w:p>
    <w:p w:rsidR="00000000" w:rsidDel="00000000" w:rsidP="00000000" w:rsidRDefault="00000000" w:rsidRPr="00000000" w14:paraId="0000001F">
      <w:pPr>
        <w:tabs>
          <w:tab w:val="left" w:leader="none" w:pos="309"/>
        </w:tabs>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3. възможност частния интерес да повлияе върху безпристрастното и обективното изпълнение на правомощията или задълженията му по служба.</w:t>
      </w:r>
    </w:p>
    <w:p w:rsidR="00000000" w:rsidDel="00000000" w:rsidP="00000000" w:rsidRDefault="00000000" w:rsidRPr="00000000" w14:paraId="00000020">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Съгласно чл.2, ал.3 от ЗПУКИ- отм. облагата е „всеки доход в пари или в имущество, включително придобиване на дялове или акции, както и предоставяне, прехвърляне или отказ от права, получаване на привилегия или почести, получаване на стоки или услуги безплатно или на цени, по-ниски от пазарните,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21">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В сравнение с предишната редакция на текста на чл.2, ал.2 и ал.3 ЗПУКИ- отм., при която частният интерес и облагата бяха тъждествени понятия, то в действащата към момента на издаване на оспорения акт норма, законодателят ги е обособил и ги е поставил в съотношение причина-следствие. Интересът е субективната предпоставка по смисъла на чл.2, ал.2 от с.з. В случая, не се изисква облагата да е постигната или да е реализирана. Конфликтът на интереси е преди всичко деяние, което е в отклонение и противоречие на публичния интерес. Той предполага наличието на частен интерес на задълженото лице, без да е задължително този частен интерес да е реализиран. Постигането на резултат не е необходимо, достатъчно е частният интерес да съществува като възможност. При тази ситуация той ще може да повлияе на упражняването на правомощията на съответното лице. От друга страна, законът никъде не поставя изискване към облагата да е незаконна или да е в резултат на неправомерно упражняване на правомощия или задължения от страна на лицето заемащо публична длъжност“ /Решение №6781 от 20.05.2014г. по дело №324/2014г., VII отделение на ВАС на РБ/. Въз основа на гореописаните факти и съпоставянето им с легалната дефиниция на чл.2, ал.1 от ЗПУКИ- отм., съдът намира за установен конфликт на интереси от КПУКИ спрямо Директора на 69 СОУ „***“ [населено място].</w:t>
      </w:r>
    </w:p>
    <w:p w:rsidR="00000000" w:rsidDel="00000000" w:rsidP="00000000" w:rsidRDefault="00000000" w:rsidRPr="00000000" w14:paraId="00000022">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Съгласно чл.8, изр. второ, предложение 1 от ЗПУКИ - отм. „лице, заемащо публична длъжност, няма право да сключва договори в частен интерес при изпълнение на правомощията или задълженията си по служба”. Безсъмнено се установява, че в случая законодателят не е въвел забрана за лицата, заемащи публични длъжности да сключват каквито и да било договори, а само такива, които са в частен интерес при изпълнение на правомощията или задълженията си по служба. Предпоставките следва да са налице кумулативно и липсата на която и да е от тях обуславя липсата на конфликт на интереси.</w:t>
      </w:r>
    </w:p>
    <w:p w:rsidR="00000000" w:rsidDel="00000000" w:rsidP="00000000" w:rsidRDefault="00000000" w:rsidRPr="00000000" w14:paraId="00000023">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За да бъде направен извод за съществуването или не на конфликт на интереси, следва да бъде преценено дали сключването на процесния трудов договор е повлияно от частния интерес по чл.2, ал.2 и ал.3 от ЗУПКИ. Иначе казано, дали сключването му представлява безпристрастно и обективно изпълнение на правомощията по служба, доколкото директорът на училището съобразно нормативно установените си правомощия и задължения следва да осигури нормално протичане на работния процес, в това число чрез своевременно назначаване на необходимия брой учители, или сключването на този договор е мотивирано от свързаността на лицата. Директорът отговоря за качеството и резултатите от учебно-възпитателния процес, осигурява изпълнението на държавните образователни изисквания, разпределя преподавателската дейност между учителите, съгласно утвърдените норми, създава условия за повишаване квалификацията на учителите и за тяхното кариерно развитие. По делото е установено, че жалбоподателката е сключила трудов договор №4631/16.10.2014г. за назначаване на длъжността „младши възпитател“ в 69 СОУ „***“ [населено място] и допълнителни споразумения №4644/01.06.2015г., №4701/01.06.2016г., №4710/08.08.2016г. и №4746/17.10.2016г., като Директор на 69 СОУ „***“ [населено място] с дъщеря си С. К.</w:t>
      </w:r>
    </w:p>
    <w:p w:rsidR="00000000" w:rsidDel="00000000" w:rsidP="00000000" w:rsidRDefault="00000000" w:rsidRPr="00000000" w14:paraId="00000024">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Правилно е прието от комисията, че при подписването на трудовия договор е нарушен чл.4, ал.1, т.1 от Инструкция №2 от 29.07.1994г., според който длъжността "възпитател" в училище, интернат или общежитие се заема от лица, които са придобили висше образование на образователно-квалификационна степен "магистър", "бакалавър" или "специалист" с присъдена, както й с допълнителна професионална квалификация "учител", "педагог" или "социален педагог". Освен това, на основание чл.147, ал.1, т.7 от ППЗНП директорът обявява свободните места в бюрата по труда и в регионалните инспекторати по образованието в 3-дневен срок от овакантяването им - за държавните и общинските детски градини, училища. В конкретния случай това не е направено, с което е нарушена правна норма с пряко отношение към дейността на училището и учебния процес. Вярно е, че е обявяван такъв конкурс, като след приключването му са останали свободни места, но след допълнителното освобождаване на щатна бройка е трябвало да бъде обявен нов конкурс или договорът да не бъде подписан от директора, а негов заместник, след подаване на съответната декларация за конфликт на интереси.</w:t>
      </w:r>
    </w:p>
    <w:p w:rsidR="00000000" w:rsidDel="00000000" w:rsidP="00000000" w:rsidRDefault="00000000" w:rsidRPr="00000000" w14:paraId="00000025">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Частният интерес на свързаното лице е доказан.</w:t>
      </w:r>
    </w:p>
    <w:p w:rsidR="00000000" w:rsidDel="00000000" w:rsidP="00000000" w:rsidRDefault="00000000" w:rsidRPr="00000000" w14:paraId="00000026">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Аргументи за това, че лицето, заемащо публична длъжност, е било повлияно от частния интерес на свързаното с него лице при сключване на процесния трудов договор, се съдържат в това, че трудовият договор е сключен при нарушение на определени законови изисквания, макар да не е налице поведение на нарушителя, което явно да демонстрира влиянието на съществуващия частен интерес, което става ясно от изслушаните свидетелски показания на свидетели на жалбоподателката. Аргументите от страна на жалбоподателката, че сключването на трудовия договор е дъщеря й е било необходимо с оглед усложненията, които биха възникнали в хода на учебния процес са основателни, но въпреки това съдът намира, че е налице конфликт на интереси при сключването на договорите и последвалите ги анекси.</w:t>
      </w:r>
    </w:p>
    <w:p w:rsidR="00000000" w:rsidDel="00000000" w:rsidP="00000000" w:rsidRDefault="00000000" w:rsidRPr="00000000" w14:paraId="00000027">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Налице е назначаване на близък роднина на длъжност, за която последният няма нужната квалификация. Не са налице доказателства, че е търсено лице, отговарящо на необходимите изисквания и притежаващо квалификация по установения законов път /извън твърдението на свидетелите по делото/.</w:t>
      </w:r>
    </w:p>
    <w:p w:rsidR="00000000" w:rsidDel="00000000" w:rsidP="00000000" w:rsidRDefault="00000000" w:rsidRPr="00000000" w14:paraId="00000028">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Бройката не е била обявена в бюрото по труда и в РИО, а и съдът намира, че е следвало да се обяви нов конкурс по съответния ред, за да осигури заместник на напусналия възпитател.</w:t>
      </w:r>
    </w:p>
    <w:p w:rsidR="00000000" w:rsidDel="00000000" w:rsidP="00000000" w:rsidRDefault="00000000" w:rsidRPr="00000000" w14:paraId="00000029">
      <w:pPr>
        <w:jc w:val="both"/>
        <w:rPr>
          <w:rFonts w:ascii="Calibri" w:cs="Calibri" w:eastAsia="Calibri" w:hAnsi="Calibri"/>
        </w:rPr>
      </w:pPr>
      <w:r w:rsidDel="00000000" w:rsidR="00000000" w:rsidRPr="00000000">
        <w:rPr>
          <w:rFonts w:ascii="Calibri" w:cs="Calibri" w:eastAsia="Calibri" w:hAnsi="Calibri"/>
          <w:rtl w:val="0"/>
        </w:rPr>
        <w:t xml:space="preserve">Тези действия правилно са били определени от състава на Комисията като неимуществена облага в частен интерес, доколкото тя се изразява в получаване на привилегия, помощ, подкрепа, предимство, вкл. и директно получаване на работа. На практика, като е предпочела дъщеря си, макар и да не е разполагала с нужната квалификация за това за назначаването на работно място, за което изобщо не е потърсила квалифициран служител, г-жа Н. е оказала подкрепа, помощ и предимство на дъщеря си при осигуряването й на работно място, където освен, същата получава и</w:t>
      </w:r>
    </w:p>
    <w:p w:rsidR="00000000" w:rsidDel="00000000" w:rsidP="00000000" w:rsidRDefault="00000000" w:rsidRPr="00000000" w14:paraId="0000002A">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неимуществени облаги - възможност за придобиване на опит. Получаването на работа е вид облага по смисъла на чл.2, ал.3 от ЗПУКИ - отм. Видно от същата разпоредбата, законодателят е въздигнал във вид облага не само получаването, но дори и обещанието за работа.</w:t>
      </w:r>
    </w:p>
    <w:p w:rsidR="00000000" w:rsidDel="00000000" w:rsidP="00000000" w:rsidRDefault="00000000" w:rsidRPr="00000000" w14:paraId="0000002B">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Неоснователно е твърдението, че допуснатите от Н. нарушения на относимите норми съставляват единствено дисциплинарни нарушения. Правната теория и съдебната практика са категорични, че дисциплинарната, деликтната и административнонаказателна отговорност могат да се кумулират, без да е налице нарушение на принципа non bis in idem. В този смисъл дори едно нарушение да е дисциплинарно по смисъла на трудовото законодателство, не е налице пречка същото да е административнонаказателно и да бъде санкционирано и на такова основание. Основната разлика между дисциплинарната и административнонаказателната отговорност се състои в това, че първата е отговорност, непосредствено свързана с трудовото (в случая служебното правоотношение) и възниква, когато деянието нарушава трудовия ред, дисциплина, организация на работа и правила за извършване на трудовата дейност. Поради това санкциите се налагат от работодателя, и са пряко свързани със служебното правоотношение (в това число и неговото прекратяване чрез уволнение). Административнонаказателната отговорност възниква, когато деянието нарушава реда на държавно управление (чл.6 от ЗАНН). То засяга в определена степен упражняването на държавна власт и поради това е укоримо и наказуемо. Административнонаказателната отговорност не може да се кумулира с наказателната, тъй като по своята същност и двете засягат сходен кръг от обществени отношения, но при наказателната отговорност е налице обществена опасност на деянието, което води до необходимост от наказания, засягащи в значителна степен личността на нарушителя. Поради това чл.17 от ЗАНН дава предимство на наказателната отговорност пред административнонаказателната, освен ако в специален закон не е предвидено друго (напр. чл.31, ал.1 от ЗПУКИ - отм.). Фактът, че дисциплинарното нарушение и административното нарушение засягат различни видове обществени отношения означава, че същите се санкционират независимо едно от друго. По силата на чл.17 от ЗАНН правилото non bis in idem е приложимо единствено ако за същото деяние вече е било наложено предходно административно наказание с влязло в сила наказателно постановление.</w:t>
      </w:r>
    </w:p>
    <w:p w:rsidR="00000000" w:rsidDel="00000000" w:rsidP="00000000" w:rsidRDefault="00000000" w:rsidRPr="00000000" w14:paraId="0000002C">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Действително назначаването на роднина на пряко подчинение на лицето, заемащо публична длъжност, представлява нарушение на чл.107а от Кодекса на труда. Също така е вярно, че за тези нарушения КПУКИ /КПКОНПИ - понастоящем/ няма компетентност, а за тяхното спазване следи работодателят. В същото време, предметът на Решение № РС-194-17-079/19.12.2018г. не е за нарушението на чл.5 от ЗПУКИ (несъвместимост), а за нарушение на чл.8, изр.2 от ЗПУКИ т.е. укоримото деяние не е съществуващата несъвместимост, а сключването на конкретния трудов договор в условията на конфликт на интереси и това деяние е изпяло от компетенциите на Комисията. Наличието на дисциплинарно нарушение на Н. не означава, че спрямо същата е преустановена възможността за повдигане на административнонаказателна отговорност. Визираните по-горе нарушения на трудовото законодателство не са обект на проверка от страна на КПУКИ /КПКОНПИ/, но са доказателства за това по какъв начин частният интерес на свързаното лице е повлиял върху упражненото от лицето, заемащо публична длъжност, властническо правомощие.</w:t>
      </w:r>
    </w:p>
    <w:p w:rsidR="00000000" w:rsidDel="00000000" w:rsidP="00000000" w:rsidRDefault="00000000" w:rsidRPr="00000000" w14:paraId="0000002D">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От горното следва, че, на първо място, достатъчно е частният интерес да е налице, без да е необходимо същият да е реализиран или да се доказва точно по какъв начин е повлиял върху безпристрастното и обективното изпълнение на служебните задължения на лицето, заемащо публична длъжност. На второ място, при конфликта на интереси не е налице съпоставка между частния интерес и публичния интерес. Независимо дали публичният интерес е защитен или не, наличието на частен интерес създава състояние на обществена опасност, което е укоримо от законодателя и подлежи на съответната санкция.</w:t>
      </w:r>
    </w:p>
    <w:p w:rsidR="00000000" w:rsidDel="00000000" w:rsidP="00000000" w:rsidRDefault="00000000" w:rsidRPr="00000000" w14:paraId="0000002E">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На основание чл.19 от ЗПУКИ - отм. лицето, заемащо публична длъжност, при възникналата ситуация на конфликт на интереси е следвало да се отведе от изпълнение на служебните си задължения и да подаде декларация по чл.12, т.4 от ЗПУКИ.</w:t>
      </w:r>
    </w:p>
    <w:p w:rsidR="00000000" w:rsidDel="00000000" w:rsidP="00000000" w:rsidRDefault="00000000" w:rsidRPr="00000000" w14:paraId="0000002F">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Нито едно от тези действия не е направено /по фактите за неподаване на декларация не се спори/, с което е налице и нарушението на чл.16 от ЗПУКИ - отм., визирано във втория диспозитив на обжалваното решение.</w:t>
      </w:r>
    </w:p>
    <w:p w:rsidR="00000000" w:rsidDel="00000000" w:rsidP="00000000" w:rsidRDefault="00000000" w:rsidRPr="00000000" w14:paraId="00000030">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С оглед на това, решението е правилно и законосъобразно и следва да бъде оставено в сила.</w:t>
      </w:r>
    </w:p>
    <w:p w:rsidR="00000000" w:rsidDel="00000000" w:rsidP="00000000" w:rsidRDefault="00000000" w:rsidRPr="00000000" w14:paraId="00000031">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При този изход на спора, на ответника се дължат разноски за юрисконсултско възнаграждение в размер от 100 лв., определен съгласно чл.78, ал.8 от ГПК във връзка с чл.37, ал.1 от Закона за правната помощ и чл.24 от Наредбата за заплащането на правната помощ.</w:t>
      </w:r>
    </w:p>
    <w:p w:rsidR="00000000" w:rsidDel="00000000" w:rsidP="00000000" w:rsidRDefault="00000000" w:rsidRPr="00000000" w14:paraId="00000032">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Така мотивиран и на основание чл.172, ал.2 АПК, съдът</w:t>
      </w:r>
    </w:p>
    <w:p w:rsidR="00000000" w:rsidDel="00000000" w:rsidP="00000000" w:rsidRDefault="00000000" w:rsidRPr="00000000" w14:paraId="00000033">
      <w:pPr>
        <w:spacing w:after="240" w:lineRule="auto"/>
        <w:jc w:val="center"/>
        <w:rPr>
          <w:rFonts w:ascii="Calibri" w:cs="Calibri" w:eastAsia="Calibri" w:hAnsi="Calibri"/>
        </w:rPr>
      </w:pPr>
      <w:r w:rsidDel="00000000" w:rsidR="00000000" w:rsidRPr="00000000">
        <w:rPr>
          <w:rFonts w:ascii="Calibri" w:cs="Calibri" w:eastAsia="Calibri" w:hAnsi="Calibri"/>
          <w:rtl w:val="0"/>
        </w:rPr>
        <w:t xml:space="preserve">Р Е Ш И:</w:t>
      </w:r>
    </w:p>
    <w:p w:rsidR="00000000" w:rsidDel="00000000" w:rsidP="00000000" w:rsidRDefault="00000000" w:rsidRPr="00000000" w14:paraId="00000034">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ОТХВЪРЛЯ жалбата на И. С. Н., от [населено място], срещу Решение № РС-194-17-079 от 19.12.2018г. по описа на Комисията за предотвратяване на корупцията и отнемане на незаконно придобитото имущество. </w:t>
      </w:r>
      <w:r w:rsidDel="00000000" w:rsidR="00000000" w:rsidRPr="00000000">
        <w:rPr>
          <w:rFonts w:ascii="Calibri" w:cs="Calibri" w:eastAsia="Calibri" w:hAnsi="Calibri"/>
          <w:smallCaps w:val="1"/>
          <w:rtl w:val="0"/>
        </w:rPr>
        <w:t xml:space="preserve">оСЪжДА</w:t>
      </w:r>
      <w:r w:rsidDel="00000000" w:rsidR="00000000" w:rsidRPr="00000000">
        <w:rPr>
          <w:rFonts w:ascii="Calibri" w:cs="Calibri" w:eastAsia="Calibri" w:hAnsi="Calibri"/>
          <w:rtl w:val="0"/>
        </w:rPr>
        <w:t xml:space="preserve"> И.С.Н., ЕГН [ЕГН], с постоянен адрес в [населено място] *** да заплати на Комисията за предотвратяване на корупцията и отнемане на незаконно придобитото имущество юрисконсултско възнаграждение в размер на 100 /сто/ лева. Решението подлежи на обжалване, с касационна жалба, пред Върховния административен съд, в 14-дневен срок от съобщаването му.</w:t>
      </w:r>
    </w:p>
    <w:p w:rsidR="00000000" w:rsidDel="00000000" w:rsidP="00000000" w:rsidRDefault="00000000" w:rsidRPr="00000000" w14:paraId="00000035">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Препис да се изпрати на страните по спора.</w:t>
      </w:r>
    </w:p>
    <w:p w:rsidR="00000000" w:rsidDel="00000000" w:rsidP="00000000" w:rsidRDefault="00000000" w:rsidRPr="00000000" w14:paraId="00000036">
      <w:pPr>
        <w:jc w:val="both"/>
        <w:rPr>
          <w:rFonts w:ascii="Calibri" w:cs="Calibri" w:eastAsia="Calibri" w:hAnsi="Calibri"/>
        </w:rPr>
      </w:pPr>
      <w:r w:rsidDel="00000000" w:rsidR="00000000" w:rsidRPr="00000000">
        <w:rPr>
          <w:rFonts w:ascii="Calibri" w:cs="Calibri" w:eastAsia="Calibri" w:hAnsi="Calibri"/>
          <w:rtl w:val="0"/>
        </w:rPr>
        <w:t xml:space="preserve">СЪДИЯ:</w:t>
      </w:r>
    </w:p>
    <w:sectPr>
      <w:pgSz w:h="16834" w:w="11909" w:orient="portrait"/>
      <w:pgMar w:bottom="1440" w:top="1440" w:left="1440" w:right="1440" w:header="0" w:footer="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sz w:val="24"/>
        <w:szCs w:val="24"/>
        <w:lang w:val="bg"/>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