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AD" w:rsidRDefault="008346AD" w:rsidP="00131139">
      <w:pPr>
        <w:tabs>
          <w:tab w:val="left" w:pos="720"/>
        </w:tabs>
        <w:spacing w:before="36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alt="logo_cropBG" style="width:141.75pt;height:80.25pt;visibility:visible">
            <v:imagedata r:id="rId7" o:title=""/>
          </v:shape>
        </w:pict>
      </w:r>
    </w:p>
    <w:p w:rsidR="008346AD" w:rsidRDefault="008346AD" w:rsidP="00131139">
      <w:pPr>
        <w:ind w:left="4536"/>
        <w:rPr>
          <w:b/>
          <w:bCs/>
        </w:rPr>
      </w:pPr>
    </w:p>
    <w:p w:rsidR="008346AD" w:rsidRDefault="008346AD" w:rsidP="00131139">
      <w:pPr>
        <w:ind w:left="4536"/>
        <w:rPr>
          <w:b/>
          <w:bCs/>
        </w:rPr>
      </w:pPr>
    </w:p>
    <w:p w:rsidR="008346AD" w:rsidRPr="003853C3" w:rsidRDefault="008346AD" w:rsidP="00131139">
      <w:pPr>
        <w:ind w:left="900" w:firstLine="4140"/>
      </w:pPr>
    </w:p>
    <w:p w:rsidR="008346AD" w:rsidRPr="00105DCE" w:rsidRDefault="008346AD" w:rsidP="00131139">
      <w:pPr>
        <w:tabs>
          <w:tab w:val="left" w:pos="720"/>
        </w:tabs>
        <w:spacing w:before="1800" w:after="1800"/>
        <w:jc w:val="center"/>
        <w:rPr>
          <w:b/>
          <w:bCs/>
          <w:spacing w:val="60"/>
          <w:sz w:val="28"/>
          <w:szCs w:val="28"/>
        </w:rPr>
      </w:pPr>
      <w:r w:rsidRPr="00105DCE">
        <w:rPr>
          <w:b/>
          <w:bCs/>
          <w:spacing w:val="60"/>
          <w:sz w:val="28"/>
          <w:szCs w:val="28"/>
        </w:rPr>
        <w:t>ОДИТЕН ДОКЛАД</w:t>
      </w:r>
    </w:p>
    <w:p w:rsidR="008346AD" w:rsidRPr="009C00B6" w:rsidRDefault="008346AD" w:rsidP="00131139">
      <w:pPr>
        <w:tabs>
          <w:tab w:val="left" w:pos="720"/>
        </w:tabs>
        <w:jc w:val="center"/>
        <w:rPr>
          <w:b/>
          <w:bCs/>
          <w:lang w:val="en-US"/>
        </w:rPr>
      </w:pPr>
      <w:r w:rsidRPr="009C00B6">
        <w:rPr>
          <w:b/>
          <w:bCs/>
        </w:rPr>
        <w:t>№ 010001</w:t>
      </w:r>
      <w:r w:rsidRPr="009C00B6">
        <w:rPr>
          <w:b/>
          <w:bCs/>
          <w:lang w:val="en-US"/>
        </w:rPr>
        <w:t>93</w:t>
      </w:r>
      <w:r w:rsidRPr="009C00B6">
        <w:rPr>
          <w:b/>
          <w:bCs/>
        </w:rPr>
        <w:t>13</w:t>
      </w:r>
    </w:p>
    <w:p w:rsidR="008346AD" w:rsidRPr="009C00B6" w:rsidRDefault="008346AD" w:rsidP="00131139">
      <w:pPr>
        <w:tabs>
          <w:tab w:val="left" w:pos="720"/>
        </w:tabs>
        <w:jc w:val="center"/>
        <w:rPr>
          <w:b/>
          <w:bCs/>
          <w:lang w:val="en-US"/>
        </w:rPr>
      </w:pPr>
    </w:p>
    <w:p w:rsidR="008346AD" w:rsidRDefault="008346AD" w:rsidP="00131139">
      <w:pPr>
        <w:tabs>
          <w:tab w:val="left" w:pos="720"/>
        </w:tabs>
        <w:jc w:val="center"/>
        <w:rPr>
          <w:b/>
          <w:bCs/>
          <w:lang w:val="en-US"/>
        </w:rPr>
      </w:pPr>
    </w:p>
    <w:p w:rsidR="008346AD" w:rsidRPr="009C00B6" w:rsidRDefault="008346AD" w:rsidP="00131139">
      <w:pPr>
        <w:tabs>
          <w:tab w:val="left" w:pos="720"/>
        </w:tabs>
        <w:jc w:val="center"/>
        <w:rPr>
          <w:b/>
          <w:bCs/>
          <w:lang w:val="en-US"/>
        </w:rPr>
      </w:pPr>
    </w:p>
    <w:p w:rsidR="008346AD" w:rsidRPr="009C00B6" w:rsidRDefault="008346AD" w:rsidP="00131139">
      <w:pPr>
        <w:tabs>
          <w:tab w:val="left" w:pos="720"/>
        </w:tabs>
        <w:jc w:val="center"/>
        <w:rPr>
          <w:b/>
          <w:bCs/>
          <w:lang w:val="en-US"/>
        </w:rPr>
      </w:pPr>
      <w:r w:rsidRPr="009C00B6">
        <w:rPr>
          <w:b/>
          <w:bCs/>
        </w:rPr>
        <w:t>за извършен финансов одит на годишния финансов отчет на</w:t>
      </w:r>
    </w:p>
    <w:p w:rsidR="008346AD" w:rsidRPr="009C00B6" w:rsidRDefault="008346AD" w:rsidP="00131139">
      <w:pPr>
        <w:tabs>
          <w:tab w:val="left" w:pos="720"/>
        </w:tabs>
        <w:jc w:val="center"/>
        <w:rPr>
          <w:b/>
          <w:bCs/>
          <w:lang w:val="en-US"/>
        </w:rPr>
      </w:pPr>
      <w:r w:rsidRPr="009C00B6">
        <w:rPr>
          <w:b/>
          <w:bCs/>
        </w:rPr>
        <w:t>община Поморие</w:t>
      </w:r>
      <w:r w:rsidRPr="009C00B6">
        <w:rPr>
          <w:b/>
          <w:bCs/>
          <w:lang w:val="en-US"/>
        </w:rPr>
        <w:t>v</w:t>
      </w:r>
      <w:r w:rsidRPr="009C00B6">
        <w:rPr>
          <w:b/>
          <w:bCs/>
        </w:rPr>
        <w:t xml:space="preserve"> за 2012 г.</w:t>
      </w:r>
    </w:p>
    <w:p w:rsidR="008346AD" w:rsidRPr="009C00B6" w:rsidRDefault="008346AD" w:rsidP="00131139">
      <w:pPr>
        <w:tabs>
          <w:tab w:val="left" w:pos="720"/>
        </w:tabs>
        <w:jc w:val="center"/>
        <w:rPr>
          <w:b/>
          <w:bCs/>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ru-RU"/>
        </w:rPr>
      </w:pPr>
    </w:p>
    <w:p w:rsidR="008346AD" w:rsidRDefault="008346AD" w:rsidP="00131139">
      <w:pPr>
        <w:tabs>
          <w:tab w:val="left" w:pos="720"/>
        </w:tabs>
        <w:jc w:val="center"/>
        <w:rPr>
          <w:lang w:val="en-US"/>
        </w:rPr>
      </w:pPr>
    </w:p>
    <w:p w:rsidR="008346AD" w:rsidRDefault="008346AD" w:rsidP="00131139">
      <w:pPr>
        <w:tabs>
          <w:tab w:val="left" w:pos="720"/>
        </w:tabs>
        <w:jc w:val="center"/>
        <w:rPr>
          <w:lang w:val="en-US"/>
        </w:rPr>
      </w:pPr>
    </w:p>
    <w:p w:rsidR="008346AD" w:rsidRPr="009C00B6" w:rsidRDefault="008346AD" w:rsidP="00131139">
      <w:pPr>
        <w:tabs>
          <w:tab w:val="left" w:pos="720"/>
        </w:tabs>
        <w:jc w:val="center"/>
        <w:rPr>
          <w:b/>
          <w:bCs/>
          <w:lang w:val="en-US"/>
        </w:rPr>
      </w:pPr>
    </w:p>
    <w:p w:rsidR="008346AD" w:rsidRPr="009C00B6" w:rsidRDefault="008346AD" w:rsidP="00131139">
      <w:pPr>
        <w:tabs>
          <w:tab w:val="left" w:pos="720"/>
        </w:tabs>
        <w:jc w:val="center"/>
        <w:rPr>
          <w:b/>
          <w:bCs/>
          <w:lang w:val="en-US"/>
        </w:rPr>
      </w:pPr>
      <w:r w:rsidRPr="009C00B6">
        <w:rPr>
          <w:b/>
          <w:bCs/>
          <w:lang w:val="ru-RU"/>
        </w:rPr>
        <w:t xml:space="preserve">София, 2013 </w:t>
      </w:r>
      <w:r w:rsidRPr="009C00B6">
        <w:rPr>
          <w:b/>
          <w:bCs/>
        </w:rPr>
        <w:t>г</w:t>
      </w:r>
      <w:r w:rsidRPr="009C00B6">
        <w:rPr>
          <w:b/>
          <w:bCs/>
          <w:lang w:val="en-US"/>
        </w:rPr>
        <w:t>.</w:t>
      </w:r>
    </w:p>
    <w:p w:rsidR="008346AD" w:rsidRPr="002A51A3" w:rsidRDefault="008346AD" w:rsidP="00131139">
      <w:pPr>
        <w:tabs>
          <w:tab w:val="left" w:pos="0"/>
        </w:tabs>
        <w:spacing w:before="120" w:after="360"/>
        <w:ind w:firstLine="1077"/>
        <w:rPr>
          <w:b/>
          <w:bCs/>
          <w:lang w:val="en-US"/>
        </w:rPr>
      </w:pPr>
    </w:p>
    <w:p w:rsidR="008346AD" w:rsidRDefault="008346AD" w:rsidP="00131139">
      <w:pPr>
        <w:tabs>
          <w:tab w:val="left" w:pos="0"/>
        </w:tabs>
        <w:spacing w:before="120" w:after="360"/>
        <w:ind w:firstLine="1077"/>
        <w:rPr>
          <w:b/>
          <w:bCs/>
          <w:lang w:val="en-US"/>
        </w:rPr>
      </w:pPr>
    </w:p>
    <w:p w:rsidR="008346AD" w:rsidRDefault="008346AD" w:rsidP="00131139">
      <w:pPr>
        <w:tabs>
          <w:tab w:val="left" w:pos="0"/>
        </w:tabs>
        <w:spacing w:before="120" w:after="360"/>
        <w:ind w:firstLine="1077"/>
        <w:rPr>
          <w:b/>
          <w:bCs/>
          <w:lang w:val="en-US"/>
        </w:rPr>
      </w:pPr>
    </w:p>
    <w:p w:rsidR="008346AD" w:rsidRPr="0062454F" w:rsidRDefault="008346AD" w:rsidP="00131139">
      <w:pPr>
        <w:tabs>
          <w:tab w:val="left" w:pos="0"/>
        </w:tabs>
        <w:spacing w:before="120" w:after="360"/>
        <w:ind w:firstLine="1077"/>
        <w:rPr>
          <w:b/>
          <w:bCs/>
        </w:rPr>
      </w:pPr>
      <w:r w:rsidRPr="0062454F">
        <w:rPr>
          <w:b/>
          <w:bCs/>
        </w:rPr>
        <w:t>СЪДЪРЖАНИЕ</w:t>
      </w:r>
    </w:p>
    <w:tbl>
      <w:tblPr>
        <w:tblW w:w="0" w:type="auto"/>
        <w:jc w:val="center"/>
        <w:tblLook w:val="01E0"/>
      </w:tblPr>
      <w:tblGrid>
        <w:gridCol w:w="7542"/>
        <w:gridCol w:w="1744"/>
      </w:tblGrid>
      <w:tr w:rsidR="008346AD" w:rsidRPr="0062454F">
        <w:trPr>
          <w:jc w:val="center"/>
        </w:trPr>
        <w:tc>
          <w:tcPr>
            <w:tcW w:w="7542" w:type="dxa"/>
          </w:tcPr>
          <w:p w:rsidR="008346AD" w:rsidRPr="0062454F" w:rsidRDefault="008346AD" w:rsidP="001A08F9">
            <w:pPr>
              <w:tabs>
                <w:tab w:val="left" w:pos="720"/>
              </w:tabs>
              <w:jc w:val="both"/>
              <w:rPr>
                <w:b/>
                <w:bCs/>
              </w:rPr>
            </w:pPr>
            <w:r w:rsidRPr="0062454F">
              <w:rPr>
                <w:b/>
                <w:bCs/>
              </w:rPr>
              <w:t>Част първа. ВЪВЕДЕНИЕ</w:t>
            </w:r>
          </w:p>
        </w:tc>
        <w:tc>
          <w:tcPr>
            <w:tcW w:w="1744" w:type="dxa"/>
          </w:tcPr>
          <w:p w:rsidR="008346AD" w:rsidRPr="0062454F" w:rsidRDefault="008346AD" w:rsidP="001A08F9">
            <w:pPr>
              <w:tabs>
                <w:tab w:val="left" w:pos="720"/>
              </w:tabs>
              <w:jc w:val="both"/>
            </w:pPr>
          </w:p>
        </w:tc>
      </w:tr>
      <w:tr w:rsidR="008346AD" w:rsidRPr="0062454F">
        <w:trPr>
          <w:jc w:val="center"/>
        </w:trPr>
        <w:tc>
          <w:tcPr>
            <w:tcW w:w="7542" w:type="dxa"/>
          </w:tcPr>
          <w:p w:rsidR="008346AD" w:rsidRPr="007A5758" w:rsidRDefault="008346AD" w:rsidP="001A08F9">
            <w:pPr>
              <w:jc w:val="both"/>
            </w:pPr>
            <w:r w:rsidRPr="007A5758">
              <w:t>1. Основание за извършване на одита</w:t>
            </w:r>
          </w:p>
        </w:tc>
        <w:tc>
          <w:tcPr>
            <w:tcW w:w="1744" w:type="dxa"/>
          </w:tcPr>
          <w:p w:rsidR="008346AD" w:rsidRPr="0026135F" w:rsidRDefault="008346AD" w:rsidP="001A08F9">
            <w:pPr>
              <w:tabs>
                <w:tab w:val="left" w:pos="720"/>
              </w:tabs>
              <w:jc w:val="center"/>
            </w:pPr>
            <w:r w:rsidRPr="0026135F">
              <w:t>4</w:t>
            </w:r>
          </w:p>
        </w:tc>
      </w:tr>
      <w:tr w:rsidR="008346AD" w:rsidRPr="0062454F">
        <w:trPr>
          <w:jc w:val="center"/>
        </w:trPr>
        <w:tc>
          <w:tcPr>
            <w:tcW w:w="7542" w:type="dxa"/>
          </w:tcPr>
          <w:p w:rsidR="008346AD" w:rsidRPr="007A5758" w:rsidRDefault="008346AD" w:rsidP="001A08F9">
            <w:pPr>
              <w:tabs>
                <w:tab w:val="left" w:pos="720"/>
              </w:tabs>
              <w:jc w:val="both"/>
            </w:pPr>
            <w:r w:rsidRPr="007A5758">
              <w:t>2. Предмет на одита</w:t>
            </w:r>
          </w:p>
        </w:tc>
        <w:tc>
          <w:tcPr>
            <w:tcW w:w="1744" w:type="dxa"/>
          </w:tcPr>
          <w:p w:rsidR="008346AD" w:rsidRPr="0026135F" w:rsidRDefault="008346AD" w:rsidP="001A08F9">
            <w:pPr>
              <w:tabs>
                <w:tab w:val="left" w:pos="720"/>
              </w:tabs>
              <w:jc w:val="center"/>
            </w:pPr>
            <w:r w:rsidRPr="0026135F">
              <w:t>4</w:t>
            </w:r>
          </w:p>
        </w:tc>
      </w:tr>
      <w:tr w:rsidR="008346AD" w:rsidRPr="0062454F">
        <w:trPr>
          <w:jc w:val="center"/>
        </w:trPr>
        <w:tc>
          <w:tcPr>
            <w:tcW w:w="7542" w:type="dxa"/>
          </w:tcPr>
          <w:p w:rsidR="008346AD" w:rsidRPr="007A5758" w:rsidRDefault="008346AD" w:rsidP="001A08F9">
            <w:pPr>
              <w:tabs>
                <w:tab w:val="left" w:pos="720"/>
              </w:tabs>
              <w:jc w:val="both"/>
            </w:pPr>
            <w:r w:rsidRPr="007A5758">
              <w:t>3. Одитиран период</w:t>
            </w:r>
          </w:p>
        </w:tc>
        <w:tc>
          <w:tcPr>
            <w:tcW w:w="1744" w:type="dxa"/>
          </w:tcPr>
          <w:p w:rsidR="008346AD" w:rsidRPr="0026135F" w:rsidRDefault="008346AD" w:rsidP="001A08F9">
            <w:pPr>
              <w:tabs>
                <w:tab w:val="left" w:pos="720"/>
              </w:tabs>
              <w:jc w:val="center"/>
            </w:pPr>
            <w:r w:rsidRPr="0026135F">
              <w:t>4</w:t>
            </w:r>
          </w:p>
        </w:tc>
      </w:tr>
      <w:tr w:rsidR="008346AD" w:rsidRPr="0062454F">
        <w:trPr>
          <w:jc w:val="center"/>
        </w:trPr>
        <w:tc>
          <w:tcPr>
            <w:tcW w:w="7542" w:type="dxa"/>
          </w:tcPr>
          <w:p w:rsidR="008346AD" w:rsidRPr="007A5758" w:rsidRDefault="008346AD" w:rsidP="001A08F9">
            <w:pPr>
              <w:tabs>
                <w:tab w:val="left" w:pos="720"/>
              </w:tabs>
              <w:jc w:val="both"/>
              <w:rPr>
                <w:b/>
                <w:bCs/>
              </w:rPr>
            </w:pPr>
            <w:r w:rsidRPr="007A5758">
              <w:rPr>
                <w:b/>
                <w:bCs/>
              </w:rPr>
              <w:t>Част втора. КОНСТАТИВНА ЧАСТ</w:t>
            </w:r>
          </w:p>
        </w:tc>
        <w:tc>
          <w:tcPr>
            <w:tcW w:w="1744" w:type="dxa"/>
          </w:tcPr>
          <w:p w:rsidR="008346AD" w:rsidRPr="0026135F" w:rsidRDefault="008346AD" w:rsidP="001A08F9">
            <w:pPr>
              <w:tabs>
                <w:tab w:val="left" w:pos="720"/>
              </w:tabs>
              <w:jc w:val="center"/>
            </w:pPr>
          </w:p>
        </w:tc>
      </w:tr>
      <w:tr w:rsidR="008346AD" w:rsidRPr="0062454F">
        <w:trPr>
          <w:jc w:val="center"/>
        </w:trPr>
        <w:tc>
          <w:tcPr>
            <w:tcW w:w="7542" w:type="dxa"/>
          </w:tcPr>
          <w:p w:rsidR="008346AD" w:rsidRPr="00FE0E7C" w:rsidRDefault="008346AD" w:rsidP="001A08F9">
            <w:pPr>
              <w:tabs>
                <w:tab w:val="left" w:pos="0"/>
              </w:tabs>
              <w:jc w:val="both"/>
            </w:pPr>
            <w:r w:rsidRPr="00FE0E7C">
              <w:t>І. Съответствие на формата, съдържанието и представянето на годишния финансов отчет с нормативните изисквания</w:t>
            </w:r>
          </w:p>
        </w:tc>
        <w:tc>
          <w:tcPr>
            <w:tcW w:w="1744" w:type="dxa"/>
          </w:tcPr>
          <w:p w:rsidR="008346AD" w:rsidRPr="0026135F" w:rsidRDefault="008346AD" w:rsidP="001A08F9">
            <w:pPr>
              <w:tabs>
                <w:tab w:val="left" w:pos="720"/>
              </w:tabs>
              <w:jc w:val="center"/>
            </w:pPr>
            <w:r w:rsidRPr="0026135F">
              <w:t>4</w:t>
            </w:r>
          </w:p>
        </w:tc>
      </w:tr>
      <w:tr w:rsidR="008346AD" w:rsidRPr="0062454F">
        <w:trPr>
          <w:jc w:val="center"/>
        </w:trPr>
        <w:tc>
          <w:tcPr>
            <w:tcW w:w="7542" w:type="dxa"/>
          </w:tcPr>
          <w:p w:rsidR="008346AD" w:rsidRPr="00FE0E7C" w:rsidRDefault="008346AD" w:rsidP="001A08F9">
            <w:pPr>
              <w:jc w:val="both"/>
            </w:pPr>
            <w:r w:rsidRPr="00FE0E7C">
              <w:rPr>
                <w:lang w:val="en-US"/>
              </w:rPr>
              <w:t>I</w:t>
            </w:r>
            <w:r w:rsidRPr="00FE0E7C">
              <w:t>І. Годишен отчет за касовото изпълнение на бюджета и извънбюджетните сметки и фондове</w:t>
            </w:r>
          </w:p>
        </w:tc>
        <w:tc>
          <w:tcPr>
            <w:tcW w:w="1744" w:type="dxa"/>
          </w:tcPr>
          <w:p w:rsidR="008346AD" w:rsidRPr="0026135F" w:rsidRDefault="008346AD" w:rsidP="001A08F9">
            <w:pPr>
              <w:tabs>
                <w:tab w:val="left" w:pos="720"/>
              </w:tabs>
              <w:jc w:val="center"/>
            </w:pPr>
            <w:r w:rsidRPr="0026135F">
              <w:t>4</w:t>
            </w:r>
          </w:p>
        </w:tc>
      </w:tr>
      <w:tr w:rsidR="008346AD" w:rsidRPr="0062454F">
        <w:trPr>
          <w:jc w:val="center"/>
        </w:trPr>
        <w:tc>
          <w:tcPr>
            <w:tcW w:w="7542" w:type="dxa"/>
          </w:tcPr>
          <w:p w:rsidR="008346AD" w:rsidRPr="00FE0E7C" w:rsidRDefault="008346AD" w:rsidP="001A08F9">
            <w:pPr>
              <w:jc w:val="both"/>
            </w:pPr>
            <w:r w:rsidRPr="00FE0E7C">
              <w:t>1. Бюджет</w:t>
            </w:r>
          </w:p>
        </w:tc>
        <w:tc>
          <w:tcPr>
            <w:tcW w:w="1744" w:type="dxa"/>
          </w:tcPr>
          <w:p w:rsidR="008346AD" w:rsidRPr="00215CDF" w:rsidRDefault="008346AD" w:rsidP="001A08F9">
            <w:pPr>
              <w:tabs>
                <w:tab w:val="left" w:pos="720"/>
              </w:tabs>
              <w:jc w:val="center"/>
            </w:pPr>
            <w:r w:rsidRPr="00215CDF">
              <w:t>4</w:t>
            </w:r>
          </w:p>
        </w:tc>
      </w:tr>
      <w:tr w:rsidR="008346AD" w:rsidRPr="0062454F">
        <w:trPr>
          <w:jc w:val="center"/>
        </w:trPr>
        <w:tc>
          <w:tcPr>
            <w:tcW w:w="7542" w:type="dxa"/>
          </w:tcPr>
          <w:p w:rsidR="008346AD" w:rsidRPr="009D3A52" w:rsidRDefault="008346AD" w:rsidP="001A08F9">
            <w:pPr>
              <w:jc w:val="both"/>
            </w:pPr>
            <w:r w:rsidRPr="009D3A52">
              <w:t xml:space="preserve">1.1. Приходи </w:t>
            </w:r>
          </w:p>
        </w:tc>
        <w:tc>
          <w:tcPr>
            <w:tcW w:w="1744" w:type="dxa"/>
          </w:tcPr>
          <w:p w:rsidR="008346AD" w:rsidRPr="00215CDF" w:rsidRDefault="008346AD" w:rsidP="001A08F9">
            <w:pPr>
              <w:tabs>
                <w:tab w:val="left" w:pos="720"/>
              </w:tabs>
              <w:jc w:val="center"/>
            </w:pPr>
            <w:r w:rsidRPr="00215CDF">
              <w:t>4</w:t>
            </w:r>
          </w:p>
        </w:tc>
      </w:tr>
      <w:tr w:rsidR="008346AD" w:rsidRPr="0062454F">
        <w:trPr>
          <w:jc w:val="center"/>
        </w:trPr>
        <w:tc>
          <w:tcPr>
            <w:tcW w:w="7542" w:type="dxa"/>
          </w:tcPr>
          <w:p w:rsidR="008346AD" w:rsidRPr="00BB21DA" w:rsidRDefault="008346AD" w:rsidP="001A08F9">
            <w:pPr>
              <w:jc w:val="both"/>
            </w:pPr>
            <w:r w:rsidRPr="00BB21DA">
              <w:t>1.2. Трансфери</w:t>
            </w:r>
          </w:p>
        </w:tc>
        <w:tc>
          <w:tcPr>
            <w:tcW w:w="1744" w:type="dxa"/>
          </w:tcPr>
          <w:p w:rsidR="008346AD" w:rsidRPr="00215CDF" w:rsidRDefault="008346AD" w:rsidP="001A08F9">
            <w:pPr>
              <w:tabs>
                <w:tab w:val="left" w:pos="720"/>
              </w:tabs>
              <w:jc w:val="center"/>
            </w:pPr>
            <w:r w:rsidRPr="00215CDF">
              <w:t>4</w:t>
            </w:r>
          </w:p>
        </w:tc>
      </w:tr>
      <w:tr w:rsidR="008346AD" w:rsidRPr="0062454F">
        <w:trPr>
          <w:jc w:val="center"/>
        </w:trPr>
        <w:tc>
          <w:tcPr>
            <w:tcW w:w="7542" w:type="dxa"/>
          </w:tcPr>
          <w:p w:rsidR="008346AD" w:rsidRPr="00BB21DA" w:rsidRDefault="008346AD" w:rsidP="001A08F9">
            <w:pPr>
              <w:jc w:val="both"/>
            </w:pPr>
            <w:r w:rsidRPr="00355DF3">
              <w:t>1.3. Разходи</w:t>
            </w:r>
          </w:p>
        </w:tc>
        <w:tc>
          <w:tcPr>
            <w:tcW w:w="1744" w:type="dxa"/>
          </w:tcPr>
          <w:p w:rsidR="008346AD" w:rsidRPr="00215CDF" w:rsidRDefault="008346AD" w:rsidP="001A08F9">
            <w:pPr>
              <w:tabs>
                <w:tab w:val="left" w:pos="720"/>
              </w:tabs>
              <w:jc w:val="center"/>
            </w:pPr>
            <w:r w:rsidRPr="00215CDF">
              <w:t>5</w:t>
            </w:r>
          </w:p>
        </w:tc>
      </w:tr>
      <w:tr w:rsidR="008346AD" w:rsidRPr="0062454F">
        <w:trPr>
          <w:jc w:val="center"/>
        </w:trPr>
        <w:tc>
          <w:tcPr>
            <w:tcW w:w="7542" w:type="dxa"/>
          </w:tcPr>
          <w:p w:rsidR="008346AD" w:rsidRPr="00BB21DA" w:rsidRDefault="008346AD" w:rsidP="001A08F9">
            <w:pPr>
              <w:jc w:val="both"/>
            </w:pPr>
            <w:r w:rsidRPr="00355DF3">
              <w:t>1.4. Операции с финансови активи и пасиви</w:t>
            </w:r>
          </w:p>
        </w:tc>
        <w:tc>
          <w:tcPr>
            <w:tcW w:w="1744" w:type="dxa"/>
          </w:tcPr>
          <w:p w:rsidR="008346AD" w:rsidRPr="00215CDF" w:rsidRDefault="008346AD" w:rsidP="001A08F9">
            <w:pPr>
              <w:tabs>
                <w:tab w:val="left" w:pos="720"/>
              </w:tabs>
              <w:jc w:val="center"/>
            </w:pPr>
            <w:r w:rsidRPr="00215CDF">
              <w:t>5</w:t>
            </w:r>
          </w:p>
        </w:tc>
      </w:tr>
      <w:tr w:rsidR="008346AD" w:rsidRPr="0062454F">
        <w:trPr>
          <w:jc w:val="center"/>
        </w:trPr>
        <w:tc>
          <w:tcPr>
            <w:tcW w:w="7542" w:type="dxa"/>
          </w:tcPr>
          <w:p w:rsidR="008346AD" w:rsidRPr="00BB21DA" w:rsidRDefault="008346AD" w:rsidP="001A08F9">
            <w:pPr>
              <w:jc w:val="both"/>
            </w:pPr>
            <w:r w:rsidRPr="00355DF3">
              <w:t>2. Извънбюджетни сметки и фондове</w:t>
            </w:r>
          </w:p>
        </w:tc>
        <w:tc>
          <w:tcPr>
            <w:tcW w:w="1744" w:type="dxa"/>
          </w:tcPr>
          <w:p w:rsidR="008346AD" w:rsidRPr="00215CDF" w:rsidRDefault="008346AD" w:rsidP="001A08F9">
            <w:pPr>
              <w:tabs>
                <w:tab w:val="left" w:pos="720"/>
              </w:tabs>
              <w:jc w:val="center"/>
            </w:pPr>
            <w:r w:rsidRPr="00215CDF">
              <w:t>5</w:t>
            </w:r>
          </w:p>
        </w:tc>
      </w:tr>
      <w:tr w:rsidR="008346AD" w:rsidRPr="0062454F">
        <w:trPr>
          <w:jc w:val="center"/>
        </w:trPr>
        <w:tc>
          <w:tcPr>
            <w:tcW w:w="7542" w:type="dxa"/>
          </w:tcPr>
          <w:p w:rsidR="008346AD" w:rsidRPr="009D3A52" w:rsidRDefault="008346AD" w:rsidP="001A08F9">
            <w:pPr>
              <w:jc w:val="both"/>
            </w:pPr>
            <w:r w:rsidRPr="00355DF3">
              <w:t>2.1. Приходи</w:t>
            </w:r>
          </w:p>
        </w:tc>
        <w:tc>
          <w:tcPr>
            <w:tcW w:w="1744" w:type="dxa"/>
          </w:tcPr>
          <w:p w:rsidR="008346AD" w:rsidRPr="00215CDF" w:rsidRDefault="008346AD" w:rsidP="001A08F9">
            <w:pPr>
              <w:tabs>
                <w:tab w:val="left" w:pos="720"/>
              </w:tabs>
              <w:jc w:val="center"/>
            </w:pPr>
            <w:r w:rsidRPr="00215CDF">
              <w:t>5</w:t>
            </w:r>
          </w:p>
        </w:tc>
      </w:tr>
      <w:tr w:rsidR="008346AD" w:rsidRPr="0062454F">
        <w:trPr>
          <w:jc w:val="center"/>
        </w:trPr>
        <w:tc>
          <w:tcPr>
            <w:tcW w:w="7542" w:type="dxa"/>
          </w:tcPr>
          <w:p w:rsidR="008346AD" w:rsidRPr="009D3A52" w:rsidRDefault="008346AD" w:rsidP="001A08F9">
            <w:pPr>
              <w:jc w:val="both"/>
            </w:pPr>
            <w:r w:rsidRPr="00355DF3">
              <w:t>2.2. Трансфери</w:t>
            </w:r>
          </w:p>
        </w:tc>
        <w:tc>
          <w:tcPr>
            <w:tcW w:w="1744" w:type="dxa"/>
          </w:tcPr>
          <w:p w:rsidR="008346AD" w:rsidRPr="00215CDF" w:rsidRDefault="008346AD" w:rsidP="001A08F9">
            <w:pPr>
              <w:tabs>
                <w:tab w:val="left" w:pos="720"/>
              </w:tabs>
              <w:jc w:val="center"/>
            </w:pPr>
            <w:r w:rsidRPr="00215CDF">
              <w:t>5</w:t>
            </w:r>
          </w:p>
        </w:tc>
      </w:tr>
      <w:tr w:rsidR="008346AD" w:rsidRPr="0062454F">
        <w:trPr>
          <w:trHeight w:val="80"/>
          <w:jc w:val="center"/>
        </w:trPr>
        <w:tc>
          <w:tcPr>
            <w:tcW w:w="7542" w:type="dxa"/>
          </w:tcPr>
          <w:p w:rsidR="008346AD" w:rsidRPr="009D3A52" w:rsidRDefault="008346AD" w:rsidP="001A08F9">
            <w:pPr>
              <w:jc w:val="both"/>
            </w:pPr>
            <w:r w:rsidRPr="00355DF3">
              <w:t>2.3. Разходи</w:t>
            </w:r>
          </w:p>
        </w:tc>
        <w:tc>
          <w:tcPr>
            <w:tcW w:w="1744" w:type="dxa"/>
          </w:tcPr>
          <w:p w:rsidR="008346AD" w:rsidRPr="00DC1904" w:rsidRDefault="008346AD" w:rsidP="001A08F9">
            <w:pPr>
              <w:tabs>
                <w:tab w:val="left" w:pos="720"/>
              </w:tabs>
              <w:jc w:val="center"/>
            </w:pPr>
            <w:r w:rsidRPr="00DC1904">
              <w:t>5</w:t>
            </w:r>
          </w:p>
        </w:tc>
      </w:tr>
      <w:tr w:rsidR="008346AD" w:rsidRPr="0062454F">
        <w:trPr>
          <w:jc w:val="center"/>
        </w:trPr>
        <w:tc>
          <w:tcPr>
            <w:tcW w:w="7542" w:type="dxa"/>
          </w:tcPr>
          <w:p w:rsidR="008346AD" w:rsidRPr="009D3A52" w:rsidRDefault="008346AD" w:rsidP="001A08F9">
            <w:pPr>
              <w:jc w:val="both"/>
            </w:pPr>
            <w:r w:rsidRPr="00355DF3">
              <w:t>2.4. Операции с финансови активи и пасиви</w:t>
            </w:r>
          </w:p>
        </w:tc>
        <w:tc>
          <w:tcPr>
            <w:tcW w:w="1744" w:type="dxa"/>
          </w:tcPr>
          <w:p w:rsidR="008346AD" w:rsidRPr="00DC1904" w:rsidRDefault="008346AD" w:rsidP="001A08F9">
            <w:pPr>
              <w:tabs>
                <w:tab w:val="left" w:pos="720"/>
              </w:tabs>
              <w:jc w:val="center"/>
            </w:pPr>
            <w:r w:rsidRPr="00DC1904">
              <w:t>5</w:t>
            </w:r>
          </w:p>
        </w:tc>
      </w:tr>
      <w:tr w:rsidR="008346AD" w:rsidRPr="0062454F">
        <w:trPr>
          <w:jc w:val="center"/>
        </w:trPr>
        <w:tc>
          <w:tcPr>
            <w:tcW w:w="7542" w:type="dxa"/>
          </w:tcPr>
          <w:p w:rsidR="008346AD" w:rsidRPr="009526C0" w:rsidRDefault="008346AD" w:rsidP="001A08F9">
            <w:pPr>
              <w:jc w:val="both"/>
            </w:pPr>
            <w:r>
              <w:t>3.Сметки за чужди средства</w:t>
            </w:r>
          </w:p>
        </w:tc>
        <w:tc>
          <w:tcPr>
            <w:tcW w:w="1744" w:type="dxa"/>
          </w:tcPr>
          <w:p w:rsidR="008346AD" w:rsidRPr="00DC1904" w:rsidRDefault="008346AD" w:rsidP="001A08F9">
            <w:pPr>
              <w:tabs>
                <w:tab w:val="left" w:pos="720"/>
              </w:tabs>
              <w:jc w:val="center"/>
            </w:pPr>
            <w:r w:rsidRPr="00DC1904">
              <w:t>6</w:t>
            </w:r>
          </w:p>
        </w:tc>
      </w:tr>
      <w:tr w:rsidR="008346AD" w:rsidRPr="0062454F">
        <w:trPr>
          <w:jc w:val="center"/>
        </w:trPr>
        <w:tc>
          <w:tcPr>
            <w:tcW w:w="7542" w:type="dxa"/>
          </w:tcPr>
          <w:p w:rsidR="008346AD" w:rsidRPr="00F94D3B" w:rsidRDefault="008346AD" w:rsidP="001A08F9">
            <w:pPr>
              <w:tabs>
                <w:tab w:val="left" w:pos="720"/>
              </w:tabs>
              <w:jc w:val="both"/>
            </w:pPr>
            <w:r w:rsidRPr="00F94D3B">
              <w:t>ІІ</w:t>
            </w:r>
            <w:r>
              <w:t>І</w:t>
            </w:r>
            <w:r w:rsidRPr="00F94D3B">
              <w:t>. Баланс към 31.12.201</w:t>
            </w:r>
            <w:r>
              <w:t>2</w:t>
            </w:r>
            <w:r w:rsidRPr="00F94D3B">
              <w:t xml:space="preserve"> г.</w:t>
            </w:r>
          </w:p>
        </w:tc>
        <w:tc>
          <w:tcPr>
            <w:tcW w:w="1744" w:type="dxa"/>
          </w:tcPr>
          <w:p w:rsidR="008346AD" w:rsidRPr="00DC1904" w:rsidRDefault="008346AD" w:rsidP="001A08F9">
            <w:pPr>
              <w:tabs>
                <w:tab w:val="left" w:pos="720"/>
              </w:tabs>
              <w:jc w:val="center"/>
            </w:pPr>
            <w:r w:rsidRPr="00DC1904">
              <w:t>7</w:t>
            </w:r>
          </w:p>
        </w:tc>
      </w:tr>
      <w:tr w:rsidR="008346AD" w:rsidRPr="0062454F">
        <w:trPr>
          <w:jc w:val="center"/>
        </w:trPr>
        <w:tc>
          <w:tcPr>
            <w:tcW w:w="7542" w:type="dxa"/>
          </w:tcPr>
          <w:p w:rsidR="008346AD" w:rsidRPr="00F94D3B" w:rsidRDefault="008346AD" w:rsidP="001A08F9">
            <w:pPr>
              <w:tabs>
                <w:tab w:val="left" w:pos="0"/>
              </w:tabs>
              <w:jc w:val="both"/>
            </w:pPr>
            <w:r>
              <w:t xml:space="preserve">1. </w:t>
            </w:r>
            <w:r w:rsidRPr="00F94D3B">
              <w:t>Актив</w:t>
            </w:r>
          </w:p>
        </w:tc>
        <w:tc>
          <w:tcPr>
            <w:tcW w:w="1744" w:type="dxa"/>
          </w:tcPr>
          <w:p w:rsidR="008346AD" w:rsidRPr="00DC1904" w:rsidRDefault="008346AD" w:rsidP="001A08F9">
            <w:pPr>
              <w:tabs>
                <w:tab w:val="left" w:pos="720"/>
              </w:tabs>
              <w:jc w:val="center"/>
            </w:pPr>
            <w:r w:rsidRPr="00DC1904">
              <w:t>8</w:t>
            </w:r>
          </w:p>
        </w:tc>
      </w:tr>
      <w:tr w:rsidR="008346AD" w:rsidRPr="0062454F">
        <w:trPr>
          <w:jc w:val="center"/>
        </w:trPr>
        <w:tc>
          <w:tcPr>
            <w:tcW w:w="7542" w:type="dxa"/>
          </w:tcPr>
          <w:p w:rsidR="008346AD" w:rsidRPr="00F94D3B" w:rsidRDefault="008346AD" w:rsidP="001A08F9">
            <w:pPr>
              <w:jc w:val="both"/>
            </w:pPr>
            <w:r>
              <w:t>2.</w:t>
            </w:r>
            <w:r w:rsidRPr="00F94D3B">
              <w:t xml:space="preserve"> Пасив</w:t>
            </w:r>
          </w:p>
        </w:tc>
        <w:tc>
          <w:tcPr>
            <w:tcW w:w="1744" w:type="dxa"/>
          </w:tcPr>
          <w:p w:rsidR="008346AD" w:rsidRPr="00DC1904" w:rsidRDefault="008346AD" w:rsidP="001A08F9">
            <w:pPr>
              <w:tabs>
                <w:tab w:val="left" w:pos="720"/>
              </w:tabs>
              <w:jc w:val="center"/>
            </w:pPr>
            <w:r w:rsidRPr="00DC1904">
              <w:t>8</w:t>
            </w:r>
          </w:p>
        </w:tc>
      </w:tr>
      <w:tr w:rsidR="008346AD" w:rsidRPr="0062454F">
        <w:trPr>
          <w:jc w:val="center"/>
        </w:trPr>
        <w:tc>
          <w:tcPr>
            <w:tcW w:w="7542" w:type="dxa"/>
          </w:tcPr>
          <w:p w:rsidR="008346AD" w:rsidRDefault="008346AD" w:rsidP="001A08F9">
            <w:pPr>
              <w:jc w:val="both"/>
            </w:pPr>
            <w:r>
              <w:t>3.</w:t>
            </w:r>
            <w:r>
              <w:rPr>
                <w:b/>
                <w:bCs/>
              </w:rPr>
              <w:t xml:space="preserve"> </w:t>
            </w:r>
            <w:r w:rsidRPr="001F729A">
              <w:t>Инвентаризация на активите и пасивите</w:t>
            </w:r>
          </w:p>
        </w:tc>
        <w:tc>
          <w:tcPr>
            <w:tcW w:w="1744" w:type="dxa"/>
          </w:tcPr>
          <w:p w:rsidR="008346AD" w:rsidRPr="00DC1904" w:rsidRDefault="008346AD" w:rsidP="001A08F9">
            <w:pPr>
              <w:tabs>
                <w:tab w:val="left" w:pos="720"/>
              </w:tabs>
              <w:jc w:val="center"/>
            </w:pPr>
            <w:r w:rsidRPr="00DC1904">
              <w:t>9</w:t>
            </w:r>
          </w:p>
        </w:tc>
      </w:tr>
      <w:tr w:rsidR="008346AD" w:rsidRPr="0062454F">
        <w:trPr>
          <w:jc w:val="center"/>
        </w:trPr>
        <w:tc>
          <w:tcPr>
            <w:tcW w:w="7542" w:type="dxa"/>
          </w:tcPr>
          <w:p w:rsidR="008346AD" w:rsidRPr="001F729A" w:rsidRDefault="008346AD" w:rsidP="001A08F9">
            <w:pPr>
              <w:tabs>
                <w:tab w:val="left" w:pos="0"/>
              </w:tabs>
              <w:jc w:val="both"/>
            </w:pPr>
            <w:r w:rsidRPr="001F729A">
              <w:t>І</w:t>
            </w:r>
            <w:r>
              <w:t>V</w:t>
            </w:r>
            <w:r w:rsidRPr="001F729A">
              <w:t>. Приложения към годишния финансов отчет</w:t>
            </w:r>
          </w:p>
        </w:tc>
        <w:tc>
          <w:tcPr>
            <w:tcW w:w="1744" w:type="dxa"/>
          </w:tcPr>
          <w:p w:rsidR="008346AD" w:rsidRPr="00DC1904" w:rsidRDefault="008346AD" w:rsidP="001A08F9">
            <w:pPr>
              <w:tabs>
                <w:tab w:val="left" w:pos="720"/>
              </w:tabs>
              <w:jc w:val="center"/>
            </w:pPr>
            <w:r w:rsidRPr="00DC1904">
              <w:t>11</w:t>
            </w:r>
          </w:p>
        </w:tc>
      </w:tr>
      <w:tr w:rsidR="008346AD" w:rsidRPr="0062454F">
        <w:trPr>
          <w:jc w:val="center"/>
        </w:trPr>
        <w:tc>
          <w:tcPr>
            <w:tcW w:w="7542" w:type="dxa"/>
          </w:tcPr>
          <w:p w:rsidR="008346AD" w:rsidRPr="00FB0281" w:rsidRDefault="008346AD" w:rsidP="001A08F9">
            <w:pPr>
              <w:tabs>
                <w:tab w:val="left" w:pos="720"/>
              </w:tabs>
              <w:jc w:val="both"/>
              <w:rPr>
                <w:b/>
                <w:bCs/>
              </w:rPr>
            </w:pPr>
            <w:r w:rsidRPr="00FB0281">
              <w:rPr>
                <w:b/>
                <w:bCs/>
              </w:rPr>
              <w:t>Част трета. ЗАКЛЮЧЕНИЕ</w:t>
            </w:r>
          </w:p>
        </w:tc>
        <w:tc>
          <w:tcPr>
            <w:tcW w:w="1744" w:type="dxa"/>
          </w:tcPr>
          <w:p w:rsidR="008346AD" w:rsidRPr="00215CDF" w:rsidRDefault="008346AD" w:rsidP="001A08F9">
            <w:pPr>
              <w:tabs>
                <w:tab w:val="left" w:pos="720"/>
              </w:tabs>
              <w:jc w:val="center"/>
            </w:pPr>
            <w:r w:rsidRPr="00215CDF">
              <w:t>11</w:t>
            </w:r>
          </w:p>
        </w:tc>
      </w:tr>
    </w:tbl>
    <w:p w:rsidR="008346AD" w:rsidRPr="0026135F" w:rsidRDefault="008346AD" w:rsidP="00131139">
      <w:pPr>
        <w:tabs>
          <w:tab w:val="left" w:pos="0"/>
        </w:tabs>
        <w:spacing w:before="120" w:after="360"/>
        <w:ind w:firstLine="1077"/>
        <w:rPr>
          <w:b/>
          <w:bCs/>
        </w:rPr>
      </w:pPr>
      <w:r w:rsidRPr="0062454F">
        <w:rPr>
          <w:b/>
          <w:bCs/>
        </w:rPr>
        <w:br w:type="page"/>
      </w:r>
      <w:r w:rsidRPr="0026135F">
        <w:rPr>
          <w:b/>
          <w:bCs/>
        </w:rPr>
        <w:t>СПИСЪК НА СЪКРАЩЕНИЯТА</w:t>
      </w:r>
    </w:p>
    <w:tbl>
      <w:tblPr>
        <w:tblW w:w="0" w:type="auto"/>
        <w:jc w:val="center"/>
        <w:tblLook w:val="01E0"/>
      </w:tblPr>
      <w:tblGrid>
        <w:gridCol w:w="2360"/>
        <w:gridCol w:w="6926"/>
      </w:tblGrid>
      <w:tr w:rsidR="008346AD" w:rsidRPr="0026135F">
        <w:trPr>
          <w:jc w:val="center"/>
        </w:trPr>
        <w:tc>
          <w:tcPr>
            <w:tcW w:w="2360" w:type="dxa"/>
          </w:tcPr>
          <w:p w:rsidR="008346AD" w:rsidRPr="0026135F" w:rsidRDefault="008346AD" w:rsidP="001A08F9">
            <w:pPr>
              <w:tabs>
                <w:tab w:val="left" w:pos="720"/>
              </w:tabs>
              <w:jc w:val="both"/>
            </w:pPr>
            <w:r w:rsidRPr="0026135F">
              <w:t>ГФО</w:t>
            </w:r>
          </w:p>
        </w:tc>
        <w:tc>
          <w:tcPr>
            <w:tcW w:w="6926" w:type="dxa"/>
          </w:tcPr>
          <w:p w:rsidR="008346AD" w:rsidRPr="0026135F" w:rsidRDefault="008346AD" w:rsidP="001A08F9">
            <w:pPr>
              <w:tabs>
                <w:tab w:val="left" w:pos="720"/>
              </w:tabs>
              <w:jc w:val="both"/>
            </w:pPr>
            <w:r w:rsidRPr="0026135F">
              <w:t>Годишен финансов отчет</w:t>
            </w:r>
          </w:p>
        </w:tc>
      </w:tr>
      <w:tr w:rsidR="008346AD" w:rsidRPr="0026135F">
        <w:trPr>
          <w:jc w:val="center"/>
        </w:trPr>
        <w:tc>
          <w:tcPr>
            <w:tcW w:w="2360" w:type="dxa"/>
          </w:tcPr>
          <w:p w:rsidR="008346AD" w:rsidRPr="0026135F" w:rsidRDefault="008346AD" w:rsidP="001A08F9">
            <w:pPr>
              <w:tabs>
                <w:tab w:val="left" w:pos="720"/>
              </w:tabs>
              <w:jc w:val="both"/>
            </w:pPr>
            <w:r w:rsidRPr="0026135F">
              <w:t>ДДС</w:t>
            </w:r>
          </w:p>
        </w:tc>
        <w:tc>
          <w:tcPr>
            <w:tcW w:w="6926" w:type="dxa"/>
          </w:tcPr>
          <w:p w:rsidR="008346AD" w:rsidRPr="0026135F" w:rsidRDefault="008346AD" w:rsidP="001A08F9">
            <w:pPr>
              <w:tabs>
                <w:tab w:val="left" w:pos="720"/>
              </w:tabs>
              <w:jc w:val="both"/>
            </w:pPr>
            <w:r w:rsidRPr="0026135F">
              <w:t>Дирекция „Държавно съкровище“</w:t>
            </w:r>
          </w:p>
        </w:tc>
      </w:tr>
      <w:tr w:rsidR="008346AD" w:rsidRPr="0026135F">
        <w:trPr>
          <w:jc w:val="center"/>
        </w:trPr>
        <w:tc>
          <w:tcPr>
            <w:tcW w:w="2360" w:type="dxa"/>
          </w:tcPr>
          <w:p w:rsidR="008346AD" w:rsidRPr="0026135F" w:rsidRDefault="008346AD" w:rsidP="001A08F9">
            <w:pPr>
              <w:tabs>
                <w:tab w:val="left" w:pos="720"/>
              </w:tabs>
              <w:jc w:val="both"/>
            </w:pPr>
            <w:r w:rsidRPr="0026135F">
              <w:t>ДМА</w:t>
            </w:r>
          </w:p>
        </w:tc>
        <w:tc>
          <w:tcPr>
            <w:tcW w:w="6926" w:type="dxa"/>
          </w:tcPr>
          <w:p w:rsidR="008346AD" w:rsidRPr="0026135F" w:rsidRDefault="008346AD" w:rsidP="001A08F9">
            <w:pPr>
              <w:tabs>
                <w:tab w:val="left" w:pos="720"/>
              </w:tabs>
              <w:jc w:val="both"/>
            </w:pPr>
            <w:r w:rsidRPr="0026135F">
              <w:t>Дълготрайни материални активи</w:t>
            </w:r>
          </w:p>
        </w:tc>
      </w:tr>
      <w:tr w:rsidR="008346AD" w:rsidRPr="0026135F">
        <w:trPr>
          <w:jc w:val="center"/>
        </w:trPr>
        <w:tc>
          <w:tcPr>
            <w:tcW w:w="2360" w:type="dxa"/>
          </w:tcPr>
          <w:p w:rsidR="008346AD" w:rsidRPr="0026135F" w:rsidRDefault="008346AD" w:rsidP="001A08F9">
            <w:pPr>
              <w:tabs>
                <w:tab w:val="left" w:pos="720"/>
              </w:tabs>
              <w:jc w:val="both"/>
            </w:pPr>
            <w:r w:rsidRPr="0026135F">
              <w:t>ЕБК</w:t>
            </w:r>
          </w:p>
        </w:tc>
        <w:tc>
          <w:tcPr>
            <w:tcW w:w="6926" w:type="dxa"/>
          </w:tcPr>
          <w:p w:rsidR="008346AD" w:rsidRPr="0026135F" w:rsidRDefault="008346AD" w:rsidP="001A08F9">
            <w:pPr>
              <w:tabs>
                <w:tab w:val="left" w:pos="720"/>
              </w:tabs>
              <w:jc w:val="both"/>
            </w:pPr>
            <w:r w:rsidRPr="0026135F">
              <w:t>Единна бюджетна класификация</w:t>
            </w:r>
          </w:p>
        </w:tc>
      </w:tr>
      <w:tr w:rsidR="008346AD" w:rsidRPr="0026135F">
        <w:trPr>
          <w:jc w:val="center"/>
        </w:trPr>
        <w:tc>
          <w:tcPr>
            <w:tcW w:w="2360" w:type="dxa"/>
          </w:tcPr>
          <w:p w:rsidR="008346AD" w:rsidRPr="0026135F" w:rsidRDefault="008346AD" w:rsidP="001A08F9">
            <w:pPr>
              <w:tabs>
                <w:tab w:val="left" w:pos="720"/>
              </w:tabs>
              <w:jc w:val="both"/>
            </w:pPr>
            <w:r w:rsidRPr="0026135F">
              <w:t>ЗСч</w:t>
            </w:r>
          </w:p>
        </w:tc>
        <w:tc>
          <w:tcPr>
            <w:tcW w:w="6926" w:type="dxa"/>
          </w:tcPr>
          <w:p w:rsidR="008346AD" w:rsidRPr="0026135F" w:rsidRDefault="008346AD" w:rsidP="001A08F9">
            <w:pPr>
              <w:tabs>
                <w:tab w:val="left" w:pos="720"/>
              </w:tabs>
              <w:jc w:val="both"/>
            </w:pPr>
            <w:r w:rsidRPr="0026135F">
              <w:t>Закон за счетоводството</w:t>
            </w:r>
          </w:p>
        </w:tc>
      </w:tr>
      <w:tr w:rsidR="008346AD" w:rsidRPr="0026135F">
        <w:trPr>
          <w:jc w:val="center"/>
        </w:trPr>
        <w:tc>
          <w:tcPr>
            <w:tcW w:w="2360" w:type="dxa"/>
          </w:tcPr>
          <w:p w:rsidR="008346AD" w:rsidRPr="0026135F" w:rsidRDefault="008346AD" w:rsidP="001A08F9">
            <w:pPr>
              <w:tabs>
                <w:tab w:val="left" w:pos="720"/>
              </w:tabs>
              <w:jc w:val="both"/>
            </w:pPr>
            <w:r w:rsidRPr="0026135F">
              <w:t>ЗКПО</w:t>
            </w:r>
          </w:p>
        </w:tc>
        <w:tc>
          <w:tcPr>
            <w:tcW w:w="6926" w:type="dxa"/>
          </w:tcPr>
          <w:p w:rsidR="008346AD" w:rsidRPr="0026135F" w:rsidRDefault="008346AD" w:rsidP="001A08F9">
            <w:pPr>
              <w:tabs>
                <w:tab w:val="left" w:pos="720"/>
              </w:tabs>
              <w:jc w:val="both"/>
            </w:pPr>
            <w:r w:rsidRPr="0026135F">
              <w:t>Закон за корпоративното подоходно облагане</w:t>
            </w:r>
          </w:p>
        </w:tc>
      </w:tr>
      <w:tr w:rsidR="008346AD" w:rsidRPr="0026135F">
        <w:trPr>
          <w:jc w:val="center"/>
        </w:trPr>
        <w:tc>
          <w:tcPr>
            <w:tcW w:w="2360" w:type="dxa"/>
          </w:tcPr>
          <w:p w:rsidR="008346AD" w:rsidRPr="0026135F" w:rsidRDefault="008346AD" w:rsidP="001A08F9">
            <w:pPr>
              <w:tabs>
                <w:tab w:val="left" w:pos="720"/>
              </w:tabs>
              <w:jc w:val="both"/>
            </w:pPr>
            <w:r w:rsidRPr="0026135F">
              <w:t>ИБСФ</w:t>
            </w:r>
          </w:p>
        </w:tc>
        <w:tc>
          <w:tcPr>
            <w:tcW w:w="6926" w:type="dxa"/>
          </w:tcPr>
          <w:p w:rsidR="008346AD" w:rsidRPr="0026135F" w:rsidRDefault="008346AD" w:rsidP="001A08F9">
            <w:pPr>
              <w:tabs>
                <w:tab w:val="left" w:pos="720"/>
              </w:tabs>
              <w:jc w:val="both"/>
            </w:pPr>
            <w:r w:rsidRPr="0026135F">
              <w:t>Извънбюджетни сметки и фондове</w:t>
            </w:r>
          </w:p>
        </w:tc>
      </w:tr>
      <w:tr w:rsidR="008346AD" w:rsidRPr="0026135F">
        <w:trPr>
          <w:jc w:val="center"/>
        </w:trPr>
        <w:tc>
          <w:tcPr>
            <w:tcW w:w="2360" w:type="dxa"/>
          </w:tcPr>
          <w:p w:rsidR="008346AD" w:rsidRPr="0026135F" w:rsidRDefault="008346AD" w:rsidP="001A08F9">
            <w:pPr>
              <w:tabs>
                <w:tab w:val="left" w:pos="720"/>
              </w:tabs>
              <w:jc w:val="both"/>
            </w:pPr>
            <w:r w:rsidRPr="0026135F">
              <w:t>МФ</w:t>
            </w:r>
          </w:p>
        </w:tc>
        <w:tc>
          <w:tcPr>
            <w:tcW w:w="6926" w:type="dxa"/>
          </w:tcPr>
          <w:p w:rsidR="008346AD" w:rsidRPr="0026135F" w:rsidRDefault="008346AD" w:rsidP="001A08F9">
            <w:pPr>
              <w:tabs>
                <w:tab w:val="left" w:pos="720"/>
              </w:tabs>
              <w:jc w:val="both"/>
            </w:pPr>
            <w:r w:rsidRPr="0026135F">
              <w:t>Министерство на финансите</w:t>
            </w:r>
          </w:p>
        </w:tc>
      </w:tr>
      <w:tr w:rsidR="008346AD" w:rsidRPr="0026135F">
        <w:trPr>
          <w:jc w:val="center"/>
        </w:trPr>
        <w:tc>
          <w:tcPr>
            <w:tcW w:w="2360" w:type="dxa"/>
          </w:tcPr>
          <w:p w:rsidR="008346AD" w:rsidRPr="0026135F" w:rsidRDefault="008346AD" w:rsidP="001A08F9">
            <w:pPr>
              <w:tabs>
                <w:tab w:val="left" w:pos="720"/>
              </w:tabs>
              <w:jc w:val="both"/>
            </w:pPr>
            <w:r w:rsidRPr="0026135F">
              <w:t>НДА</w:t>
            </w:r>
          </w:p>
        </w:tc>
        <w:tc>
          <w:tcPr>
            <w:tcW w:w="6926" w:type="dxa"/>
          </w:tcPr>
          <w:p w:rsidR="008346AD" w:rsidRPr="0026135F" w:rsidRDefault="008346AD" w:rsidP="001A08F9">
            <w:pPr>
              <w:tabs>
                <w:tab w:val="left" w:pos="720"/>
              </w:tabs>
              <w:jc w:val="both"/>
            </w:pPr>
            <w:r w:rsidRPr="0026135F">
              <w:t>Нематериални дълготрайни активи</w:t>
            </w:r>
          </w:p>
        </w:tc>
      </w:tr>
      <w:tr w:rsidR="008346AD" w:rsidRPr="0026135F">
        <w:trPr>
          <w:jc w:val="center"/>
        </w:trPr>
        <w:tc>
          <w:tcPr>
            <w:tcW w:w="2360" w:type="dxa"/>
          </w:tcPr>
          <w:p w:rsidR="008346AD" w:rsidRPr="0026135F" w:rsidRDefault="008346AD" w:rsidP="001A08F9">
            <w:pPr>
              <w:tabs>
                <w:tab w:val="left" w:pos="720"/>
              </w:tabs>
              <w:jc w:val="both"/>
            </w:pPr>
            <w:r w:rsidRPr="0026135F">
              <w:t>ОКИБ</w:t>
            </w:r>
          </w:p>
        </w:tc>
        <w:tc>
          <w:tcPr>
            <w:tcW w:w="6926" w:type="dxa"/>
          </w:tcPr>
          <w:p w:rsidR="008346AD" w:rsidRPr="0026135F" w:rsidRDefault="008346AD" w:rsidP="001A08F9">
            <w:pPr>
              <w:tabs>
                <w:tab w:val="left" w:pos="720"/>
              </w:tabs>
              <w:jc w:val="both"/>
            </w:pPr>
            <w:r w:rsidRPr="0026135F">
              <w:t>Отчет за касовото изпълнение на бюджета</w:t>
            </w:r>
          </w:p>
        </w:tc>
      </w:tr>
      <w:tr w:rsidR="008346AD" w:rsidRPr="0026135F">
        <w:trPr>
          <w:jc w:val="center"/>
        </w:trPr>
        <w:tc>
          <w:tcPr>
            <w:tcW w:w="2360" w:type="dxa"/>
          </w:tcPr>
          <w:p w:rsidR="008346AD" w:rsidRPr="0026135F" w:rsidRDefault="008346AD" w:rsidP="001A08F9">
            <w:pPr>
              <w:tabs>
                <w:tab w:val="left" w:pos="720"/>
              </w:tabs>
              <w:jc w:val="both"/>
            </w:pPr>
            <w:r w:rsidRPr="0026135F">
              <w:t>ОП</w:t>
            </w:r>
          </w:p>
        </w:tc>
        <w:tc>
          <w:tcPr>
            <w:tcW w:w="6926" w:type="dxa"/>
          </w:tcPr>
          <w:p w:rsidR="008346AD" w:rsidRPr="0026135F" w:rsidRDefault="008346AD" w:rsidP="001A08F9">
            <w:pPr>
              <w:tabs>
                <w:tab w:val="left" w:pos="720"/>
              </w:tabs>
              <w:jc w:val="both"/>
            </w:pPr>
            <w:r w:rsidRPr="0026135F">
              <w:t>Общинско предприятие</w:t>
            </w:r>
          </w:p>
        </w:tc>
      </w:tr>
      <w:tr w:rsidR="008346AD" w:rsidRPr="0026135F">
        <w:trPr>
          <w:jc w:val="center"/>
        </w:trPr>
        <w:tc>
          <w:tcPr>
            <w:tcW w:w="2360" w:type="dxa"/>
          </w:tcPr>
          <w:p w:rsidR="008346AD" w:rsidRPr="0026135F" w:rsidRDefault="008346AD" w:rsidP="001A08F9">
            <w:pPr>
              <w:tabs>
                <w:tab w:val="left" w:pos="720"/>
              </w:tabs>
              <w:jc w:val="both"/>
            </w:pPr>
            <w:r w:rsidRPr="0026135F">
              <w:t>ОУ</w:t>
            </w:r>
          </w:p>
        </w:tc>
        <w:tc>
          <w:tcPr>
            <w:tcW w:w="6926" w:type="dxa"/>
          </w:tcPr>
          <w:p w:rsidR="008346AD" w:rsidRPr="0026135F" w:rsidRDefault="008346AD" w:rsidP="001A08F9">
            <w:pPr>
              <w:tabs>
                <w:tab w:val="left" w:pos="720"/>
              </w:tabs>
              <w:jc w:val="both"/>
            </w:pPr>
            <w:r w:rsidRPr="0026135F">
              <w:t>Основно училище</w:t>
            </w:r>
          </w:p>
        </w:tc>
      </w:tr>
      <w:tr w:rsidR="008346AD" w:rsidRPr="0026135F">
        <w:trPr>
          <w:jc w:val="center"/>
        </w:trPr>
        <w:tc>
          <w:tcPr>
            <w:tcW w:w="2360" w:type="dxa"/>
          </w:tcPr>
          <w:p w:rsidR="008346AD" w:rsidRPr="0026135F" w:rsidRDefault="008346AD" w:rsidP="001A08F9">
            <w:pPr>
              <w:tabs>
                <w:tab w:val="left" w:pos="720"/>
              </w:tabs>
              <w:jc w:val="both"/>
            </w:pPr>
            <w:r w:rsidRPr="0026135F">
              <w:t>ПГТ</w:t>
            </w:r>
          </w:p>
        </w:tc>
        <w:tc>
          <w:tcPr>
            <w:tcW w:w="6926" w:type="dxa"/>
          </w:tcPr>
          <w:p w:rsidR="008346AD" w:rsidRPr="0026135F" w:rsidRDefault="008346AD" w:rsidP="001A08F9">
            <w:pPr>
              <w:tabs>
                <w:tab w:val="left" w:pos="720"/>
              </w:tabs>
              <w:jc w:val="both"/>
            </w:pPr>
            <w:r w:rsidRPr="0026135F">
              <w:t>Професионална гимназия по туризъм</w:t>
            </w:r>
          </w:p>
        </w:tc>
      </w:tr>
      <w:tr w:rsidR="008346AD" w:rsidRPr="0026135F">
        <w:trPr>
          <w:jc w:val="center"/>
        </w:trPr>
        <w:tc>
          <w:tcPr>
            <w:tcW w:w="2360" w:type="dxa"/>
          </w:tcPr>
          <w:p w:rsidR="008346AD" w:rsidRPr="0026135F" w:rsidRDefault="008346AD" w:rsidP="001A08F9">
            <w:pPr>
              <w:tabs>
                <w:tab w:val="left" w:pos="720"/>
              </w:tabs>
              <w:jc w:val="both"/>
            </w:pPr>
            <w:r w:rsidRPr="0026135F">
              <w:t>СБП</w:t>
            </w:r>
          </w:p>
        </w:tc>
        <w:tc>
          <w:tcPr>
            <w:tcW w:w="6926" w:type="dxa"/>
          </w:tcPr>
          <w:p w:rsidR="008346AD" w:rsidRPr="0026135F" w:rsidRDefault="008346AD" w:rsidP="001A08F9">
            <w:pPr>
              <w:tabs>
                <w:tab w:val="left" w:pos="720"/>
              </w:tabs>
              <w:jc w:val="both"/>
            </w:pPr>
            <w:r w:rsidRPr="0026135F">
              <w:t>Сметкоплан на бюджетните предприятия</w:t>
            </w:r>
          </w:p>
        </w:tc>
      </w:tr>
      <w:tr w:rsidR="008346AD" w:rsidRPr="0026135F">
        <w:trPr>
          <w:jc w:val="center"/>
        </w:trPr>
        <w:tc>
          <w:tcPr>
            <w:tcW w:w="2360" w:type="dxa"/>
          </w:tcPr>
          <w:p w:rsidR="008346AD" w:rsidRPr="0026135F" w:rsidRDefault="008346AD" w:rsidP="001A08F9">
            <w:pPr>
              <w:tabs>
                <w:tab w:val="left" w:pos="720"/>
              </w:tabs>
              <w:jc w:val="both"/>
            </w:pPr>
            <w:r w:rsidRPr="0026135F">
              <w:t>СОУ</w:t>
            </w:r>
          </w:p>
        </w:tc>
        <w:tc>
          <w:tcPr>
            <w:tcW w:w="6926" w:type="dxa"/>
          </w:tcPr>
          <w:p w:rsidR="008346AD" w:rsidRPr="0026135F" w:rsidRDefault="008346AD" w:rsidP="001A08F9">
            <w:pPr>
              <w:tabs>
                <w:tab w:val="left" w:pos="720"/>
              </w:tabs>
              <w:jc w:val="both"/>
            </w:pPr>
            <w:r w:rsidRPr="0026135F">
              <w:t>Средно общообразователно училище</w:t>
            </w:r>
          </w:p>
        </w:tc>
      </w:tr>
    </w:tbl>
    <w:p w:rsidR="008346AD" w:rsidRDefault="008346AD" w:rsidP="00131139">
      <w:pPr>
        <w:tabs>
          <w:tab w:val="left" w:pos="0"/>
        </w:tabs>
        <w:spacing w:before="120" w:after="360"/>
        <w:ind w:firstLine="709"/>
        <w:rPr>
          <w:b/>
          <w:bCs/>
        </w:rPr>
      </w:pPr>
      <w:r w:rsidRPr="0026135F">
        <w:rPr>
          <w:b/>
          <w:bCs/>
        </w:rPr>
        <w:br w:type="page"/>
      </w:r>
      <w:r>
        <w:rPr>
          <w:b/>
          <w:bCs/>
        </w:rPr>
        <w:t>Част първа</w:t>
      </w:r>
    </w:p>
    <w:p w:rsidR="008346AD" w:rsidRDefault="008346AD" w:rsidP="00131139">
      <w:pPr>
        <w:tabs>
          <w:tab w:val="left" w:pos="720"/>
        </w:tabs>
        <w:spacing w:before="120" w:after="120"/>
        <w:ind w:firstLine="720"/>
        <w:jc w:val="both"/>
        <w:rPr>
          <w:b/>
          <w:bCs/>
        </w:rPr>
      </w:pPr>
      <w:r>
        <w:rPr>
          <w:b/>
          <w:bCs/>
        </w:rPr>
        <w:t>ВЪВЕДЕНИЕ</w:t>
      </w:r>
    </w:p>
    <w:p w:rsidR="008346AD" w:rsidRDefault="008346AD" w:rsidP="00131139">
      <w:pPr>
        <w:tabs>
          <w:tab w:val="left" w:pos="720"/>
        </w:tabs>
        <w:ind w:firstLine="720"/>
        <w:jc w:val="both"/>
      </w:pPr>
      <w:r>
        <w:t>Одитът се извърши на приложения годишен финансов отчет на община Поморие, включващ баланс към 31.12.2012 г., годишен отчет за касовото изпълнение на бюджета и извънбюджетните сметки и фондове, както и приложенията към тях</w:t>
      </w:r>
      <w:r>
        <w:rPr>
          <w:rStyle w:val="FootnoteReference"/>
        </w:rPr>
        <w:footnoteReference w:id="2"/>
      </w:r>
      <w:r>
        <w:t>, изготвени съгласно изискванията на приложимата обща рамка на финансово отчитане.</w:t>
      </w:r>
    </w:p>
    <w:p w:rsidR="008346AD" w:rsidRDefault="008346AD" w:rsidP="00131139">
      <w:pPr>
        <w:tabs>
          <w:tab w:val="left" w:pos="720"/>
        </w:tabs>
        <w:ind w:firstLine="720"/>
        <w:jc w:val="both"/>
      </w:pPr>
    </w:p>
    <w:p w:rsidR="008346AD" w:rsidRPr="00834E7B" w:rsidRDefault="008346AD" w:rsidP="00131139">
      <w:pPr>
        <w:numPr>
          <w:ilvl w:val="0"/>
          <w:numId w:val="2"/>
        </w:numPr>
        <w:tabs>
          <w:tab w:val="left" w:pos="993"/>
        </w:tabs>
        <w:ind w:left="0" w:firstLine="882"/>
        <w:jc w:val="both"/>
        <w:rPr>
          <w:b/>
          <w:bCs/>
        </w:rPr>
      </w:pPr>
      <w:r w:rsidRPr="00834E7B">
        <w:rPr>
          <w:b/>
          <w:bCs/>
        </w:rPr>
        <w:t>Основание за извършване на одита</w:t>
      </w:r>
    </w:p>
    <w:p w:rsidR="008346AD" w:rsidRDefault="008346AD" w:rsidP="00131139">
      <w:pPr>
        <w:ind w:firstLine="709"/>
        <w:jc w:val="both"/>
      </w:pPr>
      <w:r w:rsidRPr="00834E7B">
        <w:t xml:space="preserve">Одитът </w:t>
      </w:r>
      <w:r>
        <w:t>с</w:t>
      </w:r>
      <w:r w:rsidRPr="00834E7B">
        <w:t>е осъществ</w:t>
      </w:r>
      <w:r>
        <w:t>и</w:t>
      </w:r>
      <w:r w:rsidRPr="00834E7B">
        <w:t xml:space="preserve"> на основание чл. 53, ал. 1</w:t>
      </w:r>
      <w:r w:rsidRPr="00834E7B">
        <w:rPr>
          <w:lang w:val="ru-RU"/>
        </w:rPr>
        <w:t xml:space="preserve"> </w:t>
      </w:r>
      <w:r w:rsidRPr="00834E7B">
        <w:t>от Закона за Сметната палата,  Програмата за одитната дейност на Сметната пала</w:t>
      </w:r>
      <w:r>
        <w:t>та на Република България за 2013</w:t>
      </w:r>
      <w:r w:rsidRPr="00834E7B">
        <w:t xml:space="preserve"> г. и в изпълнение на </w:t>
      </w:r>
      <w:r>
        <w:t>З</w:t>
      </w:r>
      <w:r w:rsidRPr="00834E7B">
        <w:t xml:space="preserve">аповед № </w:t>
      </w:r>
      <w:r>
        <w:t>ОД-1-1</w:t>
      </w:r>
      <w:r>
        <w:rPr>
          <w:lang w:val="en-US"/>
        </w:rPr>
        <w:t>9</w:t>
      </w:r>
      <w:r>
        <w:t xml:space="preserve">3 </w:t>
      </w:r>
      <w:r w:rsidRPr="005B7FEA">
        <w:t xml:space="preserve">от </w:t>
      </w:r>
      <w:r>
        <w:t>09.0</w:t>
      </w:r>
      <w:r>
        <w:rPr>
          <w:lang w:val="en-US"/>
        </w:rPr>
        <w:t>5</w:t>
      </w:r>
      <w:r>
        <w:t>.</w:t>
      </w:r>
      <w:r w:rsidRPr="005B7FEA">
        <w:t>20</w:t>
      </w:r>
      <w:r>
        <w:t xml:space="preserve">13 </w:t>
      </w:r>
      <w:r w:rsidRPr="005B7FEA">
        <w:t xml:space="preserve">г. </w:t>
      </w:r>
      <w:r w:rsidRPr="00834E7B">
        <w:t>на заместник-председат</w:t>
      </w:r>
      <w:r>
        <w:t>еля на Сметната палата</w:t>
      </w:r>
      <w:r w:rsidRPr="00834E7B">
        <w:t xml:space="preserve">. </w:t>
      </w:r>
    </w:p>
    <w:p w:rsidR="008346AD" w:rsidRDefault="008346AD" w:rsidP="00131139">
      <w:pPr>
        <w:ind w:firstLine="709"/>
        <w:jc w:val="both"/>
      </w:pPr>
    </w:p>
    <w:p w:rsidR="008346AD" w:rsidRPr="006B4387" w:rsidRDefault="008346AD" w:rsidP="00131139">
      <w:pPr>
        <w:numPr>
          <w:ilvl w:val="0"/>
          <w:numId w:val="2"/>
        </w:numPr>
        <w:tabs>
          <w:tab w:val="left" w:pos="1134"/>
        </w:tabs>
        <w:ind w:left="0" w:firstLine="952"/>
        <w:jc w:val="both"/>
        <w:rPr>
          <w:b/>
          <w:bCs/>
        </w:rPr>
      </w:pPr>
      <w:r w:rsidRPr="006B4387">
        <w:rPr>
          <w:b/>
          <w:bCs/>
        </w:rPr>
        <w:t>Предмет на одита</w:t>
      </w:r>
    </w:p>
    <w:p w:rsidR="008346AD" w:rsidRPr="00C32734" w:rsidRDefault="008346AD" w:rsidP="00131139">
      <w:pPr>
        <w:ind w:firstLine="708"/>
        <w:jc w:val="both"/>
        <w:rPr>
          <w:lang w:val="en-US"/>
        </w:rPr>
      </w:pPr>
      <w:r>
        <w:t>Предмет на одита е</w:t>
      </w:r>
      <w:r w:rsidRPr="006B4387">
        <w:t xml:space="preserve"> </w:t>
      </w:r>
      <w:r w:rsidRPr="00DB7FE2">
        <w:t>годишния финансов отчет (ГФО)</w:t>
      </w:r>
      <w:r w:rsidRPr="006B4387">
        <w:t xml:space="preserve"> за 201</w:t>
      </w:r>
      <w:r>
        <w:t>2</w:t>
      </w:r>
      <w:r w:rsidRPr="006B4387">
        <w:t xml:space="preserve"> г. на </w:t>
      </w:r>
      <w:r>
        <w:t>община Поморие.</w:t>
      </w:r>
    </w:p>
    <w:p w:rsidR="008346AD" w:rsidRPr="006B4387" w:rsidRDefault="008346AD" w:rsidP="00131139">
      <w:pPr>
        <w:ind w:firstLine="708"/>
        <w:jc w:val="both"/>
      </w:pPr>
    </w:p>
    <w:p w:rsidR="008346AD" w:rsidRPr="006B4387" w:rsidRDefault="008346AD" w:rsidP="00131139">
      <w:pPr>
        <w:numPr>
          <w:ilvl w:val="0"/>
          <w:numId w:val="2"/>
        </w:numPr>
        <w:tabs>
          <w:tab w:val="left" w:pos="1134"/>
        </w:tabs>
        <w:ind w:left="0" w:firstLine="1050"/>
        <w:jc w:val="both"/>
        <w:rPr>
          <w:b/>
          <w:bCs/>
        </w:rPr>
      </w:pPr>
      <w:r w:rsidRPr="006B4387">
        <w:rPr>
          <w:b/>
          <w:bCs/>
        </w:rPr>
        <w:t>Одитиран период</w:t>
      </w:r>
    </w:p>
    <w:p w:rsidR="008346AD" w:rsidRDefault="008346AD" w:rsidP="00131139">
      <w:pPr>
        <w:ind w:left="360" w:firstLine="348"/>
      </w:pPr>
      <w:r w:rsidRPr="006B4387">
        <w:t>Одитираният период е от 01.01.201</w:t>
      </w:r>
      <w:r>
        <w:t>2</w:t>
      </w:r>
      <w:r w:rsidRPr="006B4387">
        <w:t xml:space="preserve"> г. до 31.12.201</w:t>
      </w:r>
      <w:r>
        <w:t>2</w:t>
      </w:r>
      <w:r w:rsidRPr="006B4387">
        <w:t xml:space="preserve"> г.</w:t>
      </w:r>
    </w:p>
    <w:p w:rsidR="008346AD" w:rsidRPr="006B4387" w:rsidRDefault="008346AD" w:rsidP="00131139">
      <w:pPr>
        <w:ind w:left="360" w:firstLine="348"/>
      </w:pPr>
    </w:p>
    <w:p w:rsidR="008346AD" w:rsidRPr="00C77EFE" w:rsidRDefault="008346AD" w:rsidP="00131139">
      <w:pPr>
        <w:tabs>
          <w:tab w:val="left" w:pos="0"/>
        </w:tabs>
        <w:ind w:firstLine="709"/>
        <w:jc w:val="both"/>
        <w:rPr>
          <w:b/>
          <w:bCs/>
        </w:rPr>
      </w:pPr>
      <w:r w:rsidRPr="00C77EFE">
        <w:rPr>
          <w:b/>
          <w:bCs/>
        </w:rPr>
        <w:t>Част втора</w:t>
      </w:r>
    </w:p>
    <w:p w:rsidR="008346AD" w:rsidRDefault="008346AD" w:rsidP="00131139">
      <w:pPr>
        <w:tabs>
          <w:tab w:val="left" w:pos="720"/>
        </w:tabs>
        <w:spacing w:before="120" w:after="120"/>
        <w:ind w:firstLine="720"/>
        <w:jc w:val="both"/>
        <w:rPr>
          <w:b/>
          <w:bCs/>
        </w:rPr>
      </w:pPr>
      <w:r>
        <w:rPr>
          <w:b/>
          <w:bCs/>
        </w:rPr>
        <w:t>КОНСТАТАЦИИ</w:t>
      </w:r>
    </w:p>
    <w:p w:rsidR="008346AD" w:rsidRPr="00802C45" w:rsidRDefault="008346AD" w:rsidP="00131139">
      <w:pPr>
        <w:tabs>
          <w:tab w:val="left" w:pos="720"/>
        </w:tabs>
        <w:spacing w:before="120" w:after="120"/>
        <w:ind w:firstLine="720"/>
        <w:jc w:val="both"/>
        <w:rPr>
          <w:b/>
          <w:bCs/>
        </w:rPr>
      </w:pPr>
      <w:r>
        <w:rPr>
          <w:b/>
          <w:bCs/>
        </w:rPr>
        <w:t xml:space="preserve">І. Съответствие на формата, съдържанието и представянето на годишния </w:t>
      </w:r>
      <w:r w:rsidRPr="00802C45">
        <w:rPr>
          <w:b/>
          <w:bCs/>
        </w:rPr>
        <w:t>финансов отчет с нормативните изисквания.</w:t>
      </w:r>
    </w:p>
    <w:p w:rsidR="008346AD" w:rsidRPr="00CE2977" w:rsidRDefault="008346AD" w:rsidP="00131139">
      <w:pPr>
        <w:pStyle w:val="BodyTextIndent3"/>
        <w:spacing w:after="0"/>
        <w:ind w:left="0" w:firstLine="709"/>
        <w:jc w:val="both"/>
        <w:rPr>
          <w:sz w:val="24"/>
          <w:szCs w:val="24"/>
        </w:rPr>
      </w:pPr>
      <w:r w:rsidRPr="00CE2977">
        <w:rPr>
          <w:sz w:val="24"/>
          <w:szCs w:val="24"/>
        </w:rPr>
        <w:t xml:space="preserve">Годишният финансов отчет за 2012 г. на община </w:t>
      </w:r>
      <w:r>
        <w:rPr>
          <w:sz w:val="24"/>
          <w:szCs w:val="24"/>
        </w:rPr>
        <w:t>Поморие</w:t>
      </w:r>
      <w:r w:rsidRPr="00CE2977">
        <w:rPr>
          <w:sz w:val="24"/>
          <w:szCs w:val="24"/>
        </w:rPr>
        <w:t xml:space="preserve"> съответства по форма и съдържание на определените в Заповед № 60 от 20.01.2005 г. на министъра на финансите.</w:t>
      </w:r>
    </w:p>
    <w:p w:rsidR="008346AD" w:rsidRPr="00CE2977" w:rsidRDefault="008346AD" w:rsidP="00131139">
      <w:pPr>
        <w:pStyle w:val="BodyTextIndent3"/>
        <w:spacing w:after="0"/>
        <w:ind w:left="0" w:firstLine="709"/>
        <w:jc w:val="both"/>
        <w:rPr>
          <w:sz w:val="24"/>
          <w:szCs w:val="24"/>
        </w:rPr>
      </w:pPr>
      <w:r w:rsidRPr="00CE2977">
        <w:rPr>
          <w:sz w:val="24"/>
          <w:szCs w:val="24"/>
        </w:rPr>
        <w:t>Отчетът съдържа изискващите се елементи:</w:t>
      </w:r>
    </w:p>
    <w:p w:rsidR="008346AD" w:rsidRPr="00CE2977" w:rsidRDefault="008346AD" w:rsidP="00131139">
      <w:pPr>
        <w:pStyle w:val="BodyTextIndent3"/>
        <w:spacing w:after="0"/>
        <w:ind w:left="0" w:firstLine="709"/>
        <w:jc w:val="both"/>
        <w:rPr>
          <w:sz w:val="24"/>
          <w:szCs w:val="24"/>
        </w:rPr>
      </w:pPr>
      <w:r w:rsidRPr="00CE2977">
        <w:rPr>
          <w:sz w:val="24"/>
          <w:szCs w:val="24"/>
        </w:rPr>
        <w:t>- баланс на бюджетните предпри</w:t>
      </w:r>
      <w:r>
        <w:rPr>
          <w:sz w:val="24"/>
          <w:szCs w:val="24"/>
        </w:rPr>
        <w:t>ятия по форма</w:t>
      </w:r>
      <w:r w:rsidRPr="00CE2977">
        <w:rPr>
          <w:sz w:val="24"/>
          <w:szCs w:val="24"/>
        </w:rPr>
        <w:t>, определена със Заповед № 81 на МФ от 2002 г.;</w:t>
      </w:r>
    </w:p>
    <w:p w:rsidR="008346AD" w:rsidRDefault="008346AD" w:rsidP="00131139">
      <w:pPr>
        <w:pStyle w:val="BodyTextIndent3"/>
        <w:spacing w:after="0"/>
        <w:ind w:left="0" w:firstLine="709"/>
        <w:jc w:val="both"/>
        <w:rPr>
          <w:sz w:val="24"/>
          <w:szCs w:val="24"/>
        </w:rPr>
      </w:pPr>
      <w:r>
        <w:rPr>
          <w:sz w:val="24"/>
          <w:szCs w:val="24"/>
        </w:rPr>
        <w:t>-годишен отчет за касовото изпълнение на бюджета и извънбюджетните сметки и фондове по форма, определена от МФ;</w:t>
      </w:r>
    </w:p>
    <w:p w:rsidR="008346AD" w:rsidRDefault="008346AD" w:rsidP="00131139">
      <w:pPr>
        <w:pStyle w:val="BodyTextIndent3"/>
        <w:spacing w:after="0"/>
        <w:ind w:left="0" w:firstLine="709"/>
        <w:jc w:val="both"/>
        <w:rPr>
          <w:sz w:val="24"/>
          <w:szCs w:val="24"/>
        </w:rPr>
      </w:pPr>
      <w:r>
        <w:rPr>
          <w:sz w:val="24"/>
          <w:szCs w:val="24"/>
        </w:rPr>
        <w:t>- приложение, съдържащо обяснителна записка за изпълнение на бюджета и извънбюджетните сметки и фондове, прилаганата счетоводна политика и информация за състоянието и изменението на активи, пасиви, приходи и разходи.</w:t>
      </w:r>
    </w:p>
    <w:p w:rsidR="008346AD" w:rsidRDefault="008346AD" w:rsidP="00131139">
      <w:pPr>
        <w:pStyle w:val="BodyTextIndent3"/>
        <w:spacing w:after="0"/>
        <w:ind w:left="0" w:firstLine="709"/>
        <w:jc w:val="both"/>
        <w:rPr>
          <w:sz w:val="24"/>
          <w:szCs w:val="24"/>
        </w:rPr>
      </w:pPr>
      <w:r>
        <w:rPr>
          <w:sz w:val="24"/>
          <w:szCs w:val="24"/>
        </w:rPr>
        <w:t>Годишният финансов отчет включва</w:t>
      </w:r>
      <w:r w:rsidRPr="00802C45">
        <w:rPr>
          <w:sz w:val="24"/>
          <w:szCs w:val="24"/>
        </w:rPr>
        <w:t xml:space="preserve"> консолидирани данни от отчетите на общинска ад</w:t>
      </w:r>
      <w:r>
        <w:rPr>
          <w:sz w:val="24"/>
          <w:szCs w:val="24"/>
        </w:rPr>
        <w:t xml:space="preserve">министрация </w:t>
      </w:r>
      <w:r w:rsidRPr="00CE58C2">
        <w:rPr>
          <w:sz w:val="24"/>
          <w:szCs w:val="24"/>
        </w:rPr>
        <w:t xml:space="preserve">и двадесет и шест второстепенни </w:t>
      </w:r>
      <w:r w:rsidRPr="0062454F">
        <w:rPr>
          <w:sz w:val="24"/>
          <w:szCs w:val="24"/>
        </w:rPr>
        <w:t>разпоредители с бюдж</w:t>
      </w:r>
      <w:r>
        <w:rPr>
          <w:sz w:val="24"/>
          <w:szCs w:val="24"/>
        </w:rPr>
        <w:t>етни кредити</w:t>
      </w:r>
      <w:r w:rsidRPr="0062454F">
        <w:rPr>
          <w:sz w:val="24"/>
          <w:szCs w:val="24"/>
        </w:rPr>
        <w:t>.</w:t>
      </w:r>
    </w:p>
    <w:p w:rsidR="008346AD" w:rsidRPr="001717E0" w:rsidRDefault="008346AD" w:rsidP="00131139">
      <w:pPr>
        <w:pStyle w:val="BodyTextIndent3"/>
        <w:spacing w:after="0"/>
        <w:ind w:left="0" w:firstLine="709"/>
        <w:jc w:val="both"/>
        <w:rPr>
          <w:spacing w:val="-6"/>
          <w:sz w:val="24"/>
          <w:szCs w:val="24"/>
        </w:rPr>
      </w:pPr>
      <w:r w:rsidRPr="001717E0">
        <w:rPr>
          <w:sz w:val="24"/>
          <w:szCs w:val="24"/>
        </w:rPr>
        <w:t>Отчетът е придружен от всички справки, разшифровки и други, определени с ДДС № 13 и № 14 от 21.12.2012 г. на МФ. Подписан е от директор дирекция „</w:t>
      </w:r>
      <w:r>
        <w:rPr>
          <w:sz w:val="24"/>
          <w:szCs w:val="24"/>
        </w:rPr>
        <w:t>Бюджет, финанси и счетоводни дейности</w:t>
      </w:r>
      <w:r w:rsidRPr="001717E0">
        <w:rPr>
          <w:sz w:val="24"/>
          <w:szCs w:val="24"/>
        </w:rPr>
        <w:t xml:space="preserve">“– </w:t>
      </w:r>
      <w:r w:rsidRPr="001717E0">
        <w:rPr>
          <w:spacing w:val="-6"/>
          <w:sz w:val="24"/>
          <w:szCs w:val="24"/>
        </w:rPr>
        <w:t xml:space="preserve">съставител и кмета на община </w:t>
      </w:r>
      <w:r>
        <w:rPr>
          <w:spacing w:val="-6"/>
          <w:sz w:val="24"/>
          <w:szCs w:val="24"/>
        </w:rPr>
        <w:t>Поморие</w:t>
      </w:r>
      <w:r w:rsidRPr="001717E0">
        <w:rPr>
          <w:spacing w:val="-6"/>
          <w:sz w:val="24"/>
          <w:szCs w:val="24"/>
        </w:rPr>
        <w:t>.</w:t>
      </w:r>
    </w:p>
    <w:p w:rsidR="008346AD" w:rsidRDefault="008346AD" w:rsidP="00131139">
      <w:pPr>
        <w:ind w:firstLine="720"/>
        <w:jc w:val="both"/>
      </w:pPr>
      <w:r w:rsidRPr="001717E0">
        <w:t>Оборотните ведомости преди приключвателните операции са изготвени за трите отчетни групи „Бюджети</w:t>
      </w:r>
      <w:r>
        <w:t>“, „Извънбюджетни сметки и фондове“ и „Други сметки и дейности“.</w:t>
      </w:r>
    </w:p>
    <w:p w:rsidR="008346AD" w:rsidRDefault="008346AD" w:rsidP="00131139">
      <w:pPr>
        <w:ind w:firstLine="720"/>
        <w:jc w:val="both"/>
      </w:pPr>
      <w:r>
        <w:t>Балансът е представен в лева и в хил. лева.</w:t>
      </w:r>
    </w:p>
    <w:p w:rsidR="008346AD" w:rsidRPr="0062454F" w:rsidRDefault="008346AD" w:rsidP="00131139">
      <w:pPr>
        <w:pStyle w:val="BodyTextIndent3"/>
        <w:spacing w:after="0"/>
        <w:ind w:left="0" w:firstLine="709"/>
        <w:jc w:val="both"/>
        <w:rPr>
          <w:sz w:val="24"/>
          <w:szCs w:val="24"/>
        </w:rPr>
      </w:pPr>
      <w:r w:rsidRPr="0062454F">
        <w:rPr>
          <w:spacing w:val="4"/>
          <w:sz w:val="24"/>
          <w:szCs w:val="24"/>
        </w:rPr>
        <w:t xml:space="preserve">Годишният финансов отчет на община </w:t>
      </w:r>
      <w:r>
        <w:rPr>
          <w:spacing w:val="4"/>
          <w:sz w:val="24"/>
          <w:szCs w:val="24"/>
        </w:rPr>
        <w:t>Поморие към 31.12.201</w:t>
      </w:r>
      <w:r>
        <w:rPr>
          <w:spacing w:val="4"/>
          <w:sz w:val="24"/>
          <w:szCs w:val="24"/>
          <w:lang w:val="en-US"/>
        </w:rPr>
        <w:t>2</w:t>
      </w:r>
      <w:r w:rsidRPr="0062454F">
        <w:rPr>
          <w:spacing w:val="4"/>
          <w:sz w:val="24"/>
          <w:szCs w:val="24"/>
        </w:rPr>
        <w:t xml:space="preserve"> г. и приложенията към него са представени</w:t>
      </w:r>
      <w:r>
        <w:rPr>
          <w:spacing w:val="4"/>
          <w:sz w:val="24"/>
          <w:szCs w:val="24"/>
        </w:rPr>
        <w:t xml:space="preserve"> в Сметната палата в</w:t>
      </w:r>
      <w:r w:rsidRPr="0062454F">
        <w:rPr>
          <w:spacing w:val="4"/>
          <w:sz w:val="24"/>
          <w:szCs w:val="24"/>
        </w:rPr>
        <w:t xml:space="preserve"> определения срок (</w:t>
      </w:r>
      <w:r>
        <w:rPr>
          <w:spacing w:val="4"/>
          <w:sz w:val="24"/>
          <w:szCs w:val="24"/>
        </w:rPr>
        <w:t xml:space="preserve">входящ </w:t>
      </w:r>
      <w:r>
        <w:rPr>
          <w:sz w:val="24"/>
          <w:szCs w:val="24"/>
        </w:rPr>
        <w:t>№ 10 от 27.02.2013 г.</w:t>
      </w:r>
      <w:r w:rsidRPr="0062454F">
        <w:rPr>
          <w:spacing w:val="4"/>
          <w:sz w:val="24"/>
          <w:szCs w:val="24"/>
        </w:rPr>
        <w:t>).</w:t>
      </w:r>
      <w:r>
        <w:rPr>
          <w:rStyle w:val="FootnoteReference"/>
          <w:spacing w:val="4"/>
          <w:sz w:val="24"/>
          <w:szCs w:val="24"/>
        </w:rPr>
        <w:footnoteReference w:id="3"/>
      </w:r>
    </w:p>
    <w:p w:rsidR="008346AD" w:rsidRPr="00CE58C2" w:rsidRDefault="008346AD" w:rsidP="00131139">
      <w:pPr>
        <w:tabs>
          <w:tab w:val="left" w:pos="720"/>
        </w:tabs>
        <w:ind w:firstLine="720"/>
        <w:jc w:val="both"/>
      </w:pPr>
      <w:r w:rsidRPr="00CE58C2">
        <w:t>Ръководството на община</w:t>
      </w:r>
      <w:r w:rsidRPr="00CE58C2">
        <w:rPr>
          <w:spacing w:val="4"/>
        </w:rPr>
        <w:t xml:space="preserve"> Поморие</w:t>
      </w:r>
      <w:r w:rsidRPr="00CE58C2">
        <w:t xml:space="preserve"> е отговорно за вярното и честно представяне на информацията във финансовия отчет за 2012 г. и в съответствие с приложимата рамка на финансово отчитане, както и за системата на вътрешния контрол, необходима за изготвянето на финансовия отчет без съществени отклонения, независимо дали се дължат на измама или грешка.</w:t>
      </w:r>
    </w:p>
    <w:p w:rsidR="008346AD" w:rsidRPr="00CE58C2" w:rsidRDefault="008346AD" w:rsidP="00131139">
      <w:pPr>
        <w:tabs>
          <w:tab w:val="left" w:pos="720"/>
        </w:tabs>
        <w:ind w:firstLine="720"/>
        <w:jc w:val="both"/>
      </w:pPr>
      <w:r w:rsidRPr="00CE58C2">
        <w:t>След извършения текущ контрол на периодичните отчети на община Поморие за 2012 година са дадени шест препоръки, от които пет са</w:t>
      </w:r>
      <w:r w:rsidRPr="00CE58C2">
        <w:rPr>
          <w:lang w:val="en-US"/>
        </w:rPr>
        <w:t xml:space="preserve"> </w:t>
      </w:r>
      <w:r w:rsidRPr="00CE58C2">
        <w:t>изп</w:t>
      </w:r>
      <w:r>
        <w:t>ълнени и една не е изпълнена- не са възстановени</w:t>
      </w:r>
      <w:r w:rsidRPr="00CE58C2">
        <w:t xml:space="preserve"> по набирателната сметка на община Поморие предоставените </w:t>
      </w:r>
      <w:r>
        <w:t xml:space="preserve">на бюджета </w:t>
      </w:r>
      <w:r w:rsidRPr="00CE58C2">
        <w:t>заемообразно чужди средства.</w:t>
      </w:r>
      <w:r w:rsidRPr="00CE58C2">
        <w:rPr>
          <w:rStyle w:val="FootnoteReference"/>
        </w:rPr>
        <w:footnoteReference w:id="4"/>
      </w:r>
    </w:p>
    <w:p w:rsidR="008346AD" w:rsidRPr="00CE58C2" w:rsidRDefault="008346AD" w:rsidP="00DE1926">
      <w:pPr>
        <w:ind w:firstLine="708"/>
        <w:jc w:val="both"/>
        <w:rPr>
          <w:i/>
          <w:iCs/>
        </w:rPr>
      </w:pPr>
    </w:p>
    <w:p w:rsidR="008346AD" w:rsidRPr="00CE58C2" w:rsidRDefault="008346AD" w:rsidP="00DE1926">
      <w:pPr>
        <w:ind w:firstLine="708"/>
        <w:jc w:val="both"/>
        <w:rPr>
          <w:i/>
          <w:iCs/>
        </w:rPr>
      </w:pPr>
      <w:r w:rsidRPr="00CE58C2">
        <w:rPr>
          <w:i/>
          <w:iCs/>
        </w:rPr>
        <w:t>Формата и съдържанието на годишния финансов отчет към 31.12.20</w:t>
      </w:r>
      <w:r w:rsidRPr="00CE58C2">
        <w:rPr>
          <w:i/>
          <w:iCs/>
          <w:lang w:val="ru-RU"/>
        </w:rPr>
        <w:t>12</w:t>
      </w:r>
      <w:r w:rsidRPr="00CE58C2">
        <w:rPr>
          <w:i/>
          <w:iCs/>
        </w:rPr>
        <w:t xml:space="preserve"> г. на община Поморие съответстват на указанията на Министерство на финансите.</w:t>
      </w:r>
    </w:p>
    <w:p w:rsidR="008346AD" w:rsidRPr="00CE58C2" w:rsidRDefault="008346AD" w:rsidP="00DE1926">
      <w:pPr>
        <w:tabs>
          <w:tab w:val="left" w:pos="720"/>
        </w:tabs>
        <w:ind w:firstLine="720"/>
        <w:jc w:val="both"/>
        <w:rPr>
          <w:b/>
          <w:bCs/>
        </w:rPr>
      </w:pPr>
    </w:p>
    <w:p w:rsidR="008346AD" w:rsidRDefault="008346AD" w:rsidP="00DE1926">
      <w:pPr>
        <w:tabs>
          <w:tab w:val="left" w:pos="720"/>
        </w:tabs>
        <w:ind w:firstLine="720"/>
        <w:jc w:val="both"/>
        <w:rPr>
          <w:b/>
          <w:bCs/>
        </w:rPr>
      </w:pPr>
      <w:r>
        <w:rPr>
          <w:b/>
          <w:bCs/>
          <w:lang w:val="en-US"/>
        </w:rPr>
        <w:t>I</w:t>
      </w:r>
      <w:r>
        <w:rPr>
          <w:b/>
          <w:bCs/>
        </w:rPr>
        <w:t>І. Годишен отчет за касовото изпълнение на бюджета и извънбюджетните сметки и фондове</w:t>
      </w:r>
    </w:p>
    <w:p w:rsidR="008346AD" w:rsidRPr="00AC70AC" w:rsidRDefault="008346AD" w:rsidP="00DE1926">
      <w:pPr>
        <w:tabs>
          <w:tab w:val="left" w:pos="720"/>
        </w:tabs>
        <w:ind w:firstLine="720"/>
        <w:jc w:val="both"/>
        <w:rPr>
          <w:lang w:val="en-US"/>
        </w:rPr>
      </w:pPr>
      <w:r>
        <w:t>Финансовата информация</w:t>
      </w:r>
      <w:r w:rsidRPr="00525DCA">
        <w:rPr>
          <w:lang w:val="ru-RU"/>
        </w:rPr>
        <w:t>,</w:t>
      </w:r>
      <w:r>
        <w:t xml:space="preserve"> съдържаща се в отчета за касовото изпълнение на бюджета и извънбюджетните сметки и фондове на община Поморие за 2012 г. е проверена чрез преглед на първичните счетоводни документи, изготвени справки, разшифровки на подпараграфи </w:t>
      </w:r>
      <w:r w:rsidRPr="00AC70AC">
        <w:t>и оборотни ведомости по аналитични партиди.</w:t>
      </w:r>
    </w:p>
    <w:p w:rsidR="008346AD" w:rsidRDefault="008346AD" w:rsidP="00DE1926">
      <w:pPr>
        <w:tabs>
          <w:tab w:val="left" w:pos="720"/>
        </w:tabs>
        <w:ind w:firstLine="720"/>
        <w:jc w:val="both"/>
        <w:rPr>
          <w:b/>
          <w:bCs/>
          <w:lang w:val="en-US"/>
        </w:rPr>
      </w:pPr>
    </w:p>
    <w:p w:rsidR="008346AD" w:rsidRDefault="008346AD" w:rsidP="00DE1926">
      <w:pPr>
        <w:tabs>
          <w:tab w:val="left" w:pos="0"/>
        </w:tabs>
        <w:ind w:firstLine="720"/>
        <w:jc w:val="both"/>
      </w:pPr>
      <w:r>
        <w:rPr>
          <w:b/>
          <w:bCs/>
        </w:rPr>
        <w:t>1. Бюджет</w:t>
      </w:r>
    </w:p>
    <w:p w:rsidR="008346AD" w:rsidRPr="0079337B" w:rsidRDefault="008346AD" w:rsidP="00131139">
      <w:pPr>
        <w:tabs>
          <w:tab w:val="left" w:pos="720"/>
        </w:tabs>
        <w:ind w:firstLine="720"/>
        <w:jc w:val="both"/>
      </w:pPr>
      <w:r w:rsidRPr="0079337B">
        <w:t>Отчетът за касовото изпълнение на бюджета към 31.12.2012 г. на община Поморие е в размер на 22 860 059 лв., в т.ч.:</w:t>
      </w:r>
    </w:p>
    <w:p w:rsidR="008346AD" w:rsidRPr="0079337B" w:rsidRDefault="008346AD" w:rsidP="00131139">
      <w:pPr>
        <w:numPr>
          <w:ilvl w:val="0"/>
          <w:numId w:val="3"/>
        </w:numPr>
        <w:tabs>
          <w:tab w:val="left" w:pos="720"/>
        </w:tabs>
        <w:jc w:val="both"/>
      </w:pPr>
      <w:r w:rsidRPr="0079337B">
        <w:t>приходи (собствени) -</w:t>
      </w:r>
      <w:r>
        <w:t xml:space="preserve">11 </w:t>
      </w:r>
      <w:r w:rsidRPr="0079337B">
        <w:t>637 779 лв.</w:t>
      </w:r>
    </w:p>
    <w:p w:rsidR="008346AD" w:rsidRPr="0079337B" w:rsidRDefault="008346AD" w:rsidP="00131139">
      <w:pPr>
        <w:numPr>
          <w:ilvl w:val="0"/>
          <w:numId w:val="3"/>
        </w:numPr>
        <w:tabs>
          <w:tab w:val="left" w:pos="-720"/>
        </w:tabs>
        <w:suppressAutoHyphens/>
      </w:pPr>
      <w:r w:rsidRPr="0079337B">
        <w:t>трансфери (в т. ч. субсидии и безлихвени заеми) – 5 431 765 лв.</w:t>
      </w:r>
    </w:p>
    <w:p w:rsidR="008346AD" w:rsidRPr="0079337B" w:rsidRDefault="008346AD" w:rsidP="00131139">
      <w:pPr>
        <w:numPr>
          <w:ilvl w:val="0"/>
          <w:numId w:val="3"/>
        </w:numPr>
        <w:tabs>
          <w:tab w:val="left" w:pos="-720"/>
        </w:tabs>
        <w:suppressAutoHyphens/>
      </w:pPr>
      <w:r w:rsidRPr="0079337B">
        <w:t>операции с финансови активи и пасиви</w:t>
      </w:r>
      <w:r>
        <w:t xml:space="preserve"> – 5 </w:t>
      </w:r>
      <w:r w:rsidRPr="0079337B">
        <w:t>790 515 лв.</w:t>
      </w:r>
    </w:p>
    <w:p w:rsidR="008346AD" w:rsidRPr="0079337B" w:rsidRDefault="008346AD" w:rsidP="00131139">
      <w:pPr>
        <w:tabs>
          <w:tab w:val="left" w:pos="0"/>
        </w:tabs>
        <w:ind w:firstLine="720"/>
        <w:jc w:val="both"/>
      </w:pPr>
      <w:r w:rsidRPr="0079337B">
        <w:t xml:space="preserve">Отчетените разходи към 31.12.2012 г. са в размер на </w:t>
      </w:r>
      <w:r>
        <w:t xml:space="preserve">22 860 </w:t>
      </w:r>
      <w:r w:rsidRPr="0079337B">
        <w:t>059 лв.</w:t>
      </w:r>
    </w:p>
    <w:p w:rsidR="008346AD" w:rsidRPr="00C835E6" w:rsidRDefault="008346AD" w:rsidP="00131139">
      <w:pPr>
        <w:tabs>
          <w:tab w:val="left" w:pos="720"/>
        </w:tabs>
        <w:ind w:firstLine="660"/>
        <w:jc w:val="both"/>
        <w:rPr>
          <w:i/>
          <w:iCs/>
        </w:rPr>
      </w:pPr>
      <w:r w:rsidRPr="00C835E6">
        <w:t>При изпълнение на тестовете на контрола се установи, че изследваните контролни дейности са изпълнявани съобразно регламентирания ред, действали са непрекъснато и са прилагани през одитирания период. Контролните дейности са били ефективни.</w:t>
      </w:r>
      <w:r w:rsidRPr="00C835E6">
        <w:rPr>
          <w:rStyle w:val="FootnoteReference"/>
        </w:rPr>
        <w:footnoteReference w:id="5"/>
      </w:r>
    </w:p>
    <w:p w:rsidR="008346AD" w:rsidRPr="00C835E6" w:rsidRDefault="008346AD" w:rsidP="00131139">
      <w:pPr>
        <w:tabs>
          <w:tab w:val="left" w:pos="0"/>
        </w:tabs>
        <w:ind w:firstLine="720"/>
        <w:jc w:val="both"/>
        <w:rPr>
          <w:b/>
          <w:bCs/>
        </w:rPr>
      </w:pPr>
      <w:r w:rsidRPr="00C835E6">
        <w:rPr>
          <w:b/>
          <w:bCs/>
        </w:rPr>
        <w:t>1.1</w:t>
      </w:r>
      <w:r w:rsidRPr="00C835E6">
        <w:t xml:space="preserve">. </w:t>
      </w:r>
      <w:r>
        <w:rPr>
          <w:b/>
          <w:bCs/>
        </w:rPr>
        <w:t>Приходи</w:t>
      </w:r>
    </w:p>
    <w:p w:rsidR="008346AD" w:rsidRPr="0052380A" w:rsidRDefault="008346AD" w:rsidP="00131139">
      <w:pPr>
        <w:ind w:firstLine="708"/>
        <w:jc w:val="both"/>
      </w:pPr>
      <w:r w:rsidRPr="0052380A">
        <w:t>Извършена е проверка за съответствие при отчитане на приходите по параграфи и подпараграфи на Единната бюджетна класификация (ЕБК) и счетов</w:t>
      </w:r>
      <w:r>
        <w:t>одните сметки от Сметкоплана на</w:t>
      </w:r>
      <w:r w:rsidRPr="0052380A">
        <w:t xml:space="preserve"> бюджетните предприятия (СБП).</w:t>
      </w:r>
    </w:p>
    <w:p w:rsidR="008346AD" w:rsidRPr="00BE0B37" w:rsidRDefault="008346AD" w:rsidP="00BE0B37">
      <w:pPr>
        <w:tabs>
          <w:tab w:val="left" w:pos="0"/>
        </w:tabs>
        <w:ind w:firstLine="720"/>
        <w:jc w:val="both"/>
        <w:rPr>
          <w:spacing w:val="-6"/>
        </w:rPr>
      </w:pPr>
      <w:r w:rsidRPr="00BE0B37">
        <w:t xml:space="preserve">При извършените директни съществени проверки на отчитането на приходите по бюджета на община Поморие се установи, че те са отразени правилно по </w:t>
      </w:r>
      <w:r w:rsidRPr="00BE0B37">
        <w:rPr>
          <w:spacing w:val="-6"/>
          <w:lang w:val="be-BY"/>
        </w:rPr>
        <w:t>съответните параграфи и подпараграфи на ЕБК</w:t>
      </w:r>
      <w:r w:rsidRPr="00BE0B37">
        <w:rPr>
          <w:spacing w:val="-6"/>
        </w:rPr>
        <w:t>, с изключение на 1</w:t>
      </w:r>
      <w:r>
        <w:rPr>
          <w:spacing w:val="-6"/>
        </w:rPr>
        <w:t xml:space="preserve"> </w:t>
      </w:r>
      <w:r w:rsidRPr="00BE0B37">
        <w:rPr>
          <w:spacing w:val="-6"/>
        </w:rPr>
        <w:t xml:space="preserve">656 лв. възстановена сума по фактура за доставка на дърва от ОП „Озеленяване, горско и селско стопанство“ </w:t>
      </w:r>
      <w:r>
        <w:rPr>
          <w:spacing w:val="-6"/>
        </w:rPr>
        <w:t xml:space="preserve">гр. </w:t>
      </w:r>
      <w:r w:rsidRPr="00BE0B37">
        <w:rPr>
          <w:spacing w:val="-6"/>
        </w:rPr>
        <w:t>Поморие, отчетени по подпараграф 45-01 „Текущи дарения, помощи и други безвъзмездно получени суми от страната“, вместо по подпараграф 36-19 „Други неданъчни приходи“.</w:t>
      </w:r>
      <w:r w:rsidRPr="00BE0B37">
        <w:rPr>
          <w:rStyle w:val="FootnoteReference"/>
        </w:rPr>
        <w:footnoteReference w:id="6"/>
      </w:r>
    </w:p>
    <w:p w:rsidR="008346AD" w:rsidRDefault="008346AD" w:rsidP="00131139">
      <w:pPr>
        <w:tabs>
          <w:tab w:val="left" w:pos="0"/>
        </w:tabs>
        <w:ind w:firstLine="720"/>
        <w:jc w:val="both"/>
        <w:rPr>
          <w:b/>
          <w:bCs/>
        </w:rPr>
      </w:pPr>
      <w:r w:rsidRPr="00AC70AC">
        <w:rPr>
          <w:b/>
          <w:bCs/>
        </w:rPr>
        <w:t>1.2</w:t>
      </w:r>
      <w:r>
        <w:t xml:space="preserve">. </w:t>
      </w:r>
      <w:r w:rsidRPr="001B7A43">
        <w:rPr>
          <w:b/>
          <w:bCs/>
        </w:rPr>
        <w:t>Трансфери</w:t>
      </w:r>
    </w:p>
    <w:p w:rsidR="008346AD" w:rsidRPr="00AC4C5B" w:rsidRDefault="008346AD" w:rsidP="00131139">
      <w:pPr>
        <w:ind w:firstLine="708"/>
        <w:jc w:val="both"/>
      </w:pPr>
      <w:r w:rsidRPr="00AC4C5B">
        <w:t>Извършена е проверка за съответствие при отчитане на трансферите по параграфи и подпараграфи на ЕБК и счетоводни сметки от СБП.</w:t>
      </w:r>
    </w:p>
    <w:p w:rsidR="008346AD" w:rsidRPr="00AC4C5B" w:rsidRDefault="008346AD" w:rsidP="00131139">
      <w:pPr>
        <w:ind w:firstLine="708"/>
        <w:jc w:val="both"/>
      </w:pPr>
      <w:r w:rsidRPr="00AC4C5B">
        <w:t xml:space="preserve">При извършените проверки на отчитането на трансфери по бюджета на община Поморие се установи, че са отразени правилно по </w:t>
      </w:r>
      <w:r w:rsidRPr="00AC4C5B">
        <w:rPr>
          <w:spacing w:val="-6"/>
          <w:lang w:val="be-BY"/>
        </w:rPr>
        <w:t>съответните параграфи и подпараграфи на ЕБК</w:t>
      </w:r>
      <w:r w:rsidRPr="00AC4C5B">
        <w:t>.</w:t>
      </w:r>
      <w:r w:rsidRPr="00AC4C5B">
        <w:rPr>
          <w:rStyle w:val="FootnoteReference"/>
        </w:rPr>
        <w:footnoteReference w:id="7"/>
      </w:r>
    </w:p>
    <w:p w:rsidR="008346AD" w:rsidRDefault="008346AD" w:rsidP="00131139">
      <w:pPr>
        <w:tabs>
          <w:tab w:val="left" w:pos="0"/>
        </w:tabs>
        <w:ind w:firstLine="720"/>
        <w:jc w:val="both"/>
        <w:rPr>
          <w:b/>
          <w:bCs/>
        </w:rPr>
      </w:pPr>
    </w:p>
    <w:p w:rsidR="008346AD" w:rsidRDefault="008346AD" w:rsidP="00131139">
      <w:pPr>
        <w:tabs>
          <w:tab w:val="left" w:pos="0"/>
        </w:tabs>
        <w:ind w:firstLine="720"/>
        <w:jc w:val="both"/>
        <w:rPr>
          <w:b/>
          <w:bCs/>
        </w:rPr>
      </w:pPr>
    </w:p>
    <w:p w:rsidR="008346AD" w:rsidRDefault="008346AD" w:rsidP="00131139">
      <w:pPr>
        <w:tabs>
          <w:tab w:val="left" w:pos="0"/>
        </w:tabs>
        <w:ind w:firstLine="720"/>
        <w:jc w:val="both"/>
      </w:pPr>
      <w:r w:rsidRPr="00AC70AC">
        <w:rPr>
          <w:b/>
          <w:bCs/>
        </w:rPr>
        <w:t>1.3</w:t>
      </w:r>
      <w:r w:rsidRPr="00F65121">
        <w:t>.</w:t>
      </w:r>
      <w:r w:rsidRPr="001B7A43">
        <w:rPr>
          <w:b/>
          <w:bCs/>
        </w:rPr>
        <w:t xml:space="preserve"> Разходи</w:t>
      </w:r>
      <w:r>
        <w:t xml:space="preserve"> </w:t>
      </w:r>
    </w:p>
    <w:p w:rsidR="008346AD" w:rsidRDefault="008346AD" w:rsidP="00131139">
      <w:pPr>
        <w:ind w:firstLine="708"/>
        <w:jc w:val="both"/>
      </w:pPr>
      <w:r w:rsidRPr="0062454F">
        <w:t>Извършена е проверка за съотве</w:t>
      </w:r>
      <w:r>
        <w:t>тствие при отчитане на разходите</w:t>
      </w:r>
      <w:r w:rsidRPr="0062454F">
        <w:t xml:space="preserve"> по параграфи и подпараграфи на Е</w:t>
      </w:r>
      <w:r>
        <w:t>БК</w:t>
      </w:r>
      <w:r w:rsidRPr="0062454F">
        <w:t xml:space="preserve"> и счетоводните сметки от С</w:t>
      </w:r>
      <w:r>
        <w:t>БП.</w:t>
      </w:r>
    </w:p>
    <w:p w:rsidR="008346AD" w:rsidRPr="00826B02" w:rsidRDefault="008346AD" w:rsidP="00131139">
      <w:pPr>
        <w:ind w:firstLine="708"/>
        <w:jc w:val="both"/>
      </w:pPr>
      <w:r w:rsidRPr="00826B02">
        <w:t xml:space="preserve">При извършените проверки на отчитането на разходи по бюджета на община Поморие се установи, че са отразени правилно по </w:t>
      </w:r>
      <w:r w:rsidRPr="00826B02">
        <w:rPr>
          <w:spacing w:val="-6"/>
          <w:lang w:val="be-BY"/>
        </w:rPr>
        <w:t>съответните параграфи и подпараграфи на ЕБК.</w:t>
      </w:r>
      <w:r w:rsidRPr="00826B02">
        <w:rPr>
          <w:rStyle w:val="FootnoteReference"/>
        </w:rPr>
        <w:footnoteReference w:id="8"/>
      </w:r>
    </w:p>
    <w:p w:rsidR="008346AD" w:rsidRPr="00826B02" w:rsidRDefault="008346AD" w:rsidP="00131139">
      <w:pPr>
        <w:tabs>
          <w:tab w:val="left" w:pos="0"/>
        </w:tabs>
        <w:ind w:firstLine="720"/>
        <w:jc w:val="both"/>
      </w:pPr>
      <w:r w:rsidRPr="00826B02">
        <w:rPr>
          <w:b/>
          <w:bCs/>
        </w:rPr>
        <w:t>1.4</w:t>
      </w:r>
      <w:r w:rsidRPr="00826B02">
        <w:t xml:space="preserve">. </w:t>
      </w:r>
      <w:r w:rsidRPr="00826B02">
        <w:rPr>
          <w:b/>
          <w:bCs/>
        </w:rPr>
        <w:t>Операции с финансови активи и пасиви</w:t>
      </w:r>
    </w:p>
    <w:p w:rsidR="008346AD" w:rsidRDefault="008346AD" w:rsidP="00131139">
      <w:pPr>
        <w:ind w:firstLine="708"/>
        <w:jc w:val="both"/>
      </w:pPr>
      <w:r w:rsidRPr="0062454F">
        <w:t>Извършена е проверка за съотве</w:t>
      </w:r>
      <w:r>
        <w:t>тствие при отчитане на операциите с финансови активи и пасиви</w:t>
      </w:r>
      <w:r w:rsidRPr="0062454F">
        <w:t xml:space="preserve"> по параграфи и подпараграфи на Е</w:t>
      </w:r>
      <w:r>
        <w:t>БК</w:t>
      </w:r>
      <w:r w:rsidRPr="0062454F">
        <w:t xml:space="preserve"> и счетоводните сметки от С</w:t>
      </w:r>
      <w:r>
        <w:t>БП.</w:t>
      </w:r>
    </w:p>
    <w:p w:rsidR="008346AD" w:rsidRPr="00AC4C5B" w:rsidRDefault="008346AD" w:rsidP="00131139">
      <w:pPr>
        <w:ind w:firstLine="708"/>
        <w:jc w:val="both"/>
      </w:pPr>
      <w:r w:rsidRPr="00AC4C5B">
        <w:t xml:space="preserve">При извършените проверки на отчитането на операциите с финансови активи и пасиви по бюджета на община Поморие се установи, че операциите с финансови активи и пасиви са отразени правилно по </w:t>
      </w:r>
      <w:r w:rsidRPr="00AC4C5B">
        <w:rPr>
          <w:spacing w:val="-6"/>
          <w:lang w:val="be-BY"/>
        </w:rPr>
        <w:t>съответните параграфи и подпараграфи на ЕБК.</w:t>
      </w:r>
      <w:r w:rsidRPr="00AC4C5B">
        <w:rPr>
          <w:rStyle w:val="FootnoteReference"/>
        </w:rPr>
        <w:footnoteReference w:id="9"/>
      </w:r>
    </w:p>
    <w:p w:rsidR="008346AD" w:rsidRDefault="008346AD" w:rsidP="00131139">
      <w:pPr>
        <w:tabs>
          <w:tab w:val="left" w:pos="0"/>
        </w:tabs>
        <w:ind w:firstLine="720"/>
        <w:jc w:val="both"/>
      </w:pPr>
    </w:p>
    <w:p w:rsidR="008346AD" w:rsidRDefault="008346AD" w:rsidP="00131139">
      <w:pPr>
        <w:ind w:firstLine="709"/>
        <w:jc w:val="both"/>
        <w:rPr>
          <w:b/>
          <w:bCs/>
        </w:rPr>
      </w:pPr>
      <w:r w:rsidRPr="008E69A1">
        <w:rPr>
          <w:b/>
          <w:bCs/>
        </w:rPr>
        <w:t>2.</w:t>
      </w:r>
      <w:r>
        <w:t xml:space="preserve"> </w:t>
      </w:r>
      <w:r w:rsidRPr="005B719B">
        <w:rPr>
          <w:b/>
          <w:bCs/>
        </w:rPr>
        <w:t>Извънбюджетни сметки и фондове</w:t>
      </w:r>
    </w:p>
    <w:p w:rsidR="008346AD" w:rsidRPr="00887AA2" w:rsidRDefault="008346AD" w:rsidP="00131139">
      <w:pPr>
        <w:ind w:firstLine="709"/>
        <w:jc w:val="both"/>
      </w:pPr>
      <w:r w:rsidRPr="00887AA2">
        <w:t>Отчетът за касовото изпълнение на извънбюджетните сметки и фондове към 31.12.2012 г. на общ</w:t>
      </w:r>
      <w:r>
        <w:t xml:space="preserve">ина Поморие е в размер на 6 405 </w:t>
      </w:r>
      <w:r w:rsidRPr="00887AA2">
        <w:t>916 лв., в т.ч.:</w:t>
      </w:r>
    </w:p>
    <w:p w:rsidR="008346AD" w:rsidRPr="00887AA2" w:rsidRDefault="008346AD" w:rsidP="00131139">
      <w:pPr>
        <w:ind w:firstLine="709"/>
        <w:jc w:val="both"/>
      </w:pPr>
      <w:r w:rsidRPr="00887AA2">
        <w:t>- приходи (собствени) – 1 371 лв.</w:t>
      </w:r>
    </w:p>
    <w:p w:rsidR="008346AD" w:rsidRPr="00887AA2" w:rsidRDefault="008346AD" w:rsidP="00131139">
      <w:pPr>
        <w:ind w:firstLine="709"/>
        <w:jc w:val="both"/>
      </w:pPr>
      <w:r w:rsidRPr="00887AA2">
        <w:t>- трансфери и временни безлихвени заеми – 6 548 359 лв.</w:t>
      </w:r>
    </w:p>
    <w:p w:rsidR="008346AD" w:rsidRPr="00887AA2" w:rsidRDefault="008346AD" w:rsidP="00131139">
      <w:pPr>
        <w:ind w:firstLine="709"/>
        <w:jc w:val="both"/>
      </w:pPr>
      <w:r w:rsidRPr="00887AA2">
        <w:t>- операции с финансови активи и пасиви - (</w:t>
      </w:r>
      <w:r w:rsidRPr="00887AA2">
        <w:rPr>
          <w:lang w:val="en-US"/>
        </w:rPr>
        <w:t>-</w:t>
      </w:r>
      <w:r w:rsidRPr="00887AA2">
        <w:t>)143 814 лв.</w:t>
      </w:r>
    </w:p>
    <w:p w:rsidR="008346AD" w:rsidRPr="00887AA2" w:rsidRDefault="008346AD" w:rsidP="00131139">
      <w:pPr>
        <w:ind w:firstLine="709"/>
        <w:jc w:val="both"/>
      </w:pPr>
      <w:r w:rsidRPr="00887AA2">
        <w:t>Отчетените разходи са в размер на 6 405 916 лв.</w:t>
      </w:r>
    </w:p>
    <w:p w:rsidR="008346AD" w:rsidRPr="00C835E6" w:rsidRDefault="008346AD" w:rsidP="00131139">
      <w:pPr>
        <w:tabs>
          <w:tab w:val="left" w:pos="720"/>
        </w:tabs>
        <w:ind w:firstLine="660"/>
        <w:jc w:val="both"/>
        <w:rPr>
          <w:i/>
          <w:iCs/>
        </w:rPr>
      </w:pPr>
      <w:r w:rsidRPr="00C835E6">
        <w:t>При изпълнение на тестовете на контрола се установи, че изследваните контролни дейности са изпълнявани съобразно регламентирания ред, действали са непрекъснато и са прилагани през одитирания период. Контролните дейности са били ефективни.</w:t>
      </w:r>
      <w:r w:rsidRPr="00C835E6">
        <w:rPr>
          <w:rStyle w:val="FootnoteReference"/>
        </w:rPr>
        <w:footnoteReference w:id="10"/>
      </w:r>
    </w:p>
    <w:p w:rsidR="008346AD" w:rsidRDefault="008346AD" w:rsidP="00131139">
      <w:pPr>
        <w:tabs>
          <w:tab w:val="left" w:pos="0"/>
        </w:tabs>
        <w:ind w:firstLine="720"/>
        <w:jc w:val="both"/>
        <w:rPr>
          <w:b/>
          <w:bCs/>
        </w:rPr>
      </w:pPr>
      <w:r w:rsidRPr="00AC70AC">
        <w:rPr>
          <w:b/>
          <w:bCs/>
        </w:rPr>
        <w:t>2.1</w:t>
      </w:r>
      <w:r>
        <w:t xml:space="preserve">. </w:t>
      </w:r>
      <w:r w:rsidRPr="001B7A43">
        <w:rPr>
          <w:b/>
          <w:bCs/>
        </w:rPr>
        <w:t xml:space="preserve">Приходи </w:t>
      </w:r>
    </w:p>
    <w:p w:rsidR="008346AD" w:rsidRDefault="008346AD" w:rsidP="00131139">
      <w:pPr>
        <w:ind w:firstLine="708"/>
        <w:jc w:val="both"/>
      </w:pPr>
      <w:r w:rsidRPr="0062454F">
        <w:t>Извършена е проверка за съответствие при отчитане на приходите по параграфи и подпараграфи на Е</w:t>
      </w:r>
      <w:r>
        <w:t>БК</w:t>
      </w:r>
      <w:r w:rsidRPr="0062454F">
        <w:t xml:space="preserve"> и счетоводните сметки от С</w:t>
      </w:r>
      <w:r>
        <w:t>БП.</w:t>
      </w:r>
    </w:p>
    <w:p w:rsidR="008346AD" w:rsidRPr="00AC4C5B" w:rsidRDefault="008346AD" w:rsidP="00131139">
      <w:pPr>
        <w:ind w:firstLine="708"/>
        <w:jc w:val="both"/>
      </w:pPr>
      <w:r w:rsidRPr="00AC4C5B">
        <w:t>При извършените директни съществени проверки на отчитането на приходите по извънбюджетните сметки и фондове на община Поморие се ус</w:t>
      </w:r>
      <w:r>
        <w:t>танови, че приходите са отчетени</w:t>
      </w:r>
      <w:r w:rsidRPr="00AC4C5B">
        <w:t xml:space="preserve"> правилно по </w:t>
      </w:r>
      <w:r w:rsidRPr="00AC4C5B">
        <w:rPr>
          <w:spacing w:val="-6"/>
          <w:lang w:val="be-BY"/>
        </w:rPr>
        <w:t>съответните параграфи и подпараграфи на ЕБК</w:t>
      </w:r>
      <w:r>
        <w:rPr>
          <w:spacing w:val="-6"/>
          <w:lang w:val="be-BY"/>
        </w:rPr>
        <w:t>.</w:t>
      </w:r>
      <w:r w:rsidRPr="00AC4C5B">
        <w:rPr>
          <w:rStyle w:val="FootnoteReference"/>
        </w:rPr>
        <w:footnoteReference w:id="11"/>
      </w:r>
    </w:p>
    <w:p w:rsidR="008346AD" w:rsidRPr="00AC4C5B" w:rsidRDefault="008346AD" w:rsidP="00131139">
      <w:pPr>
        <w:tabs>
          <w:tab w:val="left" w:pos="0"/>
        </w:tabs>
        <w:ind w:firstLine="720"/>
        <w:jc w:val="both"/>
        <w:rPr>
          <w:b/>
          <w:bCs/>
        </w:rPr>
      </w:pPr>
      <w:r w:rsidRPr="00AC4C5B">
        <w:rPr>
          <w:b/>
          <w:bCs/>
        </w:rPr>
        <w:t>2.2</w:t>
      </w:r>
      <w:r w:rsidRPr="00AC4C5B">
        <w:t xml:space="preserve">. </w:t>
      </w:r>
      <w:r w:rsidRPr="00AC4C5B">
        <w:rPr>
          <w:b/>
          <w:bCs/>
        </w:rPr>
        <w:t>Трансфери</w:t>
      </w:r>
    </w:p>
    <w:p w:rsidR="008346AD" w:rsidRDefault="008346AD" w:rsidP="00131139">
      <w:pPr>
        <w:ind w:firstLine="708"/>
        <w:jc w:val="both"/>
      </w:pPr>
      <w:r w:rsidRPr="0062454F">
        <w:t>Извършена е проверка за съотве</w:t>
      </w:r>
      <w:r>
        <w:t>тствие при отчитане на трансферите</w:t>
      </w:r>
      <w:r w:rsidRPr="0062454F">
        <w:t xml:space="preserve"> по параграфи и подпараграфи на Е</w:t>
      </w:r>
      <w:r>
        <w:t>БК</w:t>
      </w:r>
      <w:r w:rsidRPr="0062454F">
        <w:t xml:space="preserve"> и счетоводните сметки от С</w:t>
      </w:r>
      <w:r>
        <w:t>БП.</w:t>
      </w:r>
    </w:p>
    <w:p w:rsidR="008346AD" w:rsidRPr="00AC4C5B" w:rsidRDefault="008346AD" w:rsidP="00131139">
      <w:pPr>
        <w:ind w:firstLine="708"/>
        <w:jc w:val="both"/>
      </w:pPr>
      <w:r w:rsidRPr="00AC4C5B">
        <w:t xml:space="preserve">При извършените проверки на отчитането на трансфери по извънбюджетните сметки и фондове на община Поморие се установи, че трансферите са отразени правилно по </w:t>
      </w:r>
      <w:r w:rsidRPr="00AC4C5B">
        <w:rPr>
          <w:spacing w:val="-6"/>
          <w:lang w:val="be-BY"/>
        </w:rPr>
        <w:t>съответните параграфи и подпараграфи на ЕБК</w:t>
      </w:r>
      <w:r w:rsidRPr="00AC4C5B">
        <w:t>.</w:t>
      </w:r>
      <w:r w:rsidRPr="00AC4C5B">
        <w:rPr>
          <w:rStyle w:val="FootnoteReference"/>
        </w:rPr>
        <w:footnoteReference w:id="12"/>
      </w:r>
    </w:p>
    <w:p w:rsidR="008346AD" w:rsidRDefault="008346AD" w:rsidP="00131139">
      <w:pPr>
        <w:tabs>
          <w:tab w:val="left" w:pos="0"/>
        </w:tabs>
        <w:ind w:firstLine="720"/>
        <w:jc w:val="both"/>
      </w:pPr>
      <w:r w:rsidRPr="00AC70AC">
        <w:rPr>
          <w:b/>
          <w:bCs/>
        </w:rPr>
        <w:t>2.3.</w:t>
      </w:r>
      <w:r w:rsidRPr="001B7A43">
        <w:rPr>
          <w:b/>
          <w:bCs/>
        </w:rPr>
        <w:t xml:space="preserve"> Разходи</w:t>
      </w:r>
      <w:r>
        <w:t xml:space="preserve"> </w:t>
      </w:r>
    </w:p>
    <w:p w:rsidR="008346AD" w:rsidRDefault="008346AD" w:rsidP="00131139">
      <w:pPr>
        <w:ind w:firstLine="708"/>
        <w:jc w:val="both"/>
      </w:pPr>
      <w:r w:rsidRPr="0062454F">
        <w:t>Извършена е проверка за съотве</w:t>
      </w:r>
      <w:r>
        <w:t>тствие при отчитане на разходите</w:t>
      </w:r>
      <w:r w:rsidRPr="0062454F">
        <w:t xml:space="preserve"> по параграфи и подпараграфи на Е</w:t>
      </w:r>
      <w:r>
        <w:t>БК</w:t>
      </w:r>
      <w:r w:rsidRPr="0062454F">
        <w:t xml:space="preserve"> и счетоводните сметки от С</w:t>
      </w:r>
      <w:r>
        <w:t>БП.</w:t>
      </w:r>
    </w:p>
    <w:p w:rsidR="008346AD" w:rsidRDefault="008346AD" w:rsidP="00131139">
      <w:pPr>
        <w:ind w:firstLine="708"/>
        <w:jc w:val="both"/>
      </w:pPr>
      <w:r w:rsidRPr="00C3699A">
        <w:t xml:space="preserve">При извършените проверки на отчитането на разходи по извънбюджетните сметки и фондове на община Поморие се установи, че разходите са отразени правилно по </w:t>
      </w:r>
      <w:r w:rsidRPr="00C3699A">
        <w:rPr>
          <w:spacing w:val="-6"/>
          <w:lang w:val="be-BY"/>
        </w:rPr>
        <w:t>съответните параграфи и подпараграфи на ЕБК</w:t>
      </w:r>
      <w:r>
        <w:rPr>
          <w:spacing w:val="-6"/>
          <w:lang w:val="be-BY"/>
        </w:rPr>
        <w:t>.</w:t>
      </w:r>
      <w:r>
        <w:rPr>
          <w:rStyle w:val="FootnoteReference"/>
        </w:rPr>
        <w:footnoteReference w:id="13"/>
      </w:r>
    </w:p>
    <w:p w:rsidR="008346AD" w:rsidRDefault="008346AD" w:rsidP="00131139">
      <w:pPr>
        <w:tabs>
          <w:tab w:val="left" w:pos="0"/>
        </w:tabs>
        <w:ind w:firstLine="720"/>
        <w:jc w:val="both"/>
      </w:pPr>
      <w:r w:rsidRPr="00AC70AC">
        <w:rPr>
          <w:b/>
          <w:bCs/>
        </w:rPr>
        <w:t>2.4</w:t>
      </w:r>
      <w:r>
        <w:t xml:space="preserve">. </w:t>
      </w:r>
      <w:r w:rsidRPr="001B7A43">
        <w:rPr>
          <w:b/>
          <w:bCs/>
        </w:rPr>
        <w:t>Операции с финансови активи и пасиви</w:t>
      </w:r>
    </w:p>
    <w:p w:rsidR="008346AD" w:rsidRDefault="008346AD" w:rsidP="00131139">
      <w:pPr>
        <w:ind w:firstLine="708"/>
        <w:jc w:val="both"/>
      </w:pPr>
      <w:r w:rsidRPr="0062454F">
        <w:t>Извършена е проверка за съотве</w:t>
      </w:r>
      <w:r>
        <w:t>тствие при отчитане на операциите с финансови активи и пасиви</w:t>
      </w:r>
      <w:r w:rsidRPr="0062454F">
        <w:t xml:space="preserve"> по параграфи и подпараграфи на Е</w:t>
      </w:r>
      <w:r>
        <w:t>БК</w:t>
      </w:r>
      <w:r w:rsidRPr="0062454F">
        <w:t xml:space="preserve"> и счетоводните сметки от С</w:t>
      </w:r>
      <w:r>
        <w:t>БП.</w:t>
      </w:r>
    </w:p>
    <w:p w:rsidR="008346AD" w:rsidRDefault="008346AD" w:rsidP="00131139">
      <w:pPr>
        <w:ind w:firstLine="708"/>
        <w:jc w:val="both"/>
      </w:pPr>
      <w:r w:rsidRPr="00AC4C5B">
        <w:t xml:space="preserve">При извършените проверки на отчитането на операциите с финансови активи и пасиви по извънбюджетните сметки и фондове се установи, че операциите с финансови активи и пасиви са отразени правилно по </w:t>
      </w:r>
      <w:r w:rsidRPr="00AC4C5B">
        <w:rPr>
          <w:spacing w:val="-6"/>
          <w:lang w:val="be-BY"/>
        </w:rPr>
        <w:t>съответните параграфи и подпараграфи на ЕБК</w:t>
      </w:r>
      <w:r w:rsidRPr="00246C3E">
        <w:t>.</w:t>
      </w:r>
      <w:r>
        <w:rPr>
          <w:rStyle w:val="FootnoteReference"/>
        </w:rPr>
        <w:footnoteReference w:id="14"/>
      </w:r>
    </w:p>
    <w:p w:rsidR="008346AD" w:rsidRPr="0052380A" w:rsidRDefault="008346AD" w:rsidP="00DE1926">
      <w:pPr>
        <w:ind w:firstLine="708"/>
        <w:jc w:val="both"/>
        <w:rPr>
          <w:b/>
          <w:bCs/>
        </w:rPr>
      </w:pPr>
      <w:r w:rsidRPr="0052380A">
        <w:rPr>
          <w:b/>
          <w:bCs/>
        </w:rPr>
        <w:t xml:space="preserve">3. </w:t>
      </w:r>
      <w:r>
        <w:rPr>
          <w:b/>
          <w:bCs/>
        </w:rPr>
        <w:t>Сметки</w:t>
      </w:r>
      <w:r w:rsidRPr="0052380A">
        <w:rPr>
          <w:b/>
          <w:bCs/>
        </w:rPr>
        <w:t xml:space="preserve"> за чужди средства</w:t>
      </w:r>
    </w:p>
    <w:p w:rsidR="008346AD" w:rsidRPr="002810DB" w:rsidRDefault="008346AD" w:rsidP="00DE1926">
      <w:pPr>
        <w:ind w:firstLine="708"/>
        <w:jc w:val="both"/>
      </w:pPr>
      <w:r w:rsidRPr="002810DB">
        <w:t xml:space="preserve">Наличностите по сметките за чужди средства към 31.12.2012 г. на община Поморие са в размер на 73 538 лв. </w:t>
      </w:r>
      <w:r>
        <w:t>Ползваният и невъзстановен заем към 31.12.2012 г. от сметката за чужди средства е в размер на 180 000 лв.</w:t>
      </w:r>
    </w:p>
    <w:p w:rsidR="008346AD" w:rsidRPr="0052380A" w:rsidRDefault="008346AD" w:rsidP="00DE1926">
      <w:pPr>
        <w:tabs>
          <w:tab w:val="left" w:pos="0"/>
        </w:tabs>
        <w:ind w:firstLine="709"/>
        <w:jc w:val="both"/>
      </w:pPr>
      <w:r w:rsidRPr="003A1DA9">
        <w:t>Извършената проверка на взаимовръзките между сметки за операции с чужди средства от СБП и параграфи за отразяване на операциите с депозити и средства от ЕБК констатира съответствие при отчитането им</w:t>
      </w:r>
      <w:r w:rsidRPr="0052380A">
        <w:t xml:space="preserve">. </w:t>
      </w:r>
      <w:r w:rsidRPr="0052380A">
        <w:rPr>
          <w:rStyle w:val="FootnoteReference"/>
        </w:rPr>
        <w:footnoteReference w:id="15"/>
      </w:r>
    </w:p>
    <w:p w:rsidR="008346AD" w:rsidRDefault="008346AD" w:rsidP="00DE1926">
      <w:pPr>
        <w:tabs>
          <w:tab w:val="left" w:pos="1260"/>
        </w:tabs>
        <w:ind w:firstLine="720"/>
        <w:jc w:val="both"/>
        <w:rPr>
          <w:i/>
          <w:iCs/>
        </w:rPr>
      </w:pPr>
    </w:p>
    <w:p w:rsidR="008346AD" w:rsidRPr="002C2F5C" w:rsidRDefault="008346AD" w:rsidP="00DE1926">
      <w:pPr>
        <w:tabs>
          <w:tab w:val="left" w:pos="1260"/>
        </w:tabs>
        <w:ind w:firstLine="720"/>
        <w:jc w:val="both"/>
        <w:rPr>
          <w:i/>
          <w:iCs/>
        </w:rPr>
      </w:pPr>
      <w:r w:rsidRPr="002C2F5C">
        <w:rPr>
          <w:i/>
          <w:iCs/>
        </w:rPr>
        <w:t>При отчитането на приходите, разходите, трансферите и операциите с финансови активи и пасиви в годишния отчет за касовото изпълнение на бюджета и и</w:t>
      </w:r>
      <w:r>
        <w:rPr>
          <w:i/>
          <w:iCs/>
        </w:rPr>
        <w:t>звънбюджетните сметки и фондове не са допуснати несъответствия</w:t>
      </w:r>
      <w:r w:rsidRPr="002C2F5C">
        <w:rPr>
          <w:i/>
          <w:iCs/>
        </w:rPr>
        <w:t xml:space="preserve">, съгласно </w:t>
      </w:r>
      <w:r>
        <w:rPr>
          <w:i/>
          <w:iCs/>
        </w:rPr>
        <w:t>рамката за финансово отчитане</w:t>
      </w:r>
      <w:r w:rsidRPr="002C2F5C">
        <w:rPr>
          <w:i/>
          <w:iCs/>
        </w:rPr>
        <w:t>.</w:t>
      </w:r>
    </w:p>
    <w:p w:rsidR="008346AD" w:rsidRPr="0013508B" w:rsidRDefault="008346AD" w:rsidP="00DE1926">
      <w:pPr>
        <w:tabs>
          <w:tab w:val="left" w:pos="720"/>
        </w:tabs>
        <w:ind w:firstLine="720"/>
        <w:jc w:val="both"/>
        <w:rPr>
          <w:b/>
          <w:bCs/>
        </w:rPr>
      </w:pPr>
    </w:p>
    <w:p w:rsidR="008346AD" w:rsidRDefault="008346AD" w:rsidP="00DE1926">
      <w:pPr>
        <w:tabs>
          <w:tab w:val="left" w:pos="720"/>
        </w:tabs>
        <w:ind w:firstLine="720"/>
        <w:jc w:val="both"/>
        <w:rPr>
          <w:b/>
          <w:bCs/>
        </w:rPr>
      </w:pPr>
      <w:r>
        <w:rPr>
          <w:b/>
          <w:bCs/>
        </w:rPr>
        <w:t xml:space="preserve">ІІІ. </w:t>
      </w:r>
      <w:r w:rsidRPr="001B7A43">
        <w:rPr>
          <w:b/>
          <w:bCs/>
        </w:rPr>
        <w:t>Баланс към 31.12.201</w:t>
      </w:r>
      <w:r>
        <w:rPr>
          <w:b/>
          <w:bCs/>
        </w:rPr>
        <w:t>2</w:t>
      </w:r>
      <w:r w:rsidRPr="001B7A43">
        <w:rPr>
          <w:b/>
          <w:bCs/>
        </w:rPr>
        <w:t xml:space="preserve"> г.</w:t>
      </w:r>
    </w:p>
    <w:p w:rsidR="008346AD" w:rsidRDefault="008346AD" w:rsidP="00DE1926">
      <w:pPr>
        <w:ind w:firstLine="709"/>
        <w:jc w:val="both"/>
      </w:pPr>
      <w:r w:rsidRPr="008A2048">
        <w:t xml:space="preserve">Основните принципи и процедури на счетоводната отчетност в община </w:t>
      </w:r>
      <w:r>
        <w:t>Поморие</w:t>
      </w:r>
      <w:r w:rsidRPr="008A2048">
        <w:t xml:space="preserve"> са регламентирани в утвърдената</w:t>
      </w:r>
      <w:r>
        <w:t xml:space="preserve"> от</w:t>
      </w:r>
      <w:r w:rsidRPr="008A2048">
        <w:t xml:space="preserve"> кмета Счетоводна политика.</w:t>
      </w:r>
    </w:p>
    <w:p w:rsidR="008346AD" w:rsidRPr="0052380A" w:rsidRDefault="008346AD" w:rsidP="00131139">
      <w:pPr>
        <w:tabs>
          <w:tab w:val="left" w:pos="720"/>
        </w:tabs>
        <w:ind w:firstLine="720"/>
        <w:jc w:val="both"/>
      </w:pPr>
      <w:r>
        <w:t>Финансовата информация</w:t>
      </w:r>
      <w:r w:rsidRPr="00525DCA">
        <w:rPr>
          <w:lang w:val="ru-RU"/>
        </w:rPr>
        <w:t>,</w:t>
      </w:r>
      <w:r>
        <w:t xml:space="preserve"> съдържаща се в оборотната ведомост на община Поморие за 2012 г. е проверена чрез преглед на първичните счетоводни документи, изготвени справки и </w:t>
      </w:r>
      <w:r w:rsidRPr="0052380A">
        <w:t xml:space="preserve">извлечения по аналитични партиди на </w:t>
      </w:r>
      <w:r>
        <w:t xml:space="preserve">счетоводни </w:t>
      </w:r>
      <w:r w:rsidRPr="0052380A">
        <w:t>сметки.</w:t>
      </w:r>
    </w:p>
    <w:p w:rsidR="008346AD" w:rsidRPr="00C835E6" w:rsidRDefault="008346AD" w:rsidP="00131139">
      <w:pPr>
        <w:tabs>
          <w:tab w:val="left" w:pos="720"/>
        </w:tabs>
        <w:ind w:firstLine="660"/>
        <w:jc w:val="both"/>
        <w:rPr>
          <w:i/>
          <w:iCs/>
        </w:rPr>
      </w:pPr>
      <w:r w:rsidRPr="0052380A">
        <w:t>При изпълнение на тестовете на контрола се</w:t>
      </w:r>
      <w:r w:rsidRPr="00C835E6">
        <w:t xml:space="preserve"> установи, че изследваните контролни дейности са изпълнявани съобразно регламентирания ред, действали са непрекъснато и са прилагани през одитирания период. Контролните дейности са били ефективни.</w:t>
      </w:r>
      <w:r w:rsidRPr="00C835E6">
        <w:rPr>
          <w:rStyle w:val="FootnoteReference"/>
        </w:rPr>
        <w:footnoteReference w:id="16"/>
      </w:r>
    </w:p>
    <w:p w:rsidR="008346AD" w:rsidRDefault="008346AD" w:rsidP="0091175B">
      <w:pPr>
        <w:ind w:firstLine="709"/>
        <w:jc w:val="both"/>
      </w:pPr>
      <w:r w:rsidRPr="002810DB">
        <w:t>Осчетоводени са всички разходи и приходи, отнасящи се за 2012 г., съгласно разпоредбите на т.т. 48-49 от ДДС № 20 от 2004 г., при спазване на</w:t>
      </w:r>
      <w:r>
        <w:t xml:space="preserve"> принципа за текущо начисляване, с изключение на разходи за вода, ел. енергия и телефон общо в размер на          5 463 лв. по сметка 4967 „Коректив по задължения към местни лица“, вместо по сметка 4010“Задължения към доставчици от страната“ в </w:t>
      </w:r>
      <w:r w:rsidRPr="008E669C">
        <w:t xml:space="preserve">ПГТ „Алеко Константинов“ </w:t>
      </w:r>
      <w:r>
        <w:t xml:space="preserve">      гр. </w:t>
      </w:r>
      <w:r w:rsidRPr="008E669C">
        <w:t>Поморие</w:t>
      </w:r>
      <w:r>
        <w:t>.</w:t>
      </w:r>
      <w:r>
        <w:rPr>
          <w:rStyle w:val="FootnoteReference"/>
        </w:rPr>
        <w:footnoteReference w:id="17"/>
      </w:r>
    </w:p>
    <w:p w:rsidR="008346AD" w:rsidRPr="00C3699A" w:rsidRDefault="008346AD" w:rsidP="00131139">
      <w:pPr>
        <w:ind w:firstLine="709"/>
        <w:jc w:val="both"/>
      </w:pPr>
      <w:r w:rsidRPr="00C3699A">
        <w:t>Отчитането на приходите и разходите от стопанската дейност по смисъла на ЗКПО, както и операциите по начисляване и внасяне на данъка е извършено в съответствие с т. 12 от ДДС № 20 от 2004 г.</w:t>
      </w:r>
    </w:p>
    <w:p w:rsidR="008346AD" w:rsidRPr="00C3699A" w:rsidRDefault="008346AD" w:rsidP="005B7A03">
      <w:pPr>
        <w:ind w:firstLine="709"/>
        <w:jc w:val="both"/>
      </w:pPr>
      <w:r w:rsidRPr="00C3699A">
        <w:t>Приходите и разходите от стопанска дейност са начислени по съответните сметки от раздели 6 и 7 от СБП и осчетоводени по задбалансови сметки, с изкл</w:t>
      </w:r>
      <w:r>
        <w:t xml:space="preserve">ючение на приходи в размер на 5 </w:t>
      </w:r>
      <w:r w:rsidRPr="00C3699A">
        <w:t xml:space="preserve">400 лв. в СОУ „Иван Вазов“ </w:t>
      </w:r>
      <w:r>
        <w:t xml:space="preserve">гр. </w:t>
      </w:r>
      <w:r w:rsidRPr="00C3699A">
        <w:t>Поморие, които не са осчетоводени по сметка 9939 „Приходи от стопанска дейност“.</w:t>
      </w:r>
      <w:r>
        <w:rPr>
          <w:rStyle w:val="FootnoteReference"/>
        </w:rPr>
        <w:footnoteReference w:id="18"/>
      </w:r>
    </w:p>
    <w:p w:rsidR="008346AD" w:rsidRPr="00C3699A" w:rsidRDefault="008346AD" w:rsidP="00173149">
      <w:pPr>
        <w:ind w:firstLine="709"/>
        <w:jc w:val="both"/>
      </w:pPr>
      <w:r w:rsidRPr="00C3699A">
        <w:t>Данъкът върху приходите е начислен с изключение на 1 053 лв</w:t>
      </w:r>
      <w:r>
        <w:t>. в Общински исторически музей гр.</w:t>
      </w:r>
      <w:r w:rsidRPr="00C3699A">
        <w:t xml:space="preserve"> Поморие.</w:t>
      </w:r>
      <w:r>
        <w:rPr>
          <w:rStyle w:val="FootnoteReference"/>
        </w:rPr>
        <w:footnoteReference w:id="19"/>
      </w:r>
    </w:p>
    <w:p w:rsidR="008346AD" w:rsidRPr="007634F7" w:rsidRDefault="008346AD" w:rsidP="00131139">
      <w:pPr>
        <w:ind w:firstLine="708"/>
        <w:jc w:val="both"/>
      </w:pPr>
      <w:r w:rsidRPr="007634F7">
        <w:t>Предоставеното безвъзмездно право на ползване на активи е осчетоводено съгласно разпоредбите на т. 17.15 от ДДС № 20 от 2004 г.</w:t>
      </w:r>
      <w:r>
        <w:rPr>
          <w:rStyle w:val="FootnoteReference"/>
        </w:rPr>
        <w:footnoteReference w:id="20"/>
      </w:r>
    </w:p>
    <w:p w:rsidR="008346AD" w:rsidRPr="007A0A5B" w:rsidRDefault="008346AD" w:rsidP="00131139">
      <w:pPr>
        <w:tabs>
          <w:tab w:val="left" w:pos="720"/>
        </w:tabs>
        <w:ind w:firstLine="720"/>
        <w:jc w:val="both"/>
      </w:pPr>
      <w:r w:rsidRPr="007A0A5B">
        <w:t xml:space="preserve">Разходите за провизии на персонала са начислени по реда на т.19.7. от ДДС № 20 от 2004 г. Направена е оценка на очаквания брой дни за отпуски и брой на лицата, които ще </w:t>
      </w:r>
      <w:r>
        <w:t xml:space="preserve">се </w:t>
      </w:r>
      <w:r w:rsidRPr="007A0A5B">
        <w:t>ползват, на база изготвена справка.</w:t>
      </w:r>
      <w:r>
        <w:rPr>
          <w:rStyle w:val="FootnoteReference"/>
        </w:rPr>
        <w:footnoteReference w:id="21"/>
      </w:r>
    </w:p>
    <w:p w:rsidR="008346AD" w:rsidRPr="007634F7" w:rsidRDefault="008346AD" w:rsidP="00131139">
      <w:pPr>
        <w:ind w:firstLine="708"/>
        <w:jc w:val="both"/>
      </w:pPr>
      <w:r w:rsidRPr="007634F7">
        <w:t>Дяловете и акциите в търговските дружества са осчетоводени в съответствие с разпоредбите на т. 28 от ДДС № 20 от</w:t>
      </w:r>
      <w:r>
        <w:t xml:space="preserve"> 2004 г.</w:t>
      </w:r>
      <w:r>
        <w:rPr>
          <w:rStyle w:val="FootnoteReference"/>
        </w:rPr>
        <w:footnoteReference w:id="22"/>
      </w:r>
    </w:p>
    <w:p w:rsidR="008346AD" w:rsidRPr="00941952" w:rsidRDefault="008346AD" w:rsidP="00F65B0F">
      <w:pPr>
        <w:ind w:firstLine="708"/>
        <w:jc w:val="both"/>
      </w:pPr>
      <w:r w:rsidRPr="00941952">
        <w:t>Преглед за обезценка на ДМА по реда на т. 36 от ДДС № 20 от 2004 г. е извършен през 2012 г. на активи, отчитани по сметки: 2032 „Жилищни сгради“, 2039 „Други сгради“, 2041 „Компютри и хардуерно оборудване“, 2051 „Леки автомобили“, 2059 „Други транспортни средства“, 2060 „Стопански инвентар</w:t>
      </w:r>
      <w:r>
        <w:t>“</w:t>
      </w:r>
      <w:r w:rsidRPr="00941952">
        <w:t xml:space="preserve"> от група 20 в общинска администрация.</w:t>
      </w:r>
      <w:r>
        <w:rPr>
          <w:rStyle w:val="FootnoteReference"/>
        </w:rPr>
        <w:footnoteReference w:id="23"/>
      </w:r>
    </w:p>
    <w:p w:rsidR="008346AD" w:rsidRDefault="008346AD" w:rsidP="00F65B0F">
      <w:pPr>
        <w:ind w:firstLine="708"/>
        <w:jc w:val="both"/>
      </w:pPr>
      <w:r>
        <w:t>Във второстепенните разпоредители не е извършен преглед за обезценка през 2012 г.</w:t>
      </w:r>
    </w:p>
    <w:p w:rsidR="008346AD" w:rsidRPr="007634F7" w:rsidRDefault="008346AD" w:rsidP="00131139">
      <w:pPr>
        <w:ind w:firstLine="708"/>
        <w:jc w:val="both"/>
      </w:pPr>
      <w:r w:rsidRPr="007634F7">
        <w:t>Вземанията от директно предоставените продажби и други разчети са провизирани за несъбираемост в съответствие с т. 36.2 от ДДС № 20 от 2004 г.</w:t>
      </w:r>
      <w:r w:rsidRPr="007634F7">
        <w:rPr>
          <w:rStyle w:val="FootnoteReference"/>
        </w:rPr>
        <w:footnoteReference w:id="24"/>
      </w:r>
    </w:p>
    <w:p w:rsidR="008346AD" w:rsidRPr="00C31F41" w:rsidRDefault="008346AD" w:rsidP="00131139">
      <w:pPr>
        <w:ind w:firstLine="708"/>
        <w:jc w:val="both"/>
      </w:pPr>
      <w:r w:rsidRPr="00C31F41">
        <w:t>Оборотните ведомости представени в Сметната палата и МФ са изготвени с данни за състоянието на сметките преди операциите по приключването им по т. 59 от ДДС № 20 от 2004 г.</w:t>
      </w:r>
      <w:r>
        <w:rPr>
          <w:rStyle w:val="FootnoteReference"/>
        </w:rPr>
        <w:footnoteReference w:id="25"/>
      </w:r>
    </w:p>
    <w:p w:rsidR="008346AD" w:rsidRDefault="008346AD" w:rsidP="00131139">
      <w:pPr>
        <w:ind w:firstLine="708"/>
        <w:jc w:val="both"/>
      </w:pPr>
      <w:r w:rsidRPr="00C31F41">
        <w:t>След представяне на оборотната ведомост на община Поморие за 2011 г. сметките от раздели 6 „Сметка за разходи“ и 7 „Сметки за приходи и трансфери“, както и задбалансовите сметки за отчитане на потоци са приключени в съответствие с т. т. 59.1, 59.2, 59.3 и 59.5 от ДДС № 20 от 2004 г.</w:t>
      </w:r>
      <w:r>
        <w:rPr>
          <w:rStyle w:val="FootnoteReference"/>
        </w:rPr>
        <w:footnoteReference w:id="26"/>
      </w:r>
    </w:p>
    <w:p w:rsidR="008346AD" w:rsidRDefault="008346AD" w:rsidP="00932598">
      <w:pPr>
        <w:ind w:firstLine="708"/>
        <w:jc w:val="both"/>
      </w:pPr>
      <w:r>
        <w:t xml:space="preserve">Не е спазена т. 59.1.3 от ДДС № 20 от 2004 г. </w:t>
      </w:r>
      <w:r w:rsidRPr="00C31F41">
        <w:t>Допуснато</w:t>
      </w:r>
      <w:r>
        <w:t xml:space="preserve"> е несъответствие в размер на 7 </w:t>
      </w:r>
      <w:r w:rsidRPr="00C31F41">
        <w:t xml:space="preserve">278 лв. на началните салда в оборотната ведомост за 2012 г. на сметка 1101 „Акумулиран прираст/намаление от бюджетни дейности“ и сметка 1109 „Акумулиран прираст/намаление в нетните активи от преоценки и други събития“. Несъответствието е допуснато в дирекция „Образование“ </w:t>
      </w:r>
      <w:r>
        <w:t xml:space="preserve">гр. </w:t>
      </w:r>
      <w:r w:rsidRPr="00C31F41">
        <w:t xml:space="preserve">Поморие. Приключването на сметки 6932 „Липси и брак на дълготрайни активи“ и 6933 „Липси и брак на материални запаси“ е осчетоводено по </w:t>
      </w:r>
      <w:r>
        <w:t xml:space="preserve">сметка </w:t>
      </w:r>
      <w:r w:rsidRPr="00C31F41">
        <w:t>1201 „Прираст /намаление на нетните активи от бюджетни дейности“, вместо по сметка 1309 „Изменения в нетните активи от други събития“.</w:t>
      </w:r>
      <w:r>
        <w:rPr>
          <w:rStyle w:val="FootnoteReference"/>
        </w:rPr>
        <w:footnoteReference w:id="27"/>
      </w:r>
    </w:p>
    <w:p w:rsidR="008346AD" w:rsidRDefault="008346AD" w:rsidP="00131139">
      <w:pPr>
        <w:ind w:firstLine="709"/>
        <w:jc w:val="both"/>
      </w:pPr>
      <w:r w:rsidRPr="00932598">
        <w:t>На основание т. 27 от ДДС № 14 от 2012 г. несъответствието е коригирано по време на финансовия одит на ГФО</w:t>
      </w:r>
      <w:r>
        <w:t xml:space="preserve"> за 2012 г</w:t>
      </w:r>
      <w:r w:rsidRPr="00932598">
        <w:t xml:space="preserve">. Грешните счетоводни операции са коригирани и съставени нови в съответствие с </w:t>
      </w:r>
      <w:r>
        <w:t>т. 59.1.3 от ДДС № 20 от 2004 г. Несъответствието е коригирано със СС № 43-49 от м. 12.2012 г. Съставена е нова оборотна ведомост с коригирани начални салда.</w:t>
      </w:r>
      <w:r>
        <w:rPr>
          <w:rStyle w:val="FootnoteReference"/>
        </w:rPr>
        <w:footnoteReference w:id="28"/>
      </w:r>
    </w:p>
    <w:p w:rsidR="008346AD" w:rsidRDefault="008346AD" w:rsidP="0050501B">
      <w:pPr>
        <w:ind w:firstLine="708"/>
        <w:jc w:val="both"/>
      </w:pPr>
      <w:r w:rsidRPr="00C31F41">
        <w:t>Не са извършвани текущо през 2012 г. процедури на приключване на приходните и разходните сметки от раздели 6 и 7 със сметките от групи 11, 12 и 13 на СБП, с което е спаз</w:t>
      </w:r>
      <w:r>
        <w:t>ена т. 1 от ДДС № 14 от 2012 г.</w:t>
      </w:r>
    </w:p>
    <w:p w:rsidR="008346AD" w:rsidRDefault="008346AD" w:rsidP="0050501B">
      <w:pPr>
        <w:ind w:firstLine="708"/>
        <w:jc w:val="both"/>
      </w:pPr>
      <w:r>
        <w:t xml:space="preserve">Годишното приключване за 2012 г. на сметки от </w:t>
      </w:r>
      <w:r w:rsidRPr="00C31F41">
        <w:t>раздели 6 „Сметка за разходи“ и 7 „Сметки за приходи и трансфери“, както и задбалансовите сметки за отчитане на потоци са приключени в съответствие с т. т. 59.1, 59.2, 59.3 и 59.5 от ДДС № 20 от 2004 г.</w:t>
      </w:r>
      <w:r>
        <w:t>, с изключение на два второстепенни разпоредители:</w:t>
      </w:r>
    </w:p>
    <w:p w:rsidR="008346AD" w:rsidRDefault="008346AD" w:rsidP="0001698F">
      <w:pPr>
        <w:pStyle w:val="ListParagraph"/>
        <w:numPr>
          <w:ilvl w:val="0"/>
          <w:numId w:val="3"/>
        </w:numPr>
        <w:ind w:left="0" w:firstLine="720"/>
        <w:jc w:val="both"/>
      </w:pPr>
      <w:r>
        <w:t>ОП „Озеленяване, горско и селско стопанство“ гр. Поморие при съставянето на счетоводните операции е допуснато несъответствие в размер на 173 245 лв. по задбалансови сметки 9200 „Поети задължения по договори“, 9909 „Други активи в употреба, изписани като разход“, 9923 „Просрочени задължения към доставчици“, 9981 „Кореспондираща сметка за задбалансови активи“ и 9989 „Кореспондираща сметка за задбалансови пасиви“.</w:t>
      </w:r>
    </w:p>
    <w:p w:rsidR="008346AD" w:rsidRDefault="008346AD" w:rsidP="006D5859">
      <w:pPr>
        <w:ind w:left="142" w:firstLine="578"/>
        <w:jc w:val="both"/>
      </w:pPr>
      <w:r>
        <w:t>Несъответствието е коригирано със СС № 100/14,15,16 от м. 12.2012 г.</w:t>
      </w:r>
      <w:r>
        <w:rPr>
          <w:rStyle w:val="FootnoteReference"/>
        </w:rPr>
        <w:footnoteReference w:id="29"/>
      </w:r>
    </w:p>
    <w:p w:rsidR="008346AD" w:rsidRDefault="008346AD" w:rsidP="006D5859">
      <w:pPr>
        <w:pStyle w:val="ListParagraph"/>
        <w:numPr>
          <w:ilvl w:val="0"/>
          <w:numId w:val="3"/>
        </w:numPr>
        <w:ind w:left="0" w:firstLine="720"/>
        <w:jc w:val="both"/>
      </w:pPr>
      <w:r>
        <w:t>Общински исторически музей гр. Поморие при съставянето на счетоводните операции е допуснато несъответствие в размер на 35 094 лв. по задбалансови сметки 9981 „Кореспондираща сметка за задбалансови активи“ и 9989 „Кореспондираща сметка за задбалансови пасиви“.</w:t>
      </w:r>
    </w:p>
    <w:p w:rsidR="008346AD" w:rsidRPr="00932598" w:rsidRDefault="008346AD" w:rsidP="00131139">
      <w:pPr>
        <w:ind w:firstLine="709"/>
        <w:jc w:val="both"/>
      </w:pPr>
      <w:r>
        <w:t>Несъответствието не е коригирано.</w:t>
      </w:r>
    </w:p>
    <w:p w:rsidR="008346AD" w:rsidRDefault="008346AD" w:rsidP="00131139">
      <w:pPr>
        <w:ind w:firstLine="709"/>
        <w:jc w:val="both"/>
      </w:pPr>
      <w:r w:rsidRPr="008759E4">
        <w:t xml:space="preserve">При съставянето на годишния счетоводен баланс </w:t>
      </w:r>
      <w:r>
        <w:t xml:space="preserve">за 2012 г. </w:t>
      </w:r>
      <w:r w:rsidRPr="008759E4">
        <w:t>са спазени изискванията на чл. 25 от ЗСч за независимост на отделните отчетни периоди и за стойностна връзка между начален и краен баланс.</w:t>
      </w:r>
    </w:p>
    <w:p w:rsidR="008346AD" w:rsidRPr="008759E4" w:rsidRDefault="008346AD" w:rsidP="00131139">
      <w:pPr>
        <w:ind w:firstLine="709"/>
        <w:jc w:val="both"/>
      </w:pPr>
    </w:p>
    <w:p w:rsidR="008346AD" w:rsidRDefault="008346AD" w:rsidP="00131139">
      <w:pPr>
        <w:numPr>
          <w:ilvl w:val="0"/>
          <w:numId w:val="1"/>
        </w:numPr>
        <w:tabs>
          <w:tab w:val="left" w:pos="720"/>
        </w:tabs>
        <w:jc w:val="both"/>
        <w:rPr>
          <w:b/>
          <w:bCs/>
        </w:rPr>
      </w:pPr>
      <w:r w:rsidRPr="007F773F">
        <w:rPr>
          <w:b/>
          <w:bCs/>
        </w:rPr>
        <w:t>Актив</w:t>
      </w:r>
    </w:p>
    <w:p w:rsidR="008346AD" w:rsidRPr="005A0C26" w:rsidRDefault="008346AD" w:rsidP="00131139">
      <w:pPr>
        <w:ind w:firstLine="720"/>
        <w:jc w:val="both"/>
      </w:pPr>
      <w:r w:rsidRPr="005A0C26">
        <w:t xml:space="preserve">Стойността на актива на баланса на община Поморие за 2012 г. е в размер на </w:t>
      </w:r>
      <w:r>
        <w:t xml:space="preserve">           755 </w:t>
      </w:r>
      <w:r w:rsidRPr="005A0C26">
        <w:t>711 607 лв., в т.ч. задбалансови активи – 698 744 745 лв.</w:t>
      </w:r>
    </w:p>
    <w:p w:rsidR="008346AD" w:rsidRPr="00DC5695" w:rsidRDefault="008346AD" w:rsidP="00131139">
      <w:pPr>
        <w:ind w:firstLine="720"/>
        <w:jc w:val="both"/>
      </w:pPr>
      <w:r>
        <w:t>Включените в баланса активи</w:t>
      </w:r>
      <w:r w:rsidRPr="00DC5695">
        <w:t xml:space="preserve"> </w:t>
      </w:r>
      <w:r>
        <w:t>принадлежат на община Поморие</w:t>
      </w:r>
      <w:r w:rsidRPr="00DC5695">
        <w:t xml:space="preserve"> към датата на съставяне на баланса.</w:t>
      </w:r>
    </w:p>
    <w:p w:rsidR="008346AD" w:rsidRPr="00C3699A" w:rsidRDefault="008346AD" w:rsidP="00131139">
      <w:pPr>
        <w:ind w:firstLine="709"/>
        <w:jc w:val="both"/>
      </w:pPr>
      <w:r w:rsidRPr="00C3699A">
        <w:t>Активите са оценени в съответствие с разпоредбите на т. 16 и т. 38 от ДДС № 20 от 2004 г.</w:t>
      </w:r>
    </w:p>
    <w:p w:rsidR="008346AD" w:rsidRPr="00C3699A" w:rsidRDefault="008346AD" w:rsidP="00131139">
      <w:pPr>
        <w:ind w:firstLine="709"/>
        <w:jc w:val="both"/>
      </w:pPr>
      <w:r w:rsidRPr="00C3699A">
        <w:t>Оценката на ДМА които към края на 2012 г. са в процес на придобиване е извършена на база на достигнатия етап на процеса.</w:t>
      </w:r>
    </w:p>
    <w:p w:rsidR="008346AD" w:rsidRPr="00AD5A39" w:rsidRDefault="008346AD" w:rsidP="00131139">
      <w:pPr>
        <w:tabs>
          <w:tab w:val="left" w:pos="720"/>
        </w:tabs>
        <w:ind w:left="720"/>
        <w:jc w:val="both"/>
        <w:rPr>
          <w:b/>
          <w:bCs/>
        </w:rPr>
      </w:pPr>
    </w:p>
    <w:p w:rsidR="008346AD" w:rsidRDefault="008346AD" w:rsidP="00131139">
      <w:pPr>
        <w:numPr>
          <w:ilvl w:val="0"/>
          <w:numId w:val="1"/>
        </w:numPr>
        <w:tabs>
          <w:tab w:val="left" w:pos="720"/>
        </w:tabs>
        <w:jc w:val="both"/>
        <w:rPr>
          <w:b/>
          <w:bCs/>
        </w:rPr>
      </w:pPr>
      <w:r w:rsidRPr="007F773F">
        <w:rPr>
          <w:b/>
          <w:bCs/>
        </w:rPr>
        <w:t>Пасив</w:t>
      </w:r>
    </w:p>
    <w:p w:rsidR="008346AD" w:rsidRPr="005A0C26" w:rsidRDefault="008346AD" w:rsidP="00131139">
      <w:pPr>
        <w:tabs>
          <w:tab w:val="left" w:pos="0"/>
        </w:tabs>
        <w:ind w:left="142" w:firstLine="578"/>
        <w:jc w:val="both"/>
      </w:pPr>
      <w:r w:rsidRPr="005A0C26">
        <w:t>Стойността на пасива на баланса на община Поморие е в размер на 76 286 548 лв., в т.ч. задбалансови пасиви – 19 319 686 лв.</w:t>
      </w:r>
    </w:p>
    <w:p w:rsidR="008346AD" w:rsidRPr="005A0C26" w:rsidRDefault="008346AD" w:rsidP="00131139">
      <w:pPr>
        <w:tabs>
          <w:tab w:val="left" w:pos="0"/>
        </w:tabs>
        <w:ind w:firstLine="720"/>
        <w:jc w:val="both"/>
      </w:pPr>
      <w:r w:rsidRPr="005A0C26">
        <w:t>Включените в баланса пасиви принадлежат на община Поморие към датата на съставяне на баланса.</w:t>
      </w:r>
    </w:p>
    <w:p w:rsidR="008346AD" w:rsidRPr="005A0C26" w:rsidRDefault="008346AD" w:rsidP="00131139">
      <w:pPr>
        <w:tabs>
          <w:tab w:val="left" w:pos="0"/>
        </w:tabs>
        <w:ind w:firstLine="720"/>
        <w:jc w:val="both"/>
      </w:pPr>
      <w:r w:rsidRPr="005A0C26">
        <w:t>Всички операции и събития които имат ефект върху нетните активи са осчетоводени чрез съответните сметки от раздели 6 и 7 от СБП.</w:t>
      </w:r>
    </w:p>
    <w:p w:rsidR="008346AD" w:rsidRPr="0098170E" w:rsidRDefault="008346AD" w:rsidP="00131139">
      <w:pPr>
        <w:tabs>
          <w:tab w:val="left" w:pos="0"/>
        </w:tabs>
        <w:ind w:firstLine="720"/>
        <w:jc w:val="both"/>
      </w:pPr>
      <w:r w:rsidRPr="0098170E">
        <w:t>В баланса на реда „3. Прираст/намаление в нетните активи за периода (шифър 0403) в съответните колони за начален баланс (данните за предходната година) фигурира сумата, представляваща разлика между салдата на сметките от раздели 6 и 7 към 31.12.2011 г. преди приключвателните операции. В съответните колони за начален баланс на позициите – шифри 0401 и 0402 фигурират салдата на сметките от гр. 10 и 11 към 31.12.2011 г. преди приключвателните операции.</w:t>
      </w:r>
    </w:p>
    <w:p w:rsidR="008346AD" w:rsidRPr="00AD5A39" w:rsidRDefault="008346AD" w:rsidP="00131139">
      <w:pPr>
        <w:tabs>
          <w:tab w:val="left" w:pos="0"/>
        </w:tabs>
        <w:ind w:firstLine="720"/>
        <w:jc w:val="both"/>
      </w:pPr>
      <w:r w:rsidRPr="00AD5A39">
        <w:t>Не е допуснато директно отнасяне на приходи или разходи към елементите на собствения капитал – сметки от групи 10, 11, 12 и 13 от СБП.</w:t>
      </w:r>
    </w:p>
    <w:p w:rsidR="008346AD" w:rsidRPr="00FC5A04" w:rsidRDefault="008346AD" w:rsidP="00131139">
      <w:pPr>
        <w:tabs>
          <w:tab w:val="left" w:pos="0"/>
        </w:tabs>
        <w:ind w:firstLine="709"/>
        <w:jc w:val="both"/>
      </w:pPr>
      <w:r w:rsidRPr="00FC5A04">
        <w:t>С Решение  на Общински съвет Поморие № 52 от 02.02.2012 г. е закрита дирекция „Образование, култура и вероизповедания“, второстепенен разпоредител към община Поморие.</w:t>
      </w:r>
    </w:p>
    <w:p w:rsidR="008346AD" w:rsidRDefault="008346AD" w:rsidP="00131139">
      <w:pPr>
        <w:tabs>
          <w:tab w:val="left" w:pos="0"/>
        </w:tabs>
        <w:ind w:firstLine="709"/>
        <w:jc w:val="both"/>
      </w:pPr>
      <w:r w:rsidRPr="00FC5A04">
        <w:t>В съответствие с т. 13 от ДДС № 20 от 2004 г. когато второстепенният разпоредител е закрит, прехвърлянето на балансовите активи и пасиви</w:t>
      </w:r>
      <w:r>
        <w:t>,</w:t>
      </w:r>
      <w:r w:rsidRPr="00FC5A04">
        <w:t xml:space="preserve"> налични към датата на закриване</w:t>
      </w:r>
      <w:r>
        <w:t>,</w:t>
      </w:r>
      <w:r w:rsidRPr="00FC5A04">
        <w:t xml:space="preserve"> към други структурни звена в системата на първостепенния разпоредител е</w:t>
      </w:r>
      <w:r>
        <w:t xml:space="preserve"> осчетоводен</w:t>
      </w:r>
      <w:r w:rsidRPr="00FC5A04">
        <w:t>о</w:t>
      </w:r>
      <w:r>
        <w:t xml:space="preserve"> по</w:t>
      </w:r>
      <w:r w:rsidRPr="00FC5A04">
        <w:t xml:space="preserve"> сметка 4500 „Вътрешни разчети за доставки и прехвърляне на активи, пасиви, приходи и разходи“, а на задбалансовите активи и пасиви чрез сметки 9981 „Кореспондираща сметка за задбалансови активи“ и сметка 9989 „Кореспондираща сметка за задбалансови пасиви“.</w:t>
      </w:r>
    </w:p>
    <w:p w:rsidR="008346AD" w:rsidRDefault="008346AD" w:rsidP="00131139">
      <w:pPr>
        <w:tabs>
          <w:tab w:val="left" w:pos="0"/>
        </w:tabs>
        <w:ind w:firstLine="709"/>
        <w:jc w:val="both"/>
      </w:pPr>
      <w:r w:rsidRPr="00FC5A04">
        <w:t>Информацията за начислените приходи,</w:t>
      </w:r>
      <w:r>
        <w:t xml:space="preserve"> разходи и трансфери (сметки по</w:t>
      </w:r>
      <w:r w:rsidRPr="00FC5A04">
        <w:t xml:space="preserve"> раздели 6 и 7 от СБП), салдата от задбалансовите сметки за отчитане на потоци, както и данните на касова основа са запазени и представени в края на годината</w:t>
      </w:r>
      <w:r>
        <w:t xml:space="preserve"> в отчетите на закритото звено, в съответствие с т. 13.2.1 от ДДС № 20 от 2004 г. Годишното приключване на закрития разпоредител е извършено по общия ред и в оборотната ведомост се съдържат данни само за салдата по сметки от групи 10 и 11, като сборът им е равен на нула. В допълнение са съставени счетоводни статии за приключване на сметки от група 10 с тези от група 11, при което тези сметки са с нулеви стойности.</w:t>
      </w:r>
    </w:p>
    <w:p w:rsidR="008346AD" w:rsidRDefault="008346AD" w:rsidP="00131139">
      <w:pPr>
        <w:tabs>
          <w:tab w:val="left" w:pos="0"/>
        </w:tabs>
        <w:ind w:firstLine="709"/>
        <w:jc w:val="both"/>
      </w:pPr>
      <w:r>
        <w:t>В консолидираната отчетност и оборотна ведомост за системата на първостепенния разпоредител са включени данните за началните салда на закрития разпоредител.</w:t>
      </w:r>
    </w:p>
    <w:p w:rsidR="008346AD" w:rsidRDefault="008346AD" w:rsidP="004304A6">
      <w:pPr>
        <w:pStyle w:val="ListParagraph"/>
        <w:ind w:left="0" w:firstLine="709"/>
        <w:jc w:val="both"/>
      </w:pPr>
    </w:p>
    <w:p w:rsidR="008346AD" w:rsidRDefault="008346AD" w:rsidP="004304A6">
      <w:pPr>
        <w:pStyle w:val="ListParagraph"/>
        <w:ind w:left="0" w:firstLine="709"/>
        <w:jc w:val="both"/>
      </w:pPr>
    </w:p>
    <w:p w:rsidR="008346AD" w:rsidRPr="00897D54" w:rsidRDefault="008346AD" w:rsidP="004304A6">
      <w:pPr>
        <w:pStyle w:val="ListParagraph"/>
        <w:ind w:left="0" w:firstLine="709"/>
        <w:jc w:val="both"/>
      </w:pPr>
      <w:bookmarkStart w:id="0" w:name="_GoBack"/>
      <w:bookmarkEnd w:id="0"/>
      <w:r w:rsidRPr="00897D54">
        <w:t xml:space="preserve">При извършената проверка за вярно осчетоводяване на стопанските операции се установи: </w:t>
      </w:r>
    </w:p>
    <w:p w:rsidR="008346AD" w:rsidRDefault="008346AD" w:rsidP="00FF5034">
      <w:pPr>
        <w:pStyle w:val="ListParagraph"/>
        <w:numPr>
          <w:ilvl w:val="0"/>
          <w:numId w:val="3"/>
        </w:numPr>
        <w:ind w:left="0" w:firstLine="720"/>
        <w:jc w:val="both"/>
      </w:pPr>
      <w:r w:rsidRPr="00FF5034">
        <w:t xml:space="preserve">Разходи за </w:t>
      </w:r>
      <w:r>
        <w:t>СМР на обект „Мотописта Порой“ в общинска администрация в размер на 3 917 лв. са осчетоводени по сметка 6071“Разходи за наеми“, вместо по сметка 2071 „Незавършено строителство, производство и основен ремонт на активи“.</w:t>
      </w:r>
      <w:r>
        <w:rPr>
          <w:rStyle w:val="FootnoteReference"/>
        </w:rPr>
        <w:footnoteReference w:id="30"/>
      </w:r>
    </w:p>
    <w:p w:rsidR="008346AD" w:rsidRPr="00FF5034" w:rsidRDefault="008346AD" w:rsidP="00262DE5">
      <w:pPr>
        <w:pStyle w:val="ListParagraph"/>
        <w:ind w:left="0" w:firstLine="720"/>
        <w:jc w:val="both"/>
      </w:pPr>
      <w:r>
        <w:t>Несъответствието е коригирано през м. юни 2013 г.</w:t>
      </w:r>
    </w:p>
    <w:p w:rsidR="008346AD" w:rsidRDefault="008346AD" w:rsidP="00A8274C">
      <w:pPr>
        <w:pStyle w:val="ListParagraph"/>
        <w:numPr>
          <w:ilvl w:val="0"/>
          <w:numId w:val="3"/>
        </w:numPr>
        <w:tabs>
          <w:tab w:val="left" w:pos="0"/>
        </w:tabs>
        <w:ind w:left="0" w:firstLine="720"/>
        <w:jc w:val="both"/>
      </w:pPr>
      <w:r w:rsidRPr="00A8274C">
        <w:t>Авансови плащания по фактури в общинска администрация общо в размер на 171 728 лв. са осчетоводени по сметки 6028 „Разходи за консултантски услуги“ – 5 760 лв., сметка 6029 „Други разходи за външни услуги“ – 100 959 лв. и 2071 „Незавършено строителство, производство и основен ремонт“ – 65 009 лв., вместо по сметка 4020 „Доставчици по аванси“.</w:t>
      </w:r>
      <w:r>
        <w:rPr>
          <w:rStyle w:val="FootnoteReference"/>
        </w:rPr>
        <w:footnoteReference w:id="31"/>
      </w:r>
    </w:p>
    <w:p w:rsidR="008346AD" w:rsidRDefault="008346AD" w:rsidP="00A8274C">
      <w:pPr>
        <w:pStyle w:val="ListParagraph"/>
        <w:numPr>
          <w:ilvl w:val="0"/>
          <w:numId w:val="3"/>
        </w:numPr>
        <w:tabs>
          <w:tab w:val="left" w:pos="0"/>
        </w:tabs>
        <w:ind w:left="0" w:firstLine="720"/>
        <w:jc w:val="both"/>
      </w:pPr>
      <w:r>
        <w:t>Р</w:t>
      </w:r>
      <w:r w:rsidRPr="00897D54">
        <w:t xml:space="preserve">азходи </w:t>
      </w:r>
      <w:r>
        <w:t xml:space="preserve">за </w:t>
      </w:r>
      <w:r w:rsidRPr="00897D54">
        <w:t xml:space="preserve">канцеларски материали и консумативи за принтери и копирни машини в ПГТ „Алеко Константинов“ гр. </w:t>
      </w:r>
      <w:r>
        <w:t xml:space="preserve">Поморие общо в размер на 1 </w:t>
      </w:r>
      <w:r w:rsidRPr="00897D54">
        <w:t>103 лв. са осчетоводени по сметка 6019 Разходи за други материали“, вместо по сметка 6011 „Разходи за канцеларски материали“ – 196 лв. и по сметка 6017 „Разходи за консумативи и резервни части за хардуер“;</w:t>
      </w:r>
      <w:r>
        <w:rPr>
          <w:rStyle w:val="FootnoteReference"/>
        </w:rPr>
        <w:footnoteReference w:id="32"/>
      </w:r>
    </w:p>
    <w:p w:rsidR="008346AD" w:rsidRPr="00897D54" w:rsidRDefault="008346AD" w:rsidP="00420B69">
      <w:pPr>
        <w:pStyle w:val="ListParagraph"/>
        <w:numPr>
          <w:ilvl w:val="0"/>
          <w:numId w:val="3"/>
        </w:numPr>
        <w:tabs>
          <w:tab w:val="left" w:pos="0"/>
        </w:tabs>
        <w:ind w:left="0" w:firstLine="720"/>
        <w:jc w:val="both"/>
      </w:pPr>
      <w:r>
        <w:t>Р</w:t>
      </w:r>
      <w:r w:rsidRPr="00897D54">
        <w:t>азходи за абонаментно поддържане на програмни продукти и транс</w:t>
      </w:r>
      <w:r>
        <w:t>порт в ПГТ „Алеко Константинов“</w:t>
      </w:r>
      <w:r w:rsidRPr="00897D54">
        <w:t xml:space="preserve"> гр. </w:t>
      </w:r>
      <w:r>
        <w:t xml:space="preserve">Поморие общо в размер на 10 </w:t>
      </w:r>
      <w:r w:rsidRPr="00897D54">
        <w:t xml:space="preserve">913 лв. са осчетоводени по сметка 6029 „Други разходи за външни услуги“, вместо по сметка </w:t>
      </w:r>
      <w:r>
        <w:t xml:space="preserve">6022 „Разходи за транспорт“ –       9 </w:t>
      </w:r>
      <w:r w:rsidRPr="00897D54">
        <w:t>453 лв. и по сметка 6026 „Разходи за под</w:t>
      </w:r>
      <w:r>
        <w:t xml:space="preserve">дръжка на софтуер“ – 1 </w:t>
      </w:r>
      <w:r w:rsidRPr="00897D54">
        <w:t>460 лв.</w:t>
      </w:r>
      <w:r>
        <w:rPr>
          <w:rStyle w:val="FootnoteReference"/>
        </w:rPr>
        <w:footnoteReference w:id="33"/>
      </w:r>
    </w:p>
    <w:p w:rsidR="008346AD" w:rsidRDefault="008346AD" w:rsidP="00532466">
      <w:pPr>
        <w:pStyle w:val="ListParagraph"/>
        <w:numPr>
          <w:ilvl w:val="0"/>
          <w:numId w:val="3"/>
        </w:numPr>
        <w:tabs>
          <w:tab w:val="left" w:pos="0"/>
        </w:tabs>
        <w:ind w:left="0" w:firstLine="720"/>
        <w:jc w:val="both"/>
      </w:pPr>
      <w:r>
        <w:t>Ревизионен акт от РУ „Социално осигуряване“ Бургас в дирекция „Образование, култура и вероизповедания“ в размер на 1 043 лв. е осчетоводен по сметка 6051 „Разходи за осигурителни вноски за ДОО“, вместо по сметка 6095 „Разходи за глоби и неустойки“.</w:t>
      </w:r>
      <w:r>
        <w:rPr>
          <w:rStyle w:val="FootnoteReference"/>
        </w:rPr>
        <w:footnoteReference w:id="34"/>
      </w:r>
    </w:p>
    <w:p w:rsidR="008346AD" w:rsidRPr="00897D54" w:rsidRDefault="008346AD" w:rsidP="00004B73">
      <w:pPr>
        <w:pStyle w:val="ListParagraph"/>
        <w:numPr>
          <w:ilvl w:val="0"/>
          <w:numId w:val="3"/>
        </w:numPr>
        <w:tabs>
          <w:tab w:val="left" w:pos="0"/>
        </w:tabs>
        <w:ind w:left="0" w:firstLine="720"/>
        <w:jc w:val="both"/>
      </w:pPr>
      <w:r w:rsidRPr="00F9450D">
        <w:t xml:space="preserve">В отчетна група </w:t>
      </w:r>
      <w:r>
        <w:t xml:space="preserve">ИБСФ </w:t>
      </w:r>
      <w:r w:rsidRPr="00897D54">
        <w:t>разходи за учебни помагала</w:t>
      </w:r>
      <w:r>
        <w:t xml:space="preserve"> в размер на 2 </w:t>
      </w:r>
      <w:r w:rsidRPr="00897D54">
        <w:t xml:space="preserve">655 лв. </w:t>
      </w:r>
      <w:r>
        <w:t xml:space="preserve">са </w:t>
      </w:r>
      <w:r w:rsidRPr="00897D54">
        <w:t>осчетоводени по сметка 6019 „Разходи за други материали“, вместо в сметка 6014 „Разходи за учебни материали и помагала“ в ОУ „Христо Ботев“ гр. Ахелой и ОУ „Христо Ботев“ с. Горица</w:t>
      </w:r>
      <w:r>
        <w:t>.</w:t>
      </w:r>
      <w:r>
        <w:rPr>
          <w:rStyle w:val="FootnoteReference"/>
        </w:rPr>
        <w:footnoteReference w:id="35"/>
      </w:r>
    </w:p>
    <w:p w:rsidR="008346AD" w:rsidRPr="00897D54" w:rsidRDefault="008346AD" w:rsidP="0021296C">
      <w:pPr>
        <w:pStyle w:val="ListParagraph"/>
        <w:tabs>
          <w:tab w:val="left" w:pos="0"/>
        </w:tabs>
        <w:ind w:left="0" w:firstLine="709"/>
        <w:jc w:val="both"/>
      </w:pPr>
      <w:r w:rsidRPr="00897D54">
        <w:t>Несъответстви</w:t>
      </w:r>
      <w:r>
        <w:t>ята</w:t>
      </w:r>
      <w:r w:rsidRPr="00897D54">
        <w:t xml:space="preserve"> не </w:t>
      </w:r>
      <w:r>
        <w:t>са</w:t>
      </w:r>
      <w:r w:rsidRPr="00897D54">
        <w:t xml:space="preserve"> коригиран</w:t>
      </w:r>
      <w:r>
        <w:t>и</w:t>
      </w:r>
      <w:r w:rsidRPr="00897D54">
        <w:t>.</w:t>
      </w:r>
      <w:r>
        <w:t xml:space="preserve"> Не са спазени изискванията на СБП. Допуснатите отклонения не оказват влияние върху верността на баланса.</w:t>
      </w:r>
    </w:p>
    <w:p w:rsidR="008346AD" w:rsidRPr="00897D54" w:rsidRDefault="008346AD" w:rsidP="00131139">
      <w:pPr>
        <w:tabs>
          <w:tab w:val="left" w:pos="0"/>
        </w:tabs>
        <w:ind w:left="720"/>
        <w:jc w:val="both"/>
        <w:rPr>
          <w:b/>
          <w:bCs/>
        </w:rPr>
      </w:pPr>
    </w:p>
    <w:p w:rsidR="008346AD" w:rsidRPr="00897D54" w:rsidRDefault="008346AD" w:rsidP="00131139">
      <w:pPr>
        <w:numPr>
          <w:ilvl w:val="0"/>
          <w:numId w:val="1"/>
        </w:numPr>
        <w:tabs>
          <w:tab w:val="left" w:pos="0"/>
        </w:tabs>
        <w:jc w:val="both"/>
        <w:rPr>
          <w:b/>
          <w:bCs/>
        </w:rPr>
      </w:pPr>
      <w:r w:rsidRPr="00897D54">
        <w:rPr>
          <w:b/>
          <w:bCs/>
        </w:rPr>
        <w:t>Инвентаризация на активите и пасивите</w:t>
      </w:r>
    </w:p>
    <w:p w:rsidR="008346AD" w:rsidRDefault="008346AD" w:rsidP="00131139">
      <w:pPr>
        <w:tabs>
          <w:tab w:val="left" w:pos="0"/>
        </w:tabs>
        <w:ind w:firstLine="720"/>
        <w:jc w:val="both"/>
      </w:pPr>
      <w:r w:rsidRPr="00897D54">
        <w:t xml:space="preserve">Инвентаризацията на активите и пасивите е извършена </w:t>
      </w:r>
      <w:r>
        <w:t>в съответствие с разпоредбите на чл. 22 от ЗСч и Счетоводната политика на община Поморие.</w:t>
      </w:r>
    </w:p>
    <w:p w:rsidR="008346AD" w:rsidRDefault="008346AD" w:rsidP="00131139">
      <w:pPr>
        <w:tabs>
          <w:tab w:val="left" w:pos="720"/>
        </w:tabs>
        <w:ind w:firstLine="660"/>
        <w:jc w:val="both"/>
      </w:pPr>
      <w:r w:rsidRPr="001E42B4">
        <w:t>Спазени са отделните етапи и срокове за извършване и приключване на инвентаризацията</w:t>
      </w:r>
      <w:r w:rsidRPr="0062454F">
        <w:rPr>
          <w:i/>
          <w:iCs/>
        </w:rPr>
        <w:t>.</w:t>
      </w:r>
    </w:p>
    <w:p w:rsidR="008346AD" w:rsidRPr="0026294F" w:rsidRDefault="008346AD" w:rsidP="00131139">
      <w:pPr>
        <w:ind w:firstLine="660"/>
        <w:jc w:val="both"/>
      </w:pPr>
      <w:r w:rsidRPr="0090497E">
        <w:t>Извършена е проверка на документацията за проведена годишна инвентаризация за 2012 г. чрез извадка включваща общинска администрация, СОУ „Иван Вазов</w:t>
      </w:r>
      <w:r>
        <w:t>“  гр. Поморие, ПГТ „Алеко Константинов“ гр. Поморие, ОДЗ „Детелина“ гр. Поморие, ЦДГ „Теменуга“ гр. Ахелой, ЦДГ „Веселушко“ гр. Поморие, Общински исторически музей гр. Поморие и Кметство гр. Ахелой</w:t>
      </w:r>
      <w:r w:rsidRPr="0026294F">
        <w:t>.</w:t>
      </w:r>
      <w:r w:rsidRPr="0026294F">
        <w:rPr>
          <w:rStyle w:val="FootnoteReference"/>
        </w:rPr>
        <w:footnoteReference w:id="36"/>
      </w:r>
    </w:p>
    <w:p w:rsidR="008346AD" w:rsidRPr="0026294F" w:rsidRDefault="008346AD" w:rsidP="00131139">
      <w:pPr>
        <w:ind w:firstLine="660"/>
        <w:jc w:val="both"/>
      </w:pPr>
      <w:r w:rsidRPr="0026294F">
        <w:t>При проверката се установи:</w:t>
      </w:r>
      <w:r w:rsidRPr="0026294F">
        <w:rPr>
          <w:rStyle w:val="FootnoteReference"/>
        </w:rPr>
        <w:footnoteReference w:id="37"/>
      </w:r>
    </w:p>
    <w:p w:rsidR="008346AD" w:rsidRPr="00CE6A0C" w:rsidRDefault="008346AD" w:rsidP="00131139">
      <w:pPr>
        <w:tabs>
          <w:tab w:val="left" w:pos="0"/>
        </w:tabs>
        <w:ind w:firstLine="709"/>
        <w:jc w:val="both"/>
      </w:pPr>
      <w:r w:rsidRPr="00CE6A0C">
        <w:rPr>
          <w:b/>
          <w:bCs/>
        </w:rPr>
        <w:t xml:space="preserve">- </w:t>
      </w:r>
      <w:r w:rsidRPr="00CE6A0C">
        <w:t xml:space="preserve">Със заповед № РД-16-1413 от 27.12.2012 г.- на кмета на общината е назначена комисия за извършване на инвентаризацията в общинска администрация </w:t>
      </w:r>
      <w:r>
        <w:t xml:space="preserve">гр. </w:t>
      </w:r>
      <w:r w:rsidRPr="00CE6A0C">
        <w:t>Поморие.</w:t>
      </w:r>
    </w:p>
    <w:p w:rsidR="008346AD" w:rsidRPr="00CE6A0C" w:rsidRDefault="008346AD" w:rsidP="00131139">
      <w:pPr>
        <w:tabs>
          <w:tab w:val="left" w:pos="0"/>
        </w:tabs>
        <w:ind w:firstLine="710"/>
        <w:jc w:val="both"/>
        <w:rPr>
          <w:b/>
          <w:bCs/>
        </w:rPr>
      </w:pPr>
      <w:r w:rsidRPr="00CE6A0C">
        <w:t>Всеки ръководител на второстепенен разпоредител е издал заповед за извършване на годишната инвентаризация</w:t>
      </w:r>
      <w:r>
        <w:t>;</w:t>
      </w:r>
    </w:p>
    <w:p w:rsidR="008346AD" w:rsidRPr="00AB2E70" w:rsidRDefault="008346AD" w:rsidP="00131139">
      <w:pPr>
        <w:tabs>
          <w:tab w:val="left" w:pos="0"/>
        </w:tabs>
        <w:ind w:firstLine="660"/>
        <w:jc w:val="both"/>
      </w:pPr>
      <w:r w:rsidRPr="00AB2E70">
        <w:rPr>
          <w:b/>
          <w:bCs/>
        </w:rPr>
        <w:t xml:space="preserve">- </w:t>
      </w:r>
      <w:r w:rsidRPr="00AB2E70">
        <w:t>Определени са срокове за извършване и приключване на инвентари</w:t>
      </w:r>
      <w:r w:rsidRPr="00AB2E70">
        <w:rPr>
          <w:b/>
          <w:bCs/>
        </w:rPr>
        <w:t>з</w:t>
      </w:r>
      <w:r w:rsidRPr="00AB2E70">
        <w:t>ацията, както и обектите за инвентаризиране;</w:t>
      </w:r>
    </w:p>
    <w:p w:rsidR="008346AD" w:rsidRPr="00AB2E70" w:rsidRDefault="008346AD" w:rsidP="00131139">
      <w:pPr>
        <w:tabs>
          <w:tab w:val="left" w:pos="0"/>
        </w:tabs>
        <w:ind w:firstLine="660"/>
        <w:jc w:val="both"/>
      </w:pPr>
      <w:r w:rsidRPr="00AB2E70">
        <w:rPr>
          <w:b/>
          <w:bCs/>
        </w:rPr>
        <w:t xml:space="preserve">- </w:t>
      </w:r>
      <w:r w:rsidRPr="00AB2E70">
        <w:t>Заведена е аналитична отчетност на активите по материално отговорни лица;</w:t>
      </w:r>
    </w:p>
    <w:p w:rsidR="008346AD" w:rsidRPr="00736869" w:rsidRDefault="008346AD" w:rsidP="00131139">
      <w:pPr>
        <w:tabs>
          <w:tab w:val="left" w:pos="0"/>
        </w:tabs>
        <w:ind w:firstLine="660"/>
        <w:jc w:val="both"/>
        <w:rPr>
          <w:b/>
          <w:bCs/>
        </w:rPr>
      </w:pPr>
      <w:r w:rsidRPr="00736869">
        <w:rPr>
          <w:b/>
          <w:bCs/>
        </w:rPr>
        <w:t>-</w:t>
      </w:r>
      <w:r>
        <w:rPr>
          <w:b/>
          <w:bCs/>
          <w:lang w:val="en-US"/>
        </w:rPr>
        <w:t xml:space="preserve"> </w:t>
      </w:r>
      <w:r w:rsidRPr="00736869">
        <w:t>Съставени са инвентаризационни описи и сравнителни ведомости. Не са констатирани липси и излишъци. Съставени са 10 бр. протоколи за брак на ДМА и 33 - на задбалансови активи;</w:t>
      </w:r>
    </w:p>
    <w:p w:rsidR="008346AD" w:rsidRPr="00F31733" w:rsidRDefault="008346AD" w:rsidP="00131139">
      <w:pPr>
        <w:tabs>
          <w:tab w:val="left" w:pos="720"/>
        </w:tabs>
        <w:ind w:firstLine="660"/>
        <w:jc w:val="both"/>
        <w:rPr>
          <w:b/>
          <w:bCs/>
        </w:rPr>
      </w:pPr>
      <w:r w:rsidRPr="00F31733">
        <w:rPr>
          <w:b/>
          <w:bCs/>
        </w:rPr>
        <w:t xml:space="preserve">- </w:t>
      </w:r>
      <w:r w:rsidRPr="00F31733">
        <w:t>Резултатите от инвентаризацията са осчетоводени към 31.12.2012 г.;</w:t>
      </w:r>
    </w:p>
    <w:p w:rsidR="008346AD" w:rsidRPr="00F31733" w:rsidRDefault="008346AD" w:rsidP="00131139">
      <w:pPr>
        <w:tabs>
          <w:tab w:val="left" w:pos="0"/>
        </w:tabs>
        <w:ind w:firstLine="660"/>
        <w:jc w:val="both"/>
      </w:pPr>
      <w:r w:rsidRPr="00F31733">
        <w:t>- Извършена е инвентаризация на разчетите чрез изпращане на писма до контрагентите.</w:t>
      </w:r>
    </w:p>
    <w:p w:rsidR="008346AD" w:rsidRDefault="008346AD" w:rsidP="00131139">
      <w:pPr>
        <w:tabs>
          <w:tab w:val="left" w:pos="720"/>
        </w:tabs>
        <w:ind w:left="1080" w:hanging="371"/>
        <w:jc w:val="both"/>
        <w:rPr>
          <w:b/>
          <w:bCs/>
        </w:rPr>
      </w:pPr>
    </w:p>
    <w:p w:rsidR="008346AD" w:rsidRPr="001F2A2F" w:rsidRDefault="008346AD" w:rsidP="00131139">
      <w:pPr>
        <w:tabs>
          <w:tab w:val="left" w:pos="720"/>
        </w:tabs>
        <w:ind w:left="1080" w:hanging="371"/>
        <w:jc w:val="both"/>
        <w:rPr>
          <w:b/>
          <w:bCs/>
        </w:rPr>
      </w:pPr>
      <w:r>
        <w:rPr>
          <w:b/>
          <w:bCs/>
        </w:rPr>
        <w:t>ІV</w:t>
      </w:r>
      <w:r w:rsidRPr="001F2A2F">
        <w:rPr>
          <w:b/>
          <w:bCs/>
        </w:rPr>
        <w:t>. Приложения</w:t>
      </w:r>
      <w:r>
        <w:rPr>
          <w:b/>
          <w:bCs/>
        </w:rPr>
        <w:t xml:space="preserve"> към годишния финансов отчет</w:t>
      </w:r>
    </w:p>
    <w:p w:rsidR="008346AD" w:rsidRDefault="008346AD" w:rsidP="00131139">
      <w:pPr>
        <w:tabs>
          <w:tab w:val="left" w:pos="720"/>
        </w:tabs>
        <w:ind w:firstLine="720"/>
        <w:jc w:val="both"/>
      </w:pPr>
      <w:r>
        <w:t>Годишният финансов отчет за 2012</w:t>
      </w:r>
      <w:r w:rsidRPr="0062454F">
        <w:t xml:space="preserve"> г. на община </w:t>
      </w:r>
      <w:r>
        <w:t>Поморие</w:t>
      </w:r>
      <w:r w:rsidRPr="0062454F">
        <w:t xml:space="preserve"> съдържа изискващите се елементи,</w:t>
      </w:r>
      <w:r>
        <w:t xml:space="preserve"> съгласно Заповед № 60 от</w:t>
      </w:r>
      <w:r w:rsidRPr="0062454F">
        <w:t xml:space="preserve"> 20.01.2005 г. на министъра на финансите </w:t>
      </w:r>
      <w:r w:rsidRPr="0062454F">
        <w:rPr>
          <w:spacing w:val="4"/>
        </w:rPr>
        <w:t>относно формата и съдържанието на годишния финансов отчет на бюджетните предприятия</w:t>
      </w:r>
      <w:r>
        <w:rPr>
          <w:spacing w:val="4"/>
        </w:rPr>
        <w:t>.</w:t>
      </w:r>
    </w:p>
    <w:p w:rsidR="008346AD" w:rsidRDefault="008346AD" w:rsidP="00131139">
      <w:pPr>
        <w:tabs>
          <w:tab w:val="left" w:pos="720"/>
        </w:tabs>
        <w:ind w:firstLine="720"/>
        <w:jc w:val="both"/>
      </w:pPr>
      <w:r>
        <w:t>Отчетът за касовото изпълнение на бюджета и извънбюджетните сметки и фондове е придружен с обяснителна записка, която съдържа анализ на изпълнението на приходите и разходите.</w:t>
      </w:r>
    </w:p>
    <w:p w:rsidR="008346AD" w:rsidRDefault="008346AD" w:rsidP="00DE1926">
      <w:pPr>
        <w:ind w:firstLine="720"/>
        <w:jc w:val="both"/>
      </w:pPr>
      <w:r>
        <w:t>Обяснителната записка към баланса, съдържа информация за изменението на основните активи, пасиви и прилаганата счетоводна политика.</w:t>
      </w:r>
    </w:p>
    <w:p w:rsidR="008346AD" w:rsidRDefault="008346AD" w:rsidP="00DE1926">
      <w:pPr>
        <w:ind w:firstLine="720"/>
        <w:jc w:val="both"/>
        <w:rPr>
          <w:spacing w:val="4"/>
        </w:rPr>
      </w:pPr>
    </w:p>
    <w:p w:rsidR="008346AD" w:rsidRPr="008D2C08" w:rsidRDefault="008346AD" w:rsidP="00DE1926">
      <w:pPr>
        <w:pStyle w:val="Default"/>
        <w:ind w:firstLine="708"/>
        <w:jc w:val="both"/>
        <w:rPr>
          <w:i/>
          <w:iCs/>
          <w:color w:val="auto"/>
        </w:rPr>
      </w:pPr>
      <w:r>
        <w:rPr>
          <w:i/>
          <w:iCs/>
        </w:rPr>
        <w:t>Отразените в баланса и оборотната ведомост към 31.12.2012 г. стопански, финансови и счетоводни операции са в съответствие с действащото законодателство.</w:t>
      </w:r>
    </w:p>
    <w:p w:rsidR="008346AD" w:rsidRPr="005B78AC" w:rsidRDefault="008346AD" w:rsidP="00DE1926">
      <w:pPr>
        <w:tabs>
          <w:tab w:val="left" w:pos="0"/>
        </w:tabs>
        <w:ind w:firstLine="720"/>
        <w:jc w:val="both"/>
      </w:pPr>
      <w:r w:rsidRPr="00001299">
        <w:rPr>
          <w:i/>
          <w:iCs/>
        </w:rPr>
        <w:t>Оборотната ведомост и б</w:t>
      </w:r>
      <w:r>
        <w:rPr>
          <w:i/>
          <w:iCs/>
        </w:rPr>
        <w:t>алансът към 31.12.2012</w:t>
      </w:r>
      <w:r w:rsidRPr="00001299">
        <w:rPr>
          <w:i/>
          <w:iCs/>
        </w:rPr>
        <w:t xml:space="preserve"> г. </w:t>
      </w:r>
      <w:r>
        <w:rPr>
          <w:i/>
          <w:iCs/>
        </w:rPr>
        <w:t>не съдържат съществени отклонения и</w:t>
      </w:r>
      <w:r w:rsidRPr="00001299">
        <w:rPr>
          <w:i/>
          <w:iCs/>
        </w:rPr>
        <w:t xml:space="preserve"> дават вярна и честна представа за финансовото състояние и имуществото на</w:t>
      </w:r>
      <w:r>
        <w:rPr>
          <w:i/>
          <w:iCs/>
        </w:rPr>
        <w:t xml:space="preserve"> община Поморие.</w:t>
      </w:r>
    </w:p>
    <w:p w:rsidR="008346AD" w:rsidRDefault="008346AD" w:rsidP="00DE1926">
      <w:pPr>
        <w:tabs>
          <w:tab w:val="left" w:pos="720"/>
        </w:tabs>
        <w:ind w:firstLine="720"/>
        <w:jc w:val="both"/>
        <w:rPr>
          <w:b/>
          <w:bCs/>
        </w:rPr>
      </w:pPr>
    </w:p>
    <w:p w:rsidR="008346AD" w:rsidRDefault="008346AD" w:rsidP="00DE1926">
      <w:pPr>
        <w:tabs>
          <w:tab w:val="left" w:pos="720"/>
        </w:tabs>
        <w:ind w:firstLine="720"/>
        <w:jc w:val="both"/>
      </w:pPr>
      <w:r>
        <w:rPr>
          <w:b/>
          <w:bCs/>
        </w:rPr>
        <w:t>Част трета</w:t>
      </w:r>
    </w:p>
    <w:p w:rsidR="008346AD" w:rsidRPr="00FE0E7C" w:rsidRDefault="008346AD" w:rsidP="00DE1926">
      <w:pPr>
        <w:tabs>
          <w:tab w:val="left" w:pos="720"/>
        </w:tabs>
        <w:ind w:firstLine="720"/>
        <w:jc w:val="both"/>
        <w:rPr>
          <w:b/>
          <w:bCs/>
        </w:rPr>
      </w:pPr>
      <w:r w:rsidRPr="00FE0E7C">
        <w:rPr>
          <w:b/>
          <w:bCs/>
        </w:rPr>
        <w:t>ЗАКЛЮЧЕНИЕ</w:t>
      </w:r>
    </w:p>
    <w:p w:rsidR="008346AD" w:rsidRPr="00F84A17" w:rsidRDefault="008346AD" w:rsidP="00DE1926">
      <w:pPr>
        <w:ind w:firstLine="708"/>
        <w:jc w:val="both"/>
      </w:pPr>
      <w:r w:rsidRPr="00F84A17">
        <w:t>Формата и съдържанието на годишния финансов отчет към 31.12.20</w:t>
      </w:r>
      <w:r w:rsidRPr="00F84A17">
        <w:rPr>
          <w:lang w:val="ru-RU"/>
        </w:rPr>
        <w:t>12</w:t>
      </w:r>
      <w:r w:rsidRPr="00F84A17">
        <w:t xml:space="preserve"> г. на община </w:t>
      </w:r>
      <w:r>
        <w:t>Поморие</w:t>
      </w:r>
      <w:r w:rsidRPr="00F84A17">
        <w:t xml:space="preserve"> съответстват на указанията на Министерство на финансите.</w:t>
      </w:r>
    </w:p>
    <w:p w:rsidR="008346AD" w:rsidRPr="00897D54" w:rsidRDefault="008346AD" w:rsidP="00DE1926">
      <w:pPr>
        <w:ind w:firstLine="709"/>
        <w:jc w:val="both"/>
      </w:pPr>
      <w:r>
        <w:t>Отчетите</w:t>
      </w:r>
      <w:r w:rsidRPr="00897D54">
        <w:t xml:space="preserve"> за касовото изпълнение на бюджета и извънбюджетните сметки </w:t>
      </w:r>
      <w:r>
        <w:t xml:space="preserve">и фондове </w:t>
      </w:r>
      <w:r w:rsidRPr="00897D54">
        <w:t>към 31.12.2012 г. не съдържа</w:t>
      </w:r>
      <w:r>
        <w:t>т</w:t>
      </w:r>
      <w:r w:rsidRPr="00897D54">
        <w:t xml:space="preserve"> съществени отклонения. Приходите, разходите, трансферите и операциите с финансови активи и пасиви са отчетени правилно.</w:t>
      </w:r>
    </w:p>
    <w:p w:rsidR="008346AD" w:rsidRDefault="008346AD" w:rsidP="00DE1926">
      <w:pPr>
        <w:ind w:firstLine="720"/>
        <w:jc w:val="both"/>
      </w:pPr>
      <w:r w:rsidRPr="00897D54">
        <w:t>Отразените в баланса и оборотната ведомост към 31.12.2012 г. стопански, финансови и</w:t>
      </w:r>
      <w:r>
        <w:t xml:space="preserve"> счетоводни операции са осчетоводени</w:t>
      </w:r>
      <w:r w:rsidRPr="00897D54">
        <w:t xml:space="preserve"> в съответствие с действащото законодателство.</w:t>
      </w:r>
    </w:p>
    <w:p w:rsidR="008346AD" w:rsidRPr="00897D54" w:rsidRDefault="008346AD" w:rsidP="00352474">
      <w:pPr>
        <w:ind w:firstLine="720"/>
        <w:jc w:val="both"/>
      </w:pPr>
    </w:p>
    <w:p w:rsidR="008346AD" w:rsidRPr="00897D54" w:rsidRDefault="008346AD" w:rsidP="00352474">
      <w:pPr>
        <w:pStyle w:val="BodyText"/>
        <w:spacing w:after="0"/>
        <w:ind w:firstLine="720"/>
        <w:rPr>
          <w:b/>
          <w:bCs/>
          <w:i/>
          <w:iCs/>
        </w:rPr>
      </w:pPr>
      <w:r w:rsidRPr="00897D54">
        <w:t xml:space="preserve">Финансовият отчет на община Поморие за </w:t>
      </w:r>
      <w:r w:rsidRPr="00897D54">
        <w:rPr>
          <w:lang w:val="en-US"/>
        </w:rPr>
        <w:t>201</w:t>
      </w:r>
      <w:r w:rsidRPr="00897D54">
        <w:t>2 г. се заверява</w:t>
      </w:r>
      <w:r w:rsidRPr="00897D54">
        <w:rPr>
          <w:lang w:val="en-US"/>
        </w:rPr>
        <w:t xml:space="preserve"> </w:t>
      </w:r>
      <w:r w:rsidRPr="00897D54">
        <w:t>без резерви, с обръщане на внимание.</w:t>
      </w:r>
    </w:p>
    <w:p w:rsidR="008346AD" w:rsidRPr="008F6208" w:rsidRDefault="008346AD" w:rsidP="00352474">
      <w:pPr>
        <w:tabs>
          <w:tab w:val="left" w:pos="-294"/>
        </w:tabs>
        <w:ind w:firstLine="720"/>
        <w:jc w:val="both"/>
      </w:pPr>
      <w:r>
        <w:t xml:space="preserve">Настоящият одитен доклад е изготвен в два еднообразни екземпляра, по един за община Поморие и един за Сметната палата </w:t>
      </w:r>
      <w:r w:rsidRPr="007421FB">
        <w:t>и е неразделна част от становището за заверка</w:t>
      </w:r>
      <w:r w:rsidRPr="00EA3776">
        <w:t xml:space="preserve"> </w:t>
      </w:r>
      <w:r>
        <w:t>на годишния финансов отчет</w:t>
      </w:r>
      <w:r w:rsidRPr="008F6208">
        <w:t xml:space="preserve">. </w:t>
      </w: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Default="008346AD" w:rsidP="00352474">
      <w:pPr>
        <w:ind w:left="4536"/>
        <w:rPr>
          <w:lang w:val="en-US"/>
        </w:rPr>
      </w:pPr>
    </w:p>
    <w:p w:rsidR="008346AD" w:rsidRPr="000E428B" w:rsidRDefault="008346AD" w:rsidP="009C00B6">
      <w:pPr>
        <w:jc w:val="center"/>
      </w:pPr>
      <w:r w:rsidRPr="000E428B">
        <w:pict>
          <v:shape id="_x0000_i1026" type="#_x0000_t75" style="width:163.5pt;height:87pt">
            <v:imagedata r:id="rId8" o:title=""/>
          </v:shape>
        </w:pict>
      </w:r>
    </w:p>
    <w:p w:rsidR="008346AD" w:rsidRPr="008E2826" w:rsidRDefault="008346AD" w:rsidP="009C00B6">
      <w:pPr>
        <w:ind w:left="4536"/>
        <w:rPr>
          <w:b/>
          <w:bCs/>
        </w:rPr>
      </w:pPr>
    </w:p>
    <w:p w:rsidR="008346AD" w:rsidRPr="008E2826" w:rsidRDefault="008346AD" w:rsidP="009C00B6">
      <w:pPr>
        <w:ind w:left="4536"/>
        <w:rPr>
          <w:b/>
          <w:bCs/>
        </w:rPr>
      </w:pPr>
    </w:p>
    <w:p w:rsidR="008346AD" w:rsidRPr="008E2826" w:rsidRDefault="008346AD" w:rsidP="009C00B6">
      <w:pPr>
        <w:ind w:left="4536" w:right="-567"/>
        <w:rPr>
          <w:b/>
          <w:bCs/>
          <w:i/>
          <w:iCs/>
          <w:sz w:val="20"/>
          <w:szCs w:val="20"/>
          <w:lang w:val="en-US"/>
        </w:rPr>
      </w:pPr>
    </w:p>
    <w:p w:rsidR="008346AD" w:rsidRPr="003C24E9" w:rsidRDefault="008346AD" w:rsidP="009C00B6">
      <w:pPr>
        <w:ind w:left="4536" w:right="-567"/>
        <w:rPr>
          <w:lang w:val="en-US"/>
        </w:rPr>
      </w:pPr>
      <w:r w:rsidRPr="008E2826">
        <w:rPr>
          <w:b/>
          <w:bCs/>
          <w:lang w:val="en-US"/>
        </w:rPr>
        <w:t xml:space="preserve">        </w:t>
      </w:r>
    </w:p>
    <w:p w:rsidR="008346AD" w:rsidRPr="008E2826" w:rsidRDefault="008346AD" w:rsidP="009C00B6">
      <w:pPr>
        <w:ind w:left="4536"/>
        <w:rPr>
          <w:b/>
          <w:bCs/>
          <w:i/>
          <w:iCs/>
          <w:sz w:val="20"/>
          <w:szCs w:val="20"/>
          <w:lang w:val="en-US"/>
        </w:rPr>
      </w:pPr>
    </w:p>
    <w:p w:rsidR="008346AD" w:rsidRDefault="008346AD" w:rsidP="009C00B6">
      <w:pPr>
        <w:ind w:left="4536"/>
        <w:rPr>
          <w:sz w:val="20"/>
          <w:szCs w:val="20"/>
          <w:lang w:val="en-US"/>
        </w:rPr>
      </w:pPr>
    </w:p>
    <w:p w:rsidR="008346AD" w:rsidRDefault="008346AD" w:rsidP="009C00B6">
      <w:pPr>
        <w:ind w:left="4536"/>
        <w:rPr>
          <w:sz w:val="20"/>
          <w:szCs w:val="20"/>
          <w:lang w:val="en-US"/>
        </w:rPr>
      </w:pPr>
    </w:p>
    <w:p w:rsidR="008346AD" w:rsidRDefault="008346AD" w:rsidP="009C00B6">
      <w:pPr>
        <w:ind w:left="4536"/>
        <w:rPr>
          <w:sz w:val="20"/>
          <w:szCs w:val="20"/>
          <w:lang w:val="en-US"/>
        </w:rPr>
      </w:pPr>
    </w:p>
    <w:p w:rsidR="008346AD" w:rsidRDefault="008346AD" w:rsidP="009C00B6">
      <w:pPr>
        <w:ind w:left="4536"/>
        <w:rPr>
          <w:sz w:val="20"/>
          <w:szCs w:val="20"/>
          <w:lang w:val="en-US"/>
        </w:rPr>
      </w:pPr>
    </w:p>
    <w:p w:rsidR="008346AD" w:rsidRPr="008E2826" w:rsidRDefault="008346AD" w:rsidP="009C00B6">
      <w:pPr>
        <w:ind w:left="4536"/>
        <w:rPr>
          <w:sz w:val="20"/>
          <w:szCs w:val="20"/>
          <w:lang w:val="en-US"/>
        </w:rPr>
      </w:pPr>
    </w:p>
    <w:p w:rsidR="008346AD" w:rsidRPr="008E2826" w:rsidRDefault="008346AD" w:rsidP="009C00B6">
      <w:pPr>
        <w:ind w:left="4536" w:right="-567"/>
        <w:rPr>
          <w:sz w:val="20"/>
          <w:szCs w:val="20"/>
        </w:rPr>
      </w:pPr>
    </w:p>
    <w:p w:rsidR="008346AD" w:rsidRPr="008E2826" w:rsidRDefault="008346AD" w:rsidP="009C00B6">
      <w:pPr>
        <w:ind w:left="4536" w:right="-567"/>
        <w:rPr>
          <w:sz w:val="20"/>
          <w:szCs w:val="20"/>
        </w:rPr>
      </w:pPr>
    </w:p>
    <w:p w:rsidR="008346AD" w:rsidRPr="00C9211E" w:rsidRDefault="008346AD" w:rsidP="009C00B6">
      <w:pPr>
        <w:pStyle w:val="Heading1"/>
        <w:keepNext w:val="0"/>
        <w:jc w:val="center"/>
        <w:rPr>
          <w:caps/>
          <w:sz w:val="24"/>
          <w:szCs w:val="24"/>
          <w:lang w:val="bg-BG"/>
        </w:rPr>
      </w:pPr>
      <w:r>
        <w:rPr>
          <w:caps/>
          <w:sz w:val="24"/>
          <w:szCs w:val="24"/>
          <w:lang w:val="bg-BG"/>
        </w:rPr>
        <w:t xml:space="preserve">ОДИТНО </w:t>
      </w:r>
      <w:r>
        <w:rPr>
          <w:caps/>
          <w:sz w:val="24"/>
          <w:szCs w:val="24"/>
        </w:rPr>
        <w:t>СТАНОВИЩ</w:t>
      </w:r>
      <w:r w:rsidRPr="006A05DE">
        <w:rPr>
          <w:caps/>
          <w:sz w:val="24"/>
          <w:szCs w:val="24"/>
        </w:rPr>
        <w:t>Е</w:t>
      </w:r>
      <w:r>
        <w:rPr>
          <w:caps/>
          <w:sz w:val="24"/>
          <w:szCs w:val="24"/>
          <w:lang w:val="en-US"/>
        </w:rPr>
        <w:t xml:space="preserve"> </w:t>
      </w:r>
    </w:p>
    <w:p w:rsidR="008346AD" w:rsidRDefault="008346AD" w:rsidP="009C00B6">
      <w:pPr>
        <w:pStyle w:val="Heading1"/>
        <w:keepNext w:val="0"/>
        <w:jc w:val="center"/>
        <w:rPr>
          <w:caps/>
          <w:sz w:val="24"/>
          <w:szCs w:val="24"/>
          <w:lang w:val="bg-BG"/>
        </w:rPr>
      </w:pPr>
      <w:r>
        <w:rPr>
          <w:caps/>
          <w:sz w:val="24"/>
          <w:szCs w:val="24"/>
          <w:lang w:val="bg-BG"/>
        </w:rPr>
        <w:t xml:space="preserve">ЗА ЗАВЕРКА БЕЗ РЕЗЕРВИ </w:t>
      </w:r>
    </w:p>
    <w:p w:rsidR="008346AD" w:rsidRDefault="008346AD" w:rsidP="009C00B6">
      <w:pPr>
        <w:pStyle w:val="Heading1"/>
        <w:keepNext w:val="0"/>
        <w:jc w:val="center"/>
        <w:rPr>
          <w:caps/>
          <w:sz w:val="24"/>
          <w:szCs w:val="24"/>
          <w:lang w:val="bg-BG"/>
        </w:rPr>
      </w:pPr>
      <w:r>
        <w:rPr>
          <w:caps/>
          <w:sz w:val="24"/>
          <w:szCs w:val="24"/>
          <w:lang w:val="bg-BG"/>
        </w:rPr>
        <w:t>С ОБРЪЩАНЕ</w:t>
      </w:r>
      <w:r w:rsidRPr="00C9211E">
        <w:rPr>
          <w:caps/>
          <w:sz w:val="24"/>
          <w:szCs w:val="24"/>
          <w:lang w:val="bg-BG"/>
        </w:rPr>
        <w:t xml:space="preserve"> </w:t>
      </w:r>
      <w:r>
        <w:rPr>
          <w:caps/>
          <w:sz w:val="24"/>
          <w:szCs w:val="24"/>
          <w:lang w:val="bg-BG"/>
        </w:rPr>
        <w:t>НА ВНИМАНИЕ</w:t>
      </w:r>
    </w:p>
    <w:p w:rsidR="008346AD" w:rsidRDefault="008346AD" w:rsidP="009C00B6">
      <w:pPr>
        <w:pStyle w:val="Heading1"/>
        <w:keepNext w:val="0"/>
        <w:jc w:val="center"/>
        <w:rPr>
          <w:caps/>
          <w:sz w:val="24"/>
          <w:szCs w:val="24"/>
          <w:lang w:val="en-US"/>
        </w:rPr>
      </w:pPr>
      <w:r>
        <w:rPr>
          <w:caps/>
          <w:sz w:val="24"/>
          <w:szCs w:val="24"/>
          <w:lang w:val="bg-BG"/>
        </w:rPr>
        <w:t xml:space="preserve"> </w:t>
      </w:r>
    </w:p>
    <w:p w:rsidR="008346AD" w:rsidRDefault="008346AD" w:rsidP="009C00B6">
      <w:pPr>
        <w:rPr>
          <w:lang w:val="en-US"/>
        </w:rPr>
      </w:pPr>
    </w:p>
    <w:p w:rsidR="008346AD" w:rsidRPr="00BD07AF" w:rsidRDefault="008346AD" w:rsidP="009C00B6">
      <w:pPr>
        <w:rPr>
          <w:lang w:val="en-US"/>
        </w:rPr>
      </w:pPr>
    </w:p>
    <w:p w:rsidR="008346AD" w:rsidRPr="009C00B6" w:rsidRDefault="008346AD" w:rsidP="009C00B6">
      <w:pPr>
        <w:pStyle w:val="BodyText2"/>
        <w:spacing w:before="360"/>
        <w:jc w:val="center"/>
        <w:rPr>
          <w:b/>
          <w:bCs/>
        </w:rPr>
      </w:pPr>
      <w:r w:rsidRPr="009C00B6">
        <w:rPr>
          <w:b/>
          <w:bCs/>
        </w:rPr>
        <w:t xml:space="preserve">на годишния финансов отчет </w:t>
      </w:r>
    </w:p>
    <w:p w:rsidR="008346AD" w:rsidRPr="009C00B6" w:rsidRDefault="008346AD" w:rsidP="009C00B6">
      <w:pPr>
        <w:pStyle w:val="BodyText2"/>
        <w:jc w:val="center"/>
        <w:rPr>
          <w:b/>
          <w:bCs/>
        </w:rPr>
      </w:pPr>
      <w:r w:rsidRPr="009C00B6">
        <w:rPr>
          <w:b/>
          <w:bCs/>
        </w:rPr>
        <w:t>на община Поморие за 20</w:t>
      </w:r>
      <w:r w:rsidRPr="009C00B6">
        <w:rPr>
          <w:b/>
          <w:bCs/>
          <w:lang w:val="en-US"/>
        </w:rPr>
        <w:t>12</w:t>
      </w:r>
      <w:r w:rsidRPr="009C00B6">
        <w:rPr>
          <w:b/>
          <w:bCs/>
        </w:rPr>
        <w:t xml:space="preserve"> г.</w:t>
      </w:r>
    </w:p>
    <w:p w:rsidR="008346AD" w:rsidRDefault="008346AD" w:rsidP="009C00B6">
      <w:pPr>
        <w:pStyle w:val="BodyText2"/>
        <w:jc w:val="center"/>
        <w:rPr>
          <w:b/>
          <w:bCs/>
          <w:sz w:val="16"/>
          <w:szCs w:val="16"/>
          <w:lang w:val="en-US"/>
        </w:rPr>
      </w:pPr>
    </w:p>
    <w:p w:rsidR="008346AD" w:rsidRPr="00FA0293"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Default="008346AD" w:rsidP="009C00B6">
      <w:pPr>
        <w:pStyle w:val="BodyText2"/>
        <w:jc w:val="center"/>
        <w:rPr>
          <w:b/>
          <w:bCs/>
          <w:sz w:val="16"/>
          <w:szCs w:val="16"/>
          <w:lang w:val="en-US"/>
        </w:rPr>
      </w:pPr>
    </w:p>
    <w:p w:rsidR="008346AD" w:rsidRPr="00FA0293" w:rsidRDefault="008346AD" w:rsidP="009C00B6">
      <w:pPr>
        <w:pStyle w:val="BodyText2"/>
        <w:jc w:val="center"/>
        <w:rPr>
          <w:b/>
          <w:bCs/>
          <w:sz w:val="16"/>
          <w:szCs w:val="16"/>
        </w:rPr>
      </w:pPr>
      <w:r w:rsidRPr="00FC22CE">
        <w:rPr>
          <w:b/>
          <w:bCs/>
          <w:lang w:val="ru-RU"/>
        </w:rPr>
        <w:t>С</w:t>
      </w:r>
      <w:r>
        <w:rPr>
          <w:b/>
          <w:bCs/>
          <w:lang w:val="ru-RU"/>
        </w:rPr>
        <w:t>офия, 20</w:t>
      </w:r>
      <w:r>
        <w:rPr>
          <w:b/>
          <w:bCs/>
          <w:lang w:val="en-US"/>
        </w:rPr>
        <w:t>1</w:t>
      </w:r>
      <w:r>
        <w:rPr>
          <w:b/>
          <w:bCs/>
        </w:rPr>
        <w:t>3</w:t>
      </w:r>
      <w:r w:rsidRPr="00FC22CE">
        <w:rPr>
          <w:b/>
          <w:bCs/>
          <w:lang w:val="ru-RU"/>
        </w:rPr>
        <w:t xml:space="preserve"> г.</w:t>
      </w:r>
    </w:p>
    <w:p w:rsidR="008346AD" w:rsidRDefault="008346AD" w:rsidP="009C00B6">
      <w:pPr>
        <w:pStyle w:val="BodyText"/>
        <w:spacing w:before="120"/>
      </w:pPr>
    </w:p>
    <w:p w:rsidR="008346AD" w:rsidRPr="00C10149" w:rsidRDefault="008346AD" w:rsidP="009C00B6">
      <w:pPr>
        <w:pStyle w:val="BodyText"/>
        <w:spacing w:before="120"/>
      </w:pPr>
    </w:p>
    <w:p w:rsidR="008346AD" w:rsidRDefault="008346AD" w:rsidP="009C00B6">
      <w:pPr>
        <w:pStyle w:val="BodyText"/>
        <w:ind w:firstLine="567"/>
        <w:jc w:val="both"/>
        <w:rPr>
          <w:lang w:val="en-US"/>
        </w:rPr>
      </w:pPr>
      <w:r>
        <w:rPr>
          <w:lang w:val="en-US"/>
        </w:rPr>
        <w:t xml:space="preserve">  </w:t>
      </w:r>
      <w:r>
        <w:t xml:space="preserve">Настоящото становище е изготвено на основание чл. 53, ал. 8 от Закона за Сметната палата и отразява резултатите от извършения финансов одит на годишния финансов отчет на община Поморие за </w:t>
      </w:r>
      <w:r>
        <w:rPr>
          <w:lang w:val="en-US"/>
        </w:rPr>
        <w:t>201</w:t>
      </w:r>
      <w:r>
        <w:t>2 г.</w:t>
      </w:r>
    </w:p>
    <w:p w:rsidR="008346AD" w:rsidRDefault="008346AD" w:rsidP="009C00B6">
      <w:pPr>
        <w:pStyle w:val="BodyText"/>
        <w:ind w:firstLine="567"/>
        <w:jc w:val="both"/>
        <w:rPr>
          <w:lang w:val="en-US"/>
        </w:rPr>
      </w:pPr>
    </w:p>
    <w:p w:rsidR="008346AD" w:rsidRDefault="008346AD" w:rsidP="009C00B6">
      <w:pPr>
        <w:pStyle w:val="BodyText"/>
        <w:ind w:firstLine="720"/>
        <w:jc w:val="both"/>
        <w:rPr>
          <w:lang w:val="en-US"/>
        </w:rPr>
      </w:pPr>
      <w:r>
        <w:t>Ръководството на община Поморие е отговорно за вярното и честно представяне на информацията във финансовия отчет за 2012 г. и в съответствие с приложимата рамка на финансово отчитане, както и за системата на вътрешния контрол, необходима за изготвянето на финансовия отчет без съществени отклонения, независимо дали се дължат на измама или грешка.</w:t>
      </w:r>
    </w:p>
    <w:p w:rsidR="008346AD" w:rsidRDefault="008346AD" w:rsidP="009C00B6">
      <w:pPr>
        <w:pStyle w:val="BodyText"/>
        <w:ind w:firstLine="720"/>
        <w:jc w:val="both"/>
        <w:rPr>
          <w:lang w:val="en-US"/>
        </w:rPr>
      </w:pPr>
    </w:p>
    <w:p w:rsidR="008346AD" w:rsidRDefault="008346AD" w:rsidP="009C00B6">
      <w:pPr>
        <w:pStyle w:val="BodyText"/>
        <w:ind w:firstLine="720"/>
        <w:jc w:val="both"/>
      </w:pPr>
      <w:r>
        <w:t>Отговорността на одитния екип е да изрази независимо становище по годишния финансов отчет въз основа на извършения финансов одит в съответствие със Закона за Сметната палата и международно признатите одитни стандарти</w:t>
      </w:r>
      <w:r>
        <w:rPr>
          <w:lang w:val="en-US"/>
        </w:rPr>
        <w:t xml:space="preserve"> </w:t>
      </w:r>
      <w:r>
        <w:t xml:space="preserve">при спазване на етичните изисквания, както и да планира и проведе одита така, че да се убеди в разумна степен на сигурност доколко финансовия отчет не съдържа съществени отклонения. </w:t>
      </w:r>
    </w:p>
    <w:p w:rsidR="008346AD" w:rsidRDefault="008346AD" w:rsidP="009C00B6">
      <w:pPr>
        <w:pStyle w:val="BodyText"/>
        <w:ind w:firstLine="720"/>
        <w:jc w:val="both"/>
      </w:pPr>
    </w:p>
    <w:p w:rsidR="008346AD" w:rsidRDefault="008346AD" w:rsidP="009C00B6">
      <w:pPr>
        <w:pStyle w:val="BodyText"/>
        <w:ind w:firstLine="720"/>
        <w:jc w:val="both"/>
      </w:pPr>
      <w:r>
        <w:t>Одитният екип дава следното мнение по елементите на годишния финансов отчет:</w:t>
      </w:r>
    </w:p>
    <w:p w:rsidR="008346AD" w:rsidRPr="00C87CDF" w:rsidRDefault="008346AD" w:rsidP="009C00B6">
      <w:pPr>
        <w:pStyle w:val="BodyText"/>
        <w:ind w:firstLine="720"/>
        <w:jc w:val="both"/>
      </w:pPr>
    </w:p>
    <w:p w:rsidR="008346AD" w:rsidRDefault="008346AD" w:rsidP="009C00B6">
      <w:pPr>
        <w:pStyle w:val="BodyText2"/>
        <w:ind w:firstLine="720"/>
        <w:jc w:val="both"/>
        <w:rPr>
          <w:lang w:val="en-US"/>
        </w:rPr>
      </w:pPr>
      <w:r>
        <w:t>І. По отчета за изпълнението на бюджета и извънбюджетните сметки и фондове и приложенията към него за 2012 г.</w:t>
      </w:r>
    </w:p>
    <w:p w:rsidR="008346AD" w:rsidRPr="00BB7CCC" w:rsidRDefault="008346AD" w:rsidP="009C00B6">
      <w:pPr>
        <w:pStyle w:val="BodyText"/>
        <w:ind w:firstLine="720"/>
        <w:jc w:val="both"/>
      </w:pPr>
      <w:r>
        <w:t>Одитът на отчета за изпълнението на бюджета и извънбюджетните сметки и фондове и приложенията към него на община Поморие за 2012 г. включи проверка, анализ и оценка за вярното и честно представяне на финансовата и нефинансовата информация.</w:t>
      </w:r>
    </w:p>
    <w:p w:rsidR="008346AD" w:rsidRPr="002F29CC" w:rsidRDefault="008346AD" w:rsidP="009C00B6">
      <w:pPr>
        <w:pStyle w:val="BodyText"/>
        <w:ind w:firstLine="720"/>
        <w:jc w:val="both"/>
      </w:pPr>
      <w:r>
        <w:t xml:space="preserve">При извършването на одита не се констатираха отклонения, съществени по стойност, по характер или по смисъл, които биха повлияли на потребителите на информацията. </w:t>
      </w:r>
    </w:p>
    <w:p w:rsidR="008346AD" w:rsidRDefault="008346AD" w:rsidP="009C00B6">
      <w:pPr>
        <w:pStyle w:val="BodyText"/>
        <w:ind w:firstLine="720"/>
        <w:jc w:val="both"/>
      </w:pPr>
      <w:r>
        <w:t>Одитният екип изразява независимо становище, че отчетът за изпълнението на бюджета и извънбюджетните сметки и фондове и приложенията към него на община Поморие за 2012 г. не съдържат съществени отклонения и дават вярна и честна представа за отразената финансова и нефинансова информация, в съответствие с идентифицираната обща рамка на финансова отчетност с общо предназначение.</w:t>
      </w:r>
    </w:p>
    <w:p w:rsidR="008346AD" w:rsidRPr="00A41BE7" w:rsidRDefault="008346AD" w:rsidP="009C00B6">
      <w:pPr>
        <w:pStyle w:val="BodyText"/>
        <w:ind w:firstLine="720"/>
        <w:jc w:val="both"/>
      </w:pPr>
      <w:r w:rsidRPr="00A41BE7">
        <w:t>Обръщаме внимание на ръководството на община Поморие по отделни позиции от отчета, подробно описани в т.1.1, раздел ІІ</w:t>
      </w:r>
      <w:r w:rsidRPr="00A41BE7">
        <w:rPr>
          <w:lang w:val="en-US"/>
        </w:rPr>
        <w:t xml:space="preserve"> </w:t>
      </w:r>
      <w:r w:rsidRPr="00A41BE7">
        <w:t>от одитния доклад.</w:t>
      </w:r>
    </w:p>
    <w:p w:rsidR="008346AD" w:rsidRPr="00D00BDD" w:rsidRDefault="008346AD" w:rsidP="009C00B6">
      <w:pPr>
        <w:pStyle w:val="BodyText"/>
        <w:jc w:val="both"/>
      </w:pPr>
    </w:p>
    <w:p w:rsidR="008346AD" w:rsidRDefault="008346AD" w:rsidP="009C00B6">
      <w:pPr>
        <w:pStyle w:val="BodyText2"/>
        <w:ind w:firstLine="720"/>
        <w:jc w:val="both"/>
      </w:pPr>
      <w:r w:rsidRPr="00D12589">
        <w:t>ІІ. По баланса към 31.12.201</w:t>
      </w:r>
      <w:r>
        <w:t>2</w:t>
      </w:r>
      <w:r w:rsidRPr="00D12589">
        <w:t xml:space="preserve"> г. и приложенията към него.</w:t>
      </w:r>
    </w:p>
    <w:p w:rsidR="008346AD" w:rsidRPr="00776594" w:rsidRDefault="008346AD" w:rsidP="009C00B6">
      <w:pPr>
        <w:pStyle w:val="BodyText"/>
        <w:ind w:firstLine="720"/>
        <w:jc w:val="both"/>
      </w:pPr>
      <w:r>
        <w:t>Одитът на баланса към 31.12.2012 г. и приложенията към него на община Поморие включи проверка, анализ и оценка на отразената в тях информация за вярното и честно представяне на финансовото състояние и имуществото на предприятието.</w:t>
      </w:r>
    </w:p>
    <w:p w:rsidR="008346AD" w:rsidRDefault="008346AD" w:rsidP="009C00B6">
      <w:pPr>
        <w:pStyle w:val="BodyText"/>
        <w:ind w:firstLine="720"/>
        <w:jc w:val="both"/>
      </w:pPr>
      <w:r>
        <w:t>При извършването на одита се събраха достатъчно доказателства, въз основа на които се постигна разумна увереност, че балансът не съдържа отклонения, съществени по стойност, по характер или по смисъл, които биха повлияли на потребителите на информацията.</w:t>
      </w:r>
      <w:r w:rsidRPr="002F29CC">
        <w:t xml:space="preserve"> </w:t>
      </w:r>
    </w:p>
    <w:p w:rsidR="008346AD" w:rsidRPr="002F29CC" w:rsidRDefault="008346AD" w:rsidP="009C00B6">
      <w:pPr>
        <w:pStyle w:val="BodyText"/>
        <w:ind w:firstLine="720"/>
        <w:jc w:val="both"/>
      </w:pPr>
      <w:r>
        <w:t>Одитният екип изразява независимо становище, че балансът към 31.12.2012 г. и приложенията към него на община Поморие не съдържат съществени отклонения и дават вярна и честна представа за финансовото състояние и имуществото в съответствие с идентифицираната обща рамка за финансова отчетност с общо предназначение.</w:t>
      </w:r>
    </w:p>
    <w:p w:rsidR="008346AD" w:rsidRPr="00A41BE7" w:rsidRDefault="008346AD" w:rsidP="009C00B6">
      <w:pPr>
        <w:pStyle w:val="BodyText"/>
        <w:ind w:firstLine="720"/>
        <w:jc w:val="both"/>
      </w:pPr>
      <w:r w:rsidRPr="00A41BE7">
        <w:t>Обръщаме внимание на ръководството на община Поморие по отделни позиции от отчета, подробно описани в т.2, раздел ІІІ</w:t>
      </w:r>
      <w:r w:rsidRPr="00A41BE7">
        <w:rPr>
          <w:lang w:val="en-US"/>
        </w:rPr>
        <w:t xml:space="preserve"> </w:t>
      </w:r>
      <w:r w:rsidRPr="00A41BE7">
        <w:t>от одитния доклад.</w:t>
      </w:r>
    </w:p>
    <w:p w:rsidR="008346AD" w:rsidRPr="00D00BDD" w:rsidRDefault="008346AD" w:rsidP="009C00B6">
      <w:pPr>
        <w:pStyle w:val="BodyText"/>
        <w:jc w:val="both"/>
      </w:pPr>
    </w:p>
    <w:p w:rsidR="008346AD" w:rsidRDefault="008346AD" w:rsidP="009C00B6">
      <w:pPr>
        <w:pStyle w:val="BodyText"/>
        <w:ind w:firstLine="720"/>
        <w:jc w:val="both"/>
        <w:rPr>
          <w:lang w:val="en-US"/>
        </w:rPr>
      </w:pPr>
      <w:r>
        <w:t>Считаме, че извършеният от нас одит предоставя достатъчна и подходяща база за изразеното от нас одитно мнение.</w:t>
      </w:r>
    </w:p>
    <w:p w:rsidR="008346AD" w:rsidRPr="00033BE7" w:rsidRDefault="008346AD" w:rsidP="009C00B6">
      <w:pPr>
        <w:pStyle w:val="BodyText"/>
        <w:ind w:firstLine="720"/>
        <w:jc w:val="both"/>
        <w:rPr>
          <w:lang w:val="en-US"/>
        </w:rPr>
      </w:pPr>
    </w:p>
    <w:p w:rsidR="008346AD" w:rsidRDefault="008346AD" w:rsidP="009C00B6">
      <w:pPr>
        <w:pStyle w:val="BodyText"/>
        <w:ind w:firstLine="720"/>
        <w:jc w:val="both"/>
        <w:rPr>
          <w:b/>
          <w:bCs/>
          <w:i/>
          <w:iCs/>
        </w:rPr>
      </w:pPr>
      <w:r>
        <w:t xml:space="preserve">Финансовият отчет на община Поморие за 2012 г. се заверява </w:t>
      </w:r>
      <w:r w:rsidRPr="00D41A25">
        <w:rPr>
          <w:b/>
          <w:bCs/>
          <w:i/>
          <w:iCs/>
        </w:rPr>
        <w:t>без резерви с</w:t>
      </w:r>
      <w:r>
        <w:t xml:space="preserve"> </w:t>
      </w:r>
      <w:r w:rsidRPr="00396A77">
        <w:rPr>
          <w:b/>
          <w:bCs/>
          <w:i/>
          <w:iCs/>
        </w:rPr>
        <w:t>обръщане на внимание.</w:t>
      </w:r>
    </w:p>
    <w:p w:rsidR="008346AD" w:rsidRPr="00C87CDF" w:rsidRDefault="008346AD" w:rsidP="009C00B6">
      <w:pPr>
        <w:pStyle w:val="BodyText"/>
        <w:ind w:firstLine="720"/>
        <w:jc w:val="both"/>
      </w:pPr>
    </w:p>
    <w:p w:rsidR="008346AD" w:rsidRDefault="008346AD" w:rsidP="009C00B6">
      <w:pPr>
        <w:pStyle w:val="BodyText"/>
        <w:keepNext/>
        <w:keepLines/>
        <w:ind w:firstLine="720"/>
        <w:jc w:val="both"/>
      </w:pPr>
      <w:r w:rsidRPr="00D41A25">
        <w:rPr>
          <w:b/>
          <w:bCs/>
          <w:i/>
          <w:iCs/>
        </w:rPr>
        <w:t>Одитното становище за заверка без резерви с обръщане на внимание</w:t>
      </w:r>
      <w:r>
        <w:t xml:space="preserve"> е неразделна част от финансовия отчет на община Поморие за 2012 г.</w:t>
      </w:r>
    </w:p>
    <w:p w:rsidR="008346AD" w:rsidRDefault="008346AD" w:rsidP="009C00B6">
      <w:pPr>
        <w:pStyle w:val="BodyText"/>
        <w:keepNext/>
        <w:keepLines/>
        <w:ind w:firstLine="720"/>
        <w:jc w:val="both"/>
      </w:pPr>
    </w:p>
    <w:p w:rsidR="008346AD" w:rsidRDefault="008346AD" w:rsidP="009C00B6">
      <w:pPr>
        <w:pStyle w:val="BodyText"/>
        <w:keepNext/>
        <w:keepLines/>
        <w:ind w:firstLine="720"/>
        <w:jc w:val="both"/>
      </w:pPr>
    </w:p>
    <w:p w:rsidR="008346AD" w:rsidRPr="00D41A25" w:rsidRDefault="008346AD" w:rsidP="009C00B6">
      <w:pPr>
        <w:pStyle w:val="BodyText"/>
        <w:keepNext/>
        <w:keepLines/>
        <w:ind w:firstLine="720"/>
        <w:jc w:val="both"/>
      </w:pPr>
    </w:p>
    <w:p w:rsidR="008346AD" w:rsidRDefault="008346AD" w:rsidP="009C00B6">
      <w:pPr>
        <w:jc w:val="both"/>
      </w:pPr>
    </w:p>
    <w:p w:rsidR="008346AD" w:rsidRDefault="008346AD" w:rsidP="009C00B6">
      <w:pPr>
        <w:jc w:val="both"/>
      </w:pPr>
    </w:p>
    <w:p w:rsidR="008346AD" w:rsidRPr="0076458D" w:rsidRDefault="008346AD" w:rsidP="009C00B6">
      <w:pPr>
        <w:jc w:val="both"/>
      </w:pPr>
      <w:r w:rsidRPr="0076458D">
        <w:tab/>
        <w:t xml:space="preserve"> </w:t>
      </w:r>
      <w:r w:rsidRPr="0076458D">
        <w:tab/>
      </w:r>
      <w:r w:rsidRPr="0076458D">
        <w:tab/>
      </w:r>
    </w:p>
    <w:p w:rsidR="008346AD" w:rsidRPr="0011728A" w:rsidRDefault="008346AD" w:rsidP="009C00B6">
      <w:pPr>
        <w:jc w:val="both"/>
      </w:pPr>
      <w:r w:rsidRPr="00E84879">
        <w:rPr>
          <w:lang w:val="en-US"/>
        </w:rPr>
        <w:t xml:space="preserve"> </w:t>
      </w:r>
      <w:r>
        <w:t xml:space="preserve"> </w:t>
      </w:r>
    </w:p>
    <w:p w:rsidR="008346AD" w:rsidRPr="00D00BDD" w:rsidRDefault="008346AD" w:rsidP="009C00B6">
      <w:pPr>
        <w:keepNext/>
        <w:keepLines/>
        <w:spacing w:before="120"/>
        <w:ind w:firstLine="5760"/>
        <w:jc w:val="both"/>
        <w:rPr>
          <w:b/>
          <w:bCs/>
          <w:i/>
          <w:iCs/>
          <w:sz w:val="20"/>
          <w:szCs w:val="20"/>
          <w:lang w:val="ru-RU"/>
        </w:rPr>
      </w:pPr>
    </w:p>
    <w:p w:rsidR="008346AD" w:rsidRDefault="008346AD" w:rsidP="009C00B6">
      <w:pPr>
        <w:ind w:left="4536"/>
        <w:jc w:val="both"/>
        <w:rPr>
          <w:lang w:val="en-US"/>
        </w:rPr>
      </w:pPr>
    </w:p>
    <w:p w:rsidR="008346AD" w:rsidRPr="009C00B6" w:rsidRDefault="008346AD" w:rsidP="009C00B6">
      <w:pPr>
        <w:ind w:left="4536"/>
        <w:jc w:val="both"/>
        <w:rPr>
          <w:lang w:val="en-US"/>
        </w:rPr>
      </w:pPr>
    </w:p>
    <w:sectPr w:rsidR="008346AD" w:rsidRPr="009C00B6" w:rsidSect="001A08F9">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AD" w:rsidRDefault="008346AD" w:rsidP="00131139">
      <w:r>
        <w:separator/>
      </w:r>
    </w:p>
  </w:endnote>
  <w:endnote w:type="continuationSeparator" w:id="1">
    <w:p w:rsidR="008346AD" w:rsidRDefault="008346AD" w:rsidP="00131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D" w:rsidRDefault="008346AD" w:rsidP="001A0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6AD" w:rsidRDefault="008346AD" w:rsidP="001A0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D" w:rsidRDefault="008346AD" w:rsidP="001A0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46AD" w:rsidRPr="003A32C6" w:rsidRDefault="008346AD" w:rsidP="009C00B6">
    <w:pPr>
      <w:pStyle w:val="Footer"/>
      <w:ind w:right="360" w:firstLine="4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AD" w:rsidRDefault="008346AD" w:rsidP="00131139">
      <w:r>
        <w:separator/>
      </w:r>
    </w:p>
  </w:footnote>
  <w:footnote w:type="continuationSeparator" w:id="1">
    <w:p w:rsidR="008346AD" w:rsidRDefault="008346AD" w:rsidP="00131139">
      <w:r>
        <w:continuationSeparator/>
      </w:r>
    </w:p>
  </w:footnote>
  <w:footnote w:id="2">
    <w:p w:rsidR="008346AD" w:rsidRDefault="008346AD" w:rsidP="00131139">
      <w:pPr>
        <w:pStyle w:val="FootnoteText"/>
      </w:pPr>
      <w:r>
        <w:rPr>
          <w:rStyle w:val="FootnoteReference"/>
        </w:rPr>
        <w:footnoteRef/>
      </w:r>
      <w:r>
        <w:t xml:space="preserve"> Съгласно Заповед № ЗМФ-60 от 20.01.2005 г. на министъра на финансите.</w:t>
      </w:r>
    </w:p>
  </w:footnote>
  <w:footnote w:id="3">
    <w:p w:rsidR="008346AD" w:rsidRDefault="008346AD" w:rsidP="00131139">
      <w:pPr>
        <w:pStyle w:val="FootnoteText"/>
      </w:pPr>
      <w:r>
        <w:rPr>
          <w:rStyle w:val="FootnoteReference"/>
        </w:rPr>
        <w:footnoteRef/>
      </w:r>
      <w:r>
        <w:t xml:space="preserve"> Одитно доказателство № 1</w:t>
      </w:r>
    </w:p>
  </w:footnote>
  <w:footnote w:id="4">
    <w:p w:rsidR="008346AD" w:rsidRDefault="008346AD" w:rsidP="00131139">
      <w:pPr>
        <w:pStyle w:val="FootnoteText"/>
      </w:pPr>
      <w:r>
        <w:rPr>
          <w:rStyle w:val="FootnoteReference"/>
        </w:rPr>
        <w:footnoteRef/>
      </w:r>
      <w:r>
        <w:t xml:space="preserve"> </w:t>
      </w:r>
      <w:r w:rsidRPr="00A05BAC">
        <w:t>Одитно доказателство № 2</w:t>
      </w:r>
    </w:p>
  </w:footnote>
  <w:footnote w:id="5">
    <w:p w:rsidR="008346AD" w:rsidRDefault="008346AD" w:rsidP="00131139">
      <w:pPr>
        <w:pStyle w:val="FootnoteText"/>
      </w:pPr>
      <w:r w:rsidRPr="00A05BAC">
        <w:rPr>
          <w:rStyle w:val="FootnoteReference"/>
        </w:rPr>
        <w:footnoteRef/>
      </w:r>
      <w:r w:rsidRPr="00A05BAC">
        <w:t xml:space="preserve"> Одитн</w:t>
      </w:r>
      <w:r>
        <w:t>и</w:t>
      </w:r>
      <w:r w:rsidRPr="00A05BAC">
        <w:t xml:space="preserve"> доказателств</w:t>
      </w:r>
      <w:r>
        <w:t>а</w:t>
      </w:r>
      <w:r w:rsidRPr="00A05BAC">
        <w:t xml:space="preserve"> № 3-6</w:t>
      </w:r>
    </w:p>
  </w:footnote>
  <w:footnote w:id="6">
    <w:p w:rsidR="008346AD" w:rsidRDefault="008346AD" w:rsidP="00BE0B37">
      <w:pPr>
        <w:pStyle w:val="FootnoteText"/>
      </w:pPr>
      <w:r w:rsidRPr="00A05BAC">
        <w:rPr>
          <w:rStyle w:val="FootnoteReference"/>
        </w:rPr>
        <w:footnoteRef/>
      </w:r>
      <w:r w:rsidRPr="00A05BAC">
        <w:t xml:space="preserve"> Одитн</w:t>
      </w:r>
      <w:r>
        <w:t>и</w:t>
      </w:r>
      <w:r w:rsidRPr="00A05BAC">
        <w:t xml:space="preserve"> доказателств</w:t>
      </w:r>
      <w:r>
        <w:t>а</w:t>
      </w:r>
      <w:r w:rsidRPr="00A05BAC">
        <w:t xml:space="preserve"> № 7-8</w:t>
      </w:r>
    </w:p>
  </w:footnote>
  <w:footnote w:id="7">
    <w:p w:rsidR="008346AD" w:rsidRDefault="008346AD" w:rsidP="00131139">
      <w:pPr>
        <w:pStyle w:val="FootnoteText"/>
      </w:pPr>
      <w:r w:rsidRPr="00471F0A">
        <w:rPr>
          <w:rStyle w:val="FootnoteReference"/>
        </w:rPr>
        <w:footnoteRef/>
      </w:r>
      <w:r w:rsidRPr="00471F0A">
        <w:t xml:space="preserve"> Одитно доказателство № 9</w:t>
      </w:r>
    </w:p>
  </w:footnote>
  <w:footnote w:id="8">
    <w:p w:rsidR="008346AD" w:rsidRDefault="008346AD" w:rsidP="00131139">
      <w:pPr>
        <w:pStyle w:val="FootnoteText"/>
      </w:pPr>
      <w:r w:rsidRPr="00471F0A">
        <w:rPr>
          <w:rStyle w:val="FootnoteReference"/>
        </w:rPr>
        <w:footnoteRef/>
      </w:r>
      <w:r w:rsidRPr="00471F0A">
        <w:t xml:space="preserve"> Одитн</w:t>
      </w:r>
      <w:r>
        <w:t>и</w:t>
      </w:r>
      <w:r w:rsidRPr="00471F0A">
        <w:t xml:space="preserve"> доказателств</w:t>
      </w:r>
      <w:r>
        <w:t>а</w:t>
      </w:r>
      <w:r w:rsidRPr="00471F0A">
        <w:t xml:space="preserve"> № 10,11</w:t>
      </w:r>
    </w:p>
  </w:footnote>
  <w:footnote w:id="9">
    <w:p w:rsidR="008346AD" w:rsidRDefault="008346AD" w:rsidP="00131139">
      <w:pPr>
        <w:pStyle w:val="FootnoteText"/>
      </w:pPr>
      <w:r w:rsidRPr="00471F0A">
        <w:rPr>
          <w:rStyle w:val="FootnoteReference"/>
        </w:rPr>
        <w:footnoteRef/>
      </w:r>
      <w:r w:rsidRPr="00471F0A">
        <w:t xml:space="preserve"> Одитно доказателство № 12</w:t>
      </w:r>
    </w:p>
  </w:footnote>
  <w:footnote w:id="10">
    <w:p w:rsidR="008346AD" w:rsidRDefault="008346AD" w:rsidP="00131139">
      <w:pPr>
        <w:pStyle w:val="FootnoteText"/>
      </w:pPr>
      <w:r w:rsidRPr="00B96E12">
        <w:rPr>
          <w:rStyle w:val="FootnoteReference"/>
        </w:rPr>
        <w:footnoteRef/>
      </w:r>
      <w:r w:rsidRPr="00B96E12">
        <w:t xml:space="preserve"> Одитн</w:t>
      </w:r>
      <w:r>
        <w:t>и</w:t>
      </w:r>
      <w:r w:rsidRPr="00B96E12">
        <w:t xml:space="preserve"> доказателств</w:t>
      </w:r>
      <w:r>
        <w:t>а</w:t>
      </w:r>
      <w:r w:rsidRPr="00B96E12">
        <w:t xml:space="preserve"> № 3-6</w:t>
      </w:r>
    </w:p>
  </w:footnote>
  <w:footnote w:id="11">
    <w:p w:rsidR="008346AD" w:rsidRDefault="008346AD" w:rsidP="00131139">
      <w:pPr>
        <w:pStyle w:val="FootnoteText"/>
      </w:pPr>
      <w:r w:rsidRPr="00E33D6D">
        <w:rPr>
          <w:rStyle w:val="FootnoteReference"/>
        </w:rPr>
        <w:footnoteRef/>
      </w:r>
      <w:r w:rsidRPr="00E33D6D">
        <w:t xml:space="preserve"> Одитно доказателство № 13</w:t>
      </w:r>
    </w:p>
  </w:footnote>
  <w:footnote w:id="12">
    <w:p w:rsidR="008346AD" w:rsidRDefault="008346AD" w:rsidP="00131139">
      <w:pPr>
        <w:pStyle w:val="FootnoteText"/>
      </w:pPr>
      <w:r w:rsidRPr="00E33D6D">
        <w:rPr>
          <w:rStyle w:val="FootnoteReference"/>
        </w:rPr>
        <w:footnoteRef/>
      </w:r>
      <w:r w:rsidRPr="00E33D6D">
        <w:t xml:space="preserve"> Одитно доказателство № 14</w:t>
      </w:r>
    </w:p>
  </w:footnote>
  <w:footnote w:id="13">
    <w:p w:rsidR="008346AD" w:rsidRDefault="008346AD" w:rsidP="00131139">
      <w:pPr>
        <w:pStyle w:val="FootnoteText"/>
      </w:pPr>
      <w:r w:rsidRPr="00E33D6D">
        <w:rPr>
          <w:rStyle w:val="FootnoteReference"/>
        </w:rPr>
        <w:footnoteRef/>
      </w:r>
      <w:r w:rsidRPr="00E33D6D">
        <w:t xml:space="preserve"> Одитно доказателство № 15</w:t>
      </w:r>
    </w:p>
  </w:footnote>
  <w:footnote w:id="14">
    <w:p w:rsidR="008346AD" w:rsidRDefault="008346AD" w:rsidP="00131139">
      <w:pPr>
        <w:pStyle w:val="FootnoteText"/>
      </w:pPr>
      <w:r w:rsidRPr="00E33D6D">
        <w:rPr>
          <w:rStyle w:val="FootnoteReference"/>
        </w:rPr>
        <w:footnoteRef/>
      </w:r>
      <w:r w:rsidRPr="00E33D6D">
        <w:t xml:space="preserve"> Одитно доказателство № 16</w:t>
      </w:r>
    </w:p>
  </w:footnote>
  <w:footnote w:id="15">
    <w:p w:rsidR="008346AD" w:rsidRDefault="008346AD" w:rsidP="00131139">
      <w:pPr>
        <w:pStyle w:val="FootnoteText"/>
      </w:pPr>
      <w:r w:rsidRPr="00DA6054">
        <w:rPr>
          <w:rStyle w:val="FootnoteReference"/>
        </w:rPr>
        <w:footnoteRef/>
      </w:r>
      <w:r w:rsidRPr="00DA6054">
        <w:t xml:space="preserve"> Одитно доказателство № 17</w:t>
      </w:r>
    </w:p>
  </w:footnote>
  <w:footnote w:id="16">
    <w:p w:rsidR="008346AD" w:rsidRDefault="008346AD" w:rsidP="00131139">
      <w:pPr>
        <w:pStyle w:val="FootnoteText"/>
      </w:pPr>
      <w:r w:rsidRPr="00DA6054">
        <w:rPr>
          <w:rStyle w:val="FootnoteReference"/>
        </w:rPr>
        <w:footnoteRef/>
      </w:r>
      <w:r w:rsidRPr="00DA6054">
        <w:t xml:space="preserve"> Одитни доказателства № 18-19</w:t>
      </w:r>
    </w:p>
  </w:footnote>
  <w:footnote w:id="17">
    <w:p w:rsidR="008346AD" w:rsidRDefault="008346AD">
      <w:pPr>
        <w:pStyle w:val="FootnoteText"/>
      </w:pPr>
      <w:r>
        <w:rPr>
          <w:rStyle w:val="FootnoteReference"/>
        </w:rPr>
        <w:footnoteRef/>
      </w:r>
      <w:r>
        <w:t xml:space="preserve">  Одитно доказателство № 20</w:t>
      </w:r>
    </w:p>
  </w:footnote>
  <w:footnote w:id="18">
    <w:p w:rsidR="008346AD" w:rsidRDefault="008346AD">
      <w:pPr>
        <w:pStyle w:val="FootnoteText"/>
      </w:pPr>
      <w:r>
        <w:rPr>
          <w:rStyle w:val="FootnoteReference"/>
        </w:rPr>
        <w:footnoteRef/>
      </w:r>
      <w:r>
        <w:t xml:space="preserve"> Одитно доказателство № 20</w:t>
      </w:r>
    </w:p>
  </w:footnote>
  <w:footnote w:id="19">
    <w:p w:rsidR="008346AD" w:rsidRDefault="008346AD">
      <w:pPr>
        <w:pStyle w:val="FootnoteText"/>
      </w:pPr>
      <w:r>
        <w:rPr>
          <w:rStyle w:val="FootnoteReference"/>
        </w:rPr>
        <w:footnoteRef/>
      </w:r>
      <w:r>
        <w:t xml:space="preserve"> Одитно доказателство № 20</w:t>
      </w:r>
    </w:p>
  </w:footnote>
  <w:footnote w:id="20">
    <w:p w:rsidR="008346AD" w:rsidRDefault="008346AD">
      <w:pPr>
        <w:pStyle w:val="FootnoteText"/>
      </w:pPr>
      <w:r>
        <w:rPr>
          <w:rStyle w:val="FootnoteReference"/>
        </w:rPr>
        <w:footnoteRef/>
      </w:r>
      <w:r>
        <w:t xml:space="preserve"> Одитно доказателство № 20</w:t>
      </w:r>
    </w:p>
  </w:footnote>
  <w:footnote w:id="21">
    <w:p w:rsidR="008346AD" w:rsidRDefault="008346AD">
      <w:pPr>
        <w:pStyle w:val="FootnoteText"/>
      </w:pPr>
      <w:r>
        <w:rPr>
          <w:rStyle w:val="FootnoteReference"/>
        </w:rPr>
        <w:footnoteRef/>
      </w:r>
      <w:r>
        <w:t xml:space="preserve"> Одитно доказателство № 20</w:t>
      </w:r>
    </w:p>
  </w:footnote>
  <w:footnote w:id="22">
    <w:p w:rsidR="008346AD" w:rsidRDefault="008346AD">
      <w:pPr>
        <w:pStyle w:val="FootnoteText"/>
      </w:pPr>
      <w:r>
        <w:rPr>
          <w:rStyle w:val="FootnoteReference"/>
        </w:rPr>
        <w:footnoteRef/>
      </w:r>
      <w:r>
        <w:t xml:space="preserve"> Одитно доказателство № 21</w:t>
      </w:r>
    </w:p>
  </w:footnote>
  <w:footnote w:id="23">
    <w:p w:rsidR="008346AD" w:rsidRDefault="008346AD">
      <w:pPr>
        <w:pStyle w:val="FootnoteText"/>
      </w:pPr>
      <w:r>
        <w:rPr>
          <w:rStyle w:val="FootnoteReference"/>
        </w:rPr>
        <w:footnoteRef/>
      </w:r>
      <w:r>
        <w:t xml:space="preserve"> Одитно доказателство № 21</w:t>
      </w:r>
    </w:p>
  </w:footnote>
  <w:footnote w:id="24">
    <w:p w:rsidR="008346AD" w:rsidRDefault="008346AD" w:rsidP="00131139">
      <w:pPr>
        <w:pStyle w:val="FootnoteText"/>
      </w:pPr>
      <w:r w:rsidRPr="00AF79AE">
        <w:rPr>
          <w:rStyle w:val="FootnoteReference"/>
        </w:rPr>
        <w:footnoteRef/>
      </w:r>
      <w:r w:rsidRPr="00AF79AE">
        <w:t xml:space="preserve"> Одитно доказателство № 20</w:t>
      </w:r>
    </w:p>
  </w:footnote>
  <w:footnote w:id="25">
    <w:p w:rsidR="008346AD" w:rsidRDefault="008346AD">
      <w:pPr>
        <w:pStyle w:val="FootnoteText"/>
      </w:pPr>
      <w:r>
        <w:rPr>
          <w:rStyle w:val="FootnoteReference"/>
        </w:rPr>
        <w:footnoteRef/>
      </w:r>
      <w:r>
        <w:t xml:space="preserve"> Одитни доказателства</w:t>
      </w:r>
      <w:r w:rsidRPr="00AF79AE">
        <w:t xml:space="preserve"> №</w:t>
      </w:r>
      <w:r>
        <w:t xml:space="preserve"> 22-24</w:t>
      </w:r>
    </w:p>
  </w:footnote>
  <w:footnote w:id="26">
    <w:p w:rsidR="008346AD" w:rsidRDefault="008346AD">
      <w:pPr>
        <w:pStyle w:val="FootnoteText"/>
      </w:pPr>
      <w:r>
        <w:rPr>
          <w:rStyle w:val="FootnoteReference"/>
        </w:rPr>
        <w:footnoteRef/>
      </w:r>
      <w:r>
        <w:t xml:space="preserve"> Одитни доказателства</w:t>
      </w:r>
      <w:r w:rsidRPr="00AF79AE">
        <w:t xml:space="preserve"> №</w:t>
      </w:r>
      <w:r>
        <w:t xml:space="preserve"> 25-27</w:t>
      </w:r>
    </w:p>
  </w:footnote>
  <w:footnote w:id="27">
    <w:p w:rsidR="008346AD" w:rsidRDefault="008346AD">
      <w:pPr>
        <w:pStyle w:val="FootnoteText"/>
      </w:pPr>
      <w:r>
        <w:rPr>
          <w:rStyle w:val="FootnoteReference"/>
        </w:rPr>
        <w:footnoteRef/>
      </w:r>
      <w:r>
        <w:t xml:space="preserve"> Одитни доказателства</w:t>
      </w:r>
      <w:r w:rsidRPr="00AF79AE">
        <w:t xml:space="preserve"> №</w:t>
      </w:r>
      <w:r>
        <w:t xml:space="preserve">  28,29</w:t>
      </w:r>
    </w:p>
  </w:footnote>
  <w:footnote w:id="28">
    <w:p w:rsidR="008346AD" w:rsidRDefault="008346AD">
      <w:pPr>
        <w:pStyle w:val="FootnoteText"/>
      </w:pPr>
      <w:r>
        <w:rPr>
          <w:rStyle w:val="FootnoteReference"/>
        </w:rPr>
        <w:footnoteRef/>
      </w:r>
      <w:r>
        <w:t xml:space="preserve"> Одитни доказателства</w:t>
      </w:r>
      <w:r w:rsidRPr="00AF79AE">
        <w:t xml:space="preserve"> №</w:t>
      </w:r>
      <w:r>
        <w:t xml:space="preserve">  30-36</w:t>
      </w:r>
    </w:p>
  </w:footnote>
  <w:footnote w:id="29">
    <w:p w:rsidR="008346AD" w:rsidRDefault="008346AD">
      <w:pPr>
        <w:pStyle w:val="FootnoteText"/>
      </w:pPr>
      <w:r>
        <w:rPr>
          <w:rStyle w:val="FootnoteReference"/>
        </w:rPr>
        <w:footnoteRef/>
      </w:r>
      <w:r>
        <w:t xml:space="preserve"> Одитно доказателство</w:t>
      </w:r>
      <w:r w:rsidRPr="00AF79AE">
        <w:t xml:space="preserve"> №</w:t>
      </w:r>
      <w:r>
        <w:t xml:space="preserve">  37</w:t>
      </w:r>
    </w:p>
  </w:footnote>
  <w:footnote w:id="30">
    <w:p w:rsidR="008346AD" w:rsidRDefault="008346AD">
      <w:pPr>
        <w:pStyle w:val="FootnoteText"/>
      </w:pPr>
      <w:r>
        <w:rPr>
          <w:rStyle w:val="FootnoteReference"/>
        </w:rPr>
        <w:footnoteRef/>
      </w:r>
      <w:r>
        <w:t xml:space="preserve"> Одитно доказателство № 39</w:t>
      </w:r>
    </w:p>
  </w:footnote>
  <w:footnote w:id="31">
    <w:p w:rsidR="008346AD" w:rsidRDefault="008346AD">
      <w:pPr>
        <w:pStyle w:val="FootnoteText"/>
      </w:pPr>
      <w:r>
        <w:rPr>
          <w:rStyle w:val="FootnoteReference"/>
        </w:rPr>
        <w:footnoteRef/>
      </w:r>
      <w:r>
        <w:t xml:space="preserve"> Одитно доказателство № 38</w:t>
      </w:r>
    </w:p>
  </w:footnote>
  <w:footnote w:id="32">
    <w:p w:rsidR="008346AD" w:rsidRDefault="008346AD">
      <w:pPr>
        <w:pStyle w:val="FootnoteText"/>
      </w:pPr>
      <w:r>
        <w:rPr>
          <w:rStyle w:val="FootnoteReference"/>
        </w:rPr>
        <w:footnoteRef/>
      </w:r>
      <w:r>
        <w:t xml:space="preserve"> Одитно доказателство № 40</w:t>
      </w:r>
    </w:p>
  </w:footnote>
  <w:footnote w:id="33">
    <w:p w:rsidR="008346AD" w:rsidRDefault="008346AD">
      <w:pPr>
        <w:pStyle w:val="FootnoteText"/>
      </w:pPr>
      <w:r>
        <w:rPr>
          <w:rStyle w:val="FootnoteReference"/>
        </w:rPr>
        <w:footnoteRef/>
      </w:r>
      <w:r>
        <w:t xml:space="preserve"> Одитно доказателство № 40</w:t>
      </w:r>
    </w:p>
  </w:footnote>
  <w:footnote w:id="34">
    <w:p w:rsidR="008346AD" w:rsidRDefault="008346AD">
      <w:pPr>
        <w:pStyle w:val="FootnoteText"/>
      </w:pPr>
      <w:r>
        <w:rPr>
          <w:rStyle w:val="FootnoteReference"/>
        </w:rPr>
        <w:footnoteRef/>
      </w:r>
      <w:r>
        <w:t xml:space="preserve"> Одитно доказателство № 41</w:t>
      </w:r>
    </w:p>
  </w:footnote>
  <w:footnote w:id="35">
    <w:p w:rsidR="008346AD" w:rsidRDefault="008346AD">
      <w:pPr>
        <w:pStyle w:val="FootnoteText"/>
      </w:pPr>
      <w:r>
        <w:rPr>
          <w:rStyle w:val="FootnoteReference"/>
        </w:rPr>
        <w:footnoteRef/>
      </w:r>
      <w:r>
        <w:t xml:space="preserve"> Одитни доказателства № 42-43</w:t>
      </w:r>
    </w:p>
  </w:footnote>
  <w:footnote w:id="36">
    <w:p w:rsidR="008346AD" w:rsidRDefault="008346AD" w:rsidP="00131139">
      <w:pPr>
        <w:pStyle w:val="FootnoteText"/>
      </w:pPr>
      <w:r>
        <w:rPr>
          <w:rStyle w:val="FootnoteReference"/>
        </w:rPr>
        <w:footnoteRef/>
      </w:r>
      <w:r>
        <w:t xml:space="preserve"> Одитни доказателства № 44-50</w:t>
      </w:r>
    </w:p>
  </w:footnote>
  <w:footnote w:id="37">
    <w:p w:rsidR="008346AD" w:rsidRDefault="008346AD" w:rsidP="00131139">
      <w:pPr>
        <w:pStyle w:val="FootnoteText"/>
      </w:pPr>
      <w:r>
        <w:rPr>
          <w:rStyle w:val="FootnoteReference"/>
        </w:rPr>
        <w:footnoteRef/>
      </w:r>
      <w:r>
        <w:t xml:space="preserve"> Одитни доказателства № 51-52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6367307C"/>
    <w:multiLevelType w:val="hybridMultilevel"/>
    <w:tmpl w:val="E2D8024A"/>
    <w:lvl w:ilvl="0" w:tplc="038A3B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69A81761"/>
    <w:multiLevelType w:val="hybridMultilevel"/>
    <w:tmpl w:val="395CDA6E"/>
    <w:lvl w:ilvl="0" w:tplc="895628AA">
      <w:start w:val="1"/>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139"/>
    <w:rsid w:val="00001299"/>
    <w:rsid w:val="00004B73"/>
    <w:rsid w:val="00007FEC"/>
    <w:rsid w:val="0001698F"/>
    <w:rsid w:val="00024787"/>
    <w:rsid w:val="00033BE7"/>
    <w:rsid w:val="0003673C"/>
    <w:rsid w:val="00044136"/>
    <w:rsid w:val="00081C0D"/>
    <w:rsid w:val="00083D6E"/>
    <w:rsid w:val="00086D2B"/>
    <w:rsid w:val="00097405"/>
    <w:rsid w:val="000C1188"/>
    <w:rsid w:val="000E428B"/>
    <w:rsid w:val="001050C4"/>
    <w:rsid w:val="00105DCE"/>
    <w:rsid w:val="0011728A"/>
    <w:rsid w:val="00131139"/>
    <w:rsid w:val="00131D5F"/>
    <w:rsid w:val="00132972"/>
    <w:rsid w:val="0013508B"/>
    <w:rsid w:val="00151B97"/>
    <w:rsid w:val="00163051"/>
    <w:rsid w:val="00163541"/>
    <w:rsid w:val="0016521C"/>
    <w:rsid w:val="001666C1"/>
    <w:rsid w:val="00170A2C"/>
    <w:rsid w:val="00171410"/>
    <w:rsid w:val="001717E0"/>
    <w:rsid w:val="00173149"/>
    <w:rsid w:val="00175DD3"/>
    <w:rsid w:val="00193B98"/>
    <w:rsid w:val="0019510D"/>
    <w:rsid w:val="001A08F9"/>
    <w:rsid w:val="001B7A43"/>
    <w:rsid w:val="001E0FCD"/>
    <w:rsid w:val="001E42B4"/>
    <w:rsid w:val="001F2A2F"/>
    <w:rsid w:val="001F419C"/>
    <w:rsid w:val="001F729A"/>
    <w:rsid w:val="0021296C"/>
    <w:rsid w:val="00215CDF"/>
    <w:rsid w:val="00217141"/>
    <w:rsid w:val="00237B43"/>
    <w:rsid w:val="00245F33"/>
    <w:rsid w:val="00246C3E"/>
    <w:rsid w:val="00252B66"/>
    <w:rsid w:val="0026135F"/>
    <w:rsid w:val="0026294F"/>
    <w:rsid w:val="00262DE5"/>
    <w:rsid w:val="002810DB"/>
    <w:rsid w:val="002A51A3"/>
    <w:rsid w:val="002C2F5C"/>
    <w:rsid w:val="002C337B"/>
    <w:rsid w:val="002F2305"/>
    <w:rsid w:val="002F29CC"/>
    <w:rsid w:val="00312AC7"/>
    <w:rsid w:val="00334FEA"/>
    <w:rsid w:val="00342B3A"/>
    <w:rsid w:val="00345FB1"/>
    <w:rsid w:val="00352474"/>
    <w:rsid w:val="00355DF3"/>
    <w:rsid w:val="00373079"/>
    <w:rsid w:val="00383804"/>
    <w:rsid w:val="003853C3"/>
    <w:rsid w:val="00396A77"/>
    <w:rsid w:val="003A1DA9"/>
    <w:rsid w:val="003A32C6"/>
    <w:rsid w:val="003B3F36"/>
    <w:rsid w:val="003C24E9"/>
    <w:rsid w:val="003C3B19"/>
    <w:rsid w:val="003D0509"/>
    <w:rsid w:val="003D4AB4"/>
    <w:rsid w:val="003D4FD6"/>
    <w:rsid w:val="003E0949"/>
    <w:rsid w:val="003F045F"/>
    <w:rsid w:val="003F2626"/>
    <w:rsid w:val="00413766"/>
    <w:rsid w:val="0041386F"/>
    <w:rsid w:val="00420B69"/>
    <w:rsid w:val="00424651"/>
    <w:rsid w:val="004304A6"/>
    <w:rsid w:val="00440BDB"/>
    <w:rsid w:val="004541FD"/>
    <w:rsid w:val="00471F0A"/>
    <w:rsid w:val="0047245D"/>
    <w:rsid w:val="004762E6"/>
    <w:rsid w:val="004905E0"/>
    <w:rsid w:val="004907EE"/>
    <w:rsid w:val="004936BC"/>
    <w:rsid w:val="0049681E"/>
    <w:rsid w:val="004A169C"/>
    <w:rsid w:val="004E74C5"/>
    <w:rsid w:val="0050341A"/>
    <w:rsid w:val="0050501B"/>
    <w:rsid w:val="00514C88"/>
    <w:rsid w:val="0052380A"/>
    <w:rsid w:val="00525DCA"/>
    <w:rsid w:val="00532466"/>
    <w:rsid w:val="0055357B"/>
    <w:rsid w:val="0055500C"/>
    <w:rsid w:val="0056186D"/>
    <w:rsid w:val="00564B27"/>
    <w:rsid w:val="005A0C26"/>
    <w:rsid w:val="005B719B"/>
    <w:rsid w:val="005B78AC"/>
    <w:rsid w:val="005B7A03"/>
    <w:rsid w:val="005B7FEA"/>
    <w:rsid w:val="005C3A7C"/>
    <w:rsid w:val="005C546D"/>
    <w:rsid w:val="005C7B39"/>
    <w:rsid w:val="005F7D61"/>
    <w:rsid w:val="006203D6"/>
    <w:rsid w:val="0062454F"/>
    <w:rsid w:val="00626109"/>
    <w:rsid w:val="006637CA"/>
    <w:rsid w:val="00674EAF"/>
    <w:rsid w:val="006750EA"/>
    <w:rsid w:val="00676CC5"/>
    <w:rsid w:val="00690EA7"/>
    <w:rsid w:val="006A05DE"/>
    <w:rsid w:val="006A2708"/>
    <w:rsid w:val="006B4387"/>
    <w:rsid w:val="006D5859"/>
    <w:rsid w:val="006E5F55"/>
    <w:rsid w:val="006F6A59"/>
    <w:rsid w:val="006F7CC6"/>
    <w:rsid w:val="00716240"/>
    <w:rsid w:val="00731061"/>
    <w:rsid w:val="00736869"/>
    <w:rsid w:val="007421FB"/>
    <w:rsid w:val="00745C9D"/>
    <w:rsid w:val="007504D1"/>
    <w:rsid w:val="00760252"/>
    <w:rsid w:val="007634F7"/>
    <w:rsid w:val="0076458D"/>
    <w:rsid w:val="00776594"/>
    <w:rsid w:val="00786DBA"/>
    <w:rsid w:val="0079337B"/>
    <w:rsid w:val="007A0A5B"/>
    <w:rsid w:val="007A15B8"/>
    <w:rsid w:val="007A5758"/>
    <w:rsid w:val="007E0C67"/>
    <w:rsid w:val="007F50D7"/>
    <w:rsid w:val="007F773F"/>
    <w:rsid w:val="00802C45"/>
    <w:rsid w:val="008149A2"/>
    <w:rsid w:val="00824523"/>
    <w:rsid w:val="00826B02"/>
    <w:rsid w:val="008346AD"/>
    <w:rsid w:val="00834E7B"/>
    <w:rsid w:val="00870F8A"/>
    <w:rsid w:val="008710DD"/>
    <w:rsid w:val="008759E4"/>
    <w:rsid w:val="00887AA2"/>
    <w:rsid w:val="00897D54"/>
    <w:rsid w:val="008A2048"/>
    <w:rsid w:val="008B6B87"/>
    <w:rsid w:val="008C2A06"/>
    <w:rsid w:val="008D2C08"/>
    <w:rsid w:val="008E1675"/>
    <w:rsid w:val="008E2826"/>
    <w:rsid w:val="008E669C"/>
    <w:rsid w:val="008E69A1"/>
    <w:rsid w:val="008F6208"/>
    <w:rsid w:val="0090497E"/>
    <w:rsid w:val="0091175B"/>
    <w:rsid w:val="0092658F"/>
    <w:rsid w:val="00927361"/>
    <w:rsid w:val="00927F1D"/>
    <w:rsid w:val="00932598"/>
    <w:rsid w:val="00941916"/>
    <w:rsid w:val="00941952"/>
    <w:rsid w:val="009526C0"/>
    <w:rsid w:val="00954D65"/>
    <w:rsid w:val="00980F59"/>
    <w:rsid w:val="0098170E"/>
    <w:rsid w:val="00995C27"/>
    <w:rsid w:val="009A49A8"/>
    <w:rsid w:val="009A5B9D"/>
    <w:rsid w:val="009B2B3A"/>
    <w:rsid w:val="009C00B6"/>
    <w:rsid w:val="009D3A52"/>
    <w:rsid w:val="009F78A3"/>
    <w:rsid w:val="00A021F5"/>
    <w:rsid w:val="00A05BAC"/>
    <w:rsid w:val="00A05BEF"/>
    <w:rsid w:val="00A259F2"/>
    <w:rsid w:val="00A3281D"/>
    <w:rsid w:val="00A37BEB"/>
    <w:rsid w:val="00A41BE7"/>
    <w:rsid w:val="00A8274C"/>
    <w:rsid w:val="00AB2E70"/>
    <w:rsid w:val="00AC4C5B"/>
    <w:rsid w:val="00AC70AC"/>
    <w:rsid w:val="00AD3CFC"/>
    <w:rsid w:val="00AD5A39"/>
    <w:rsid w:val="00AF79AE"/>
    <w:rsid w:val="00B34084"/>
    <w:rsid w:val="00B37F27"/>
    <w:rsid w:val="00B96E12"/>
    <w:rsid w:val="00BB21DA"/>
    <w:rsid w:val="00BB7972"/>
    <w:rsid w:val="00BB7CCC"/>
    <w:rsid w:val="00BD07AF"/>
    <w:rsid w:val="00BD39FA"/>
    <w:rsid w:val="00BE0B37"/>
    <w:rsid w:val="00BF33B5"/>
    <w:rsid w:val="00C063D9"/>
    <w:rsid w:val="00C10149"/>
    <w:rsid w:val="00C31F41"/>
    <w:rsid w:val="00C32322"/>
    <w:rsid w:val="00C32734"/>
    <w:rsid w:val="00C3699A"/>
    <w:rsid w:val="00C679AD"/>
    <w:rsid w:val="00C77EFE"/>
    <w:rsid w:val="00C835E6"/>
    <w:rsid w:val="00C87CDF"/>
    <w:rsid w:val="00C9211E"/>
    <w:rsid w:val="00C960EB"/>
    <w:rsid w:val="00CC0463"/>
    <w:rsid w:val="00CC4ECE"/>
    <w:rsid w:val="00CD0378"/>
    <w:rsid w:val="00CE2977"/>
    <w:rsid w:val="00CE58C2"/>
    <w:rsid w:val="00CE6A0C"/>
    <w:rsid w:val="00CE6C89"/>
    <w:rsid w:val="00D0032A"/>
    <w:rsid w:val="00D00BDD"/>
    <w:rsid w:val="00D12589"/>
    <w:rsid w:val="00D25C48"/>
    <w:rsid w:val="00D378D8"/>
    <w:rsid w:val="00D41A25"/>
    <w:rsid w:val="00D57A48"/>
    <w:rsid w:val="00D710BD"/>
    <w:rsid w:val="00DA5973"/>
    <w:rsid w:val="00DA6054"/>
    <w:rsid w:val="00DB7FE2"/>
    <w:rsid w:val="00DC1904"/>
    <w:rsid w:val="00DC5695"/>
    <w:rsid w:val="00DE1926"/>
    <w:rsid w:val="00DF4EFC"/>
    <w:rsid w:val="00DF7EFD"/>
    <w:rsid w:val="00E13EC8"/>
    <w:rsid w:val="00E17A08"/>
    <w:rsid w:val="00E33D6D"/>
    <w:rsid w:val="00E55697"/>
    <w:rsid w:val="00E84879"/>
    <w:rsid w:val="00E90925"/>
    <w:rsid w:val="00E928DB"/>
    <w:rsid w:val="00E95C91"/>
    <w:rsid w:val="00EA3776"/>
    <w:rsid w:val="00EB7911"/>
    <w:rsid w:val="00EC0DB6"/>
    <w:rsid w:val="00EC5B4E"/>
    <w:rsid w:val="00F01F31"/>
    <w:rsid w:val="00F21524"/>
    <w:rsid w:val="00F25B01"/>
    <w:rsid w:val="00F3050B"/>
    <w:rsid w:val="00F31733"/>
    <w:rsid w:val="00F42299"/>
    <w:rsid w:val="00F55BF3"/>
    <w:rsid w:val="00F57B7D"/>
    <w:rsid w:val="00F65121"/>
    <w:rsid w:val="00F65B0F"/>
    <w:rsid w:val="00F679F3"/>
    <w:rsid w:val="00F76935"/>
    <w:rsid w:val="00F84A17"/>
    <w:rsid w:val="00F9450D"/>
    <w:rsid w:val="00F94D3B"/>
    <w:rsid w:val="00FA0293"/>
    <w:rsid w:val="00FA7E7A"/>
    <w:rsid w:val="00FB0281"/>
    <w:rsid w:val="00FB66E7"/>
    <w:rsid w:val="00FB79A7"/>
    <w:rsid w:val="00FC22CE"/>
    <w:rsid w:val="00FC5A04"/>
    <w:rsid w:val="00FC6B01"/>
    <w:rsid w:val="00FD39F4"/>
    <w:rsid w:val="00FD4C10"/>
    <w:rsid w:val="00FE0E7C"/>
    <w:rsid w:val="00FF5034"/>
    <w:rsid w:val="00FF7661"/>
  </w:rsids>
  <m:mathPr>
    <m:mathFont m:val="Cambria Math"/>
    <m:brkBin m:val="before"/>
    <m:brkBinSub m:val="--"/>
    <m:smallFrac m:val="off"/>
    <m:dispDef/>
    <m:lMargin m:val="0"/>
    <m:rMargin m:val="0"/>
    <m:defJc m:val="centerGroup"/>
    <m:wrapIndent m:val="1440"/>
    <m:intLim m:val="subSup"/>
    <m:naryLim m:val="undOvr"/>
  </m:mathPr>
  <w:uiCompat97To2003/>
  <w:attachedSchema w:val="schemas-fourth-com/fourthcoffee2"/>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39"/>
    <w:rPr>
      <w:rFonts w:eastAsia="Times New Roman"/>
      <w:sz w:val="24"/>
      <w:szCs w:val="24"/>
    </w:rPr>
  </w:style>
  <w:style w:type="paragraph" w:styleId="Heading1">
    <w:name w:val="heading 1"/>
    <w:basedOn w:val="Normal"/>
    <w:next w:val="Normal"/>
    <w:link w:val="Heading1Char"/>
    <w:uiPriority w:val="99"/>
    <w:qFormat/>
    <w:rsid w:val="009C00B6"/>
    <w:pPr>
      <w:keepNext/>
      <w:outlineLvl w:val="0"/>
    </w:pPr>
    <w:rPr>
      <w:rFonts w:eastAsia="Calibri"/>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8A1"/>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131139"/>
    <w:pPr>
      <w:tabs>
        <w:tab w:val="center" w:pos="4536"/>
        <w:tab w:val="right" w:pos="9072"/>
      </w:tabs>
    </w:pPr>
  </w:style>
  <w:style w:type="character" w:customStyle="1" w:styleId="FooterChar">
    <w:name w:val="Footer Char"/>
    <w:basedOn w:val="DefaultParagraphFont"/>
    <w:link w:val="Footer"/>
    <w:uiPriority w:val="99"/>
    <w:rsid w:val="00131139"/>
    <w:rPr>
      <w:rFonts w:eastAsia="Times New Roman"/>
      <w:lang w:eastAsia="bg-BG"/>
    </w:rPr>
  </w:style>
  <w:style w:type="character" w:styleId="PageNumber">
    <w:name w:val="page number"/>
    <w:basedOn w:val="DefaultParagraphFont"/>
    <w:uiPriority w:val="99"/>
    <w:rsid w:val="00131139"/>
  </w:style>
  <w:style w:type="paragraph" w:styleId="FootnoteText">
    <w:name w:val="footnote text"/>
    <w:aliases w:val="Char Знак Знак,Char"/>
    <w:basedOn w:val="Normal"/>
    <w:link w:val="FootnoteTextChar"/>
    <w:uiPriority w:val="99"/>
    <w:semiHidden/>
    <w:rsid w:val="00131139"/>
    <w:rPr>
      <w:sz w:val="20"/>
      <w:szCs w:val="20"/>
    </w:rPr>
  </w:style>
  <w:style w:type="character" w:customStyle="1" w:styleId="FootnoteTextChar">
    <w:name w:val="Footnote Text Char"/>
    <w:aliases w:val="Char Знак Знак Char,Char Char"/>
    <w:basedOn w:val="DefaultParagraphFont"/>
    <w:link w:val="FootnoteText"/>
    <w:uiPriority w:val="99"/>
    <w:semiHidden/>
    <w:rsid w:val="00131139"/>
    <w:rPr>
      <w:rFonts w:eastAsia="Times New Roman"/>
      <w:sz w:val="20"/>
      <w:szCs w:val="20"/>
      <w:lang w:eastAsia="bg-BG"/>
    </w:rPr>
  </w:style>
  <w:style w:type="character" w:styleId="FootnoteReference">
    <w:name w:val="footnote reference"/>
    <w:basedOn w:val="DefaultParagraphFont"/>
    <w:uiPriority w:val="99"/>
    <w:semiHidden/>
    <w:rsid w:val="00131139"/>
    <w:rPr>
      <w:vertAlign w:val="superscript"/>
    </w:rPr>
  </w:style>
  <w:style w:type="paragraph" w:styleId="BodyText">
    <w:name w:val="Body Text"/>
    <w:basedOn w:val="Normal"/>
    <w:link w:val="BodyTextChar"/>
    <w:uiPriority w:val="99"/>
    <w:rsid w:val="00131139"/>
    <w:pPr>
      <w:spacing w:after="120"/>
    </w:pPr>
  </w:style>
  <w:style w:type="character" w:customStyle="1" w:styleId="BodyTextChar">
    <w:name w:val="Body Text Char"/>
    <w:basedOn w:val="DefaultParagraphFont"/>
    <w:link w:val="BodyText"/>
    <w:uiPriority w:val="99"/>
    <w:rsid w:val="00131139"/>
    <w:rPr>
      <w:rFonts w:eastAsia="Times New Roman"/>
    </w:rPr>
  </w:style>
  <w:style w:type="paragraph" w:styleId="BodyTextIndent3">
    <w:name w:val="Body Text Indent 3"/>
    <w:basedOn w:val="Normal"/>
    <w:link w:val="BodyTextIndent3Char"/>
    <w:uiPriority w:val="99"/>
    <w:rsid w:val="00131139"/>
    <w:pPr>
      <w:spacing w:after="120"/>
      <w:ind w:left="283"/>
    </w:pPr>
    <w:rPr>
      <w:sz w:val="16"/>
      <w:szCs w:val="16"/>
    </w:rPr>
  </w:style>
  <w:style w:type="character" w:customStyle="1" w:styleId="BodyTextIndent3Char">
    <w:name w:val="Body Text Indent 3 Char"/>
    <w:basedOn w:val="DefaultParagraphFont"/>
    <w:link w:val="BodyTextIndent3"/>
    <w:uiPriority w:val="99"/>
    <w:rsid w:val="00131139"/>
    <w:rPr>
      <w:rFonts w:eastAsia="Times New Roman"/>
      <w:sz w:val="16"/>
      <w:szCs w:val="16"/>
    </w:rPr>
  </w:style>
  <w:style w:type="paragraph" w:customStyle="1" w:styleId="Default">
    <w:name w:val="Default"/>
    <w:uiPriority w:val="99"/>
    <w:rsid w:val="00131139"/>
    <w:pPr>
      <w:autoSpaceDE w:val="0"/>
      <w:autoSpaceDN w:val="0"/>
      <w:adjustRightInd w:val="0"/>
    </w:pPr>
    <w:rPr>
      <w:rFonts w:eastAsia="PMingLiU"/>
      <w:color w:val="000000"/>
      <w:sz w:val="24"/>
      <w:szCs w:val="24"/>
    </w:rPr>
  </w:style>
  <w:style w:type="paragraph" w:styleId="BalloonText">
    <w:name w:val="Balloon Text"/>
    <w:basedOn w:val="Normal"/>
    <w:link w:val="BalloonTextChar"/>
    <w:uiPriority w:val="99"/>
    <w:semiHidden/>
    <w:rsid w:val="00131139"/>
    <w:rPr>
      <w:rFonts w:ascii="Tahoma" w:hAnsi="Tahoma" w:cs="Tahoma"/>
      <w:sz w:val="16"/>
      <w:szCs w:val="16"/>
    </w:rPr>
  </w:style>
  <w:style w:type="character" w:customStyle="1" w:styleId="BalloonTextChar">
    <w:name w:val="Balloon Text Char"/>
    <w:basedOn w:val="DefaultParagraphFont"/>
    <w:link w:val="BalloonText"/>
    <w:uiPriority w:val="99"/>
    <w:semiHidden/>
    <w:rsid w:val="00131139"/>
    <w:rPr>
      <w:rFonts w:ascii="Tahoma" w:hAnsi="Tahoma" w:cs="Tahoma"/>
      <w:sz w:val="16"/>
      <w:szCs w:val="16"/>
      <w:lang w:eastAsia="bg-BG"/>
    </w:rPr>
  </w:style>
  <w:style w:type="paragraph" w:styleId="ListParagraph">
    <w:name w:val="List Paragraph"/>
    <w:basedOn w:val="Normal"/>
    <w:uiPriority w:val="99"/>
    <w:qFormat/>
    <w:rsid w:val="00132972"/>
    <w:pPr>
      <w:ind w:left="720"/>
      <w:contextualSpacing/>
    </w:pPr>
  </w:style>
  <w:style w:type="paragraph" w:customStyle="1" w:styleId="CharCharCharChar">
    <w:name w:val="Знак Char Char Знак Знак Знак Знак Char Char Знак Знак"/>
    <w:basedOn w:val="Normal"/>
    <w:uiPriority w:val="99"/>
    <w:rsid w:val="00F57B7D"/>
    <w:pPr>
      <w:tabs>
        <w:tab w:val="left" w:pos="709"/>
      </w:tabs>
    </w:pPr>
    <w:rPr>
      <w:rFonts w:ascii="Tahoma" w:hAnsi="Tahoma" w:cs="Tahoma"/>
      <w:lang w:val="pl-PL" w:eastAsia="pl-PL"/>
    </w:rPr>
  </w:style>
  <w:style w:type="paragraph" w:styleId="Header">
    <w:name w:val="header"/>
    <w:basedOn w:val="Normal"/>
    <w:link w:val="HeaderChar"/>
    <w:uiPriority w:val="99"/>
    <w:rsid w:val="009C00B6"/>
    <w:pPr>
      <w:tabs>
        <w:tab w:val="center" w:pos="4536"/>
        <w:tab w:val="right" w:pos="9072"/>
      </w:tabs>
    </w:pPr>
  </w:style>
  <w:style w:type="character" w:customStyle="1" w:styleId="HeaderChar">
    <w:name w:val="Header Char"/>
    <w:basedOn w:val="DefaultParagraphFont"/>
    <w:link w:val="Header"/>
    <w:uiPriority w:val="99"/>
    <w:semiHidden/>
    <w:rsid w:val="007C08A1"/>
    <w:rPr>
      <w:rFonts w:eastAsia="Times New Roman"/>
      <w:sz w:val="24"/>
      <w:szCs w:val="24"/>
    </w:rPr>
  </w:style>
  <w:style w:type="paragraph" w:styleId="BodyText2">
    <w:name w:val="Body Text 2"/>
    <w:basedOn w:val="Normal"/>
    <w:link w:val="BodyText2Char"/>
    <w:uiPriority w:val="99"/>
    <w:rsid w:val="009C00B6"/>
    <w:pPr>
      <w:spacing w:after="120" w:line="480" w:lineRule="auto"/>
    </w:pPr>
  </w:style>
  <w:style w:type="character" w:customStyle="1" w:styleId="BodyText2Char">
    <w:name w:val="Body Text 2 Char"/>
    <w:basedOn w:val="DefaultParagraphFont"/>
    <w:link w:val="BodyText2"/>
    <w:uiPriority w:val="99"/>
    <w:semiHidden/>
    <w:rsid w:val="007C08A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4088</Words>
  <Characters>23308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DELL</cp:lastModifiedBy>
  <cp:revision>2</cp:revision>
  <dcterms:created xsi:type="dcterms:W3CDTF">2013-08-19T12:34:00Z</dcterms:created>
  <dcterms:modified xsi:type="dcterms:W3CDTF">2013-08-19T12:34:00Z</dcterms:modified>
</cp:coreProperties>
</file>