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52" w:rsidRPr="002C5AC6" w:rsidRDefault="00CC5D52" w:rsidP="007C1979">
      <w:pPr>
        <w:tabs>
          <w:tab w:val="left" w:pos="720"/>
        </w:tabs>
        <w:jc w:val="center"/>
        <w:rPr>
          <w:b/>
        </w:rPr>
      </w:pPr>
      <w:r w:rsidRPr="002C5AC6">
        <w:rPr>
          <w:noProof/>
        </w:rPr>
        <w:drawing>
          <wp:inline distT="0" distB="0" distL="0" distR="0" wp14:anchorId="033E1604" wp14:editId="7FDF5052">
            <wp:extent cx="1802765" cy="1017905"/>
            <wp:effectExtent l="0" t="0" r="698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rsidR="00CC5D52" w:rsidRPr="002C5AC6" w:rsidRDefault="00CC5D52" w:rsidP="00CC5D52">
      <w:pPr>
        <w:tabs>
          <w:tab w:val="left" w:pos="720"/>
        </w:tabs>
        <w:spacing w:before="1800" w:after="1800"/>
        <w:jc w:val="center"/>
        <w:rPr>
          <w:b/>
          <w:spacing w:val="60"/>
          <w:sz w:val="28"/>
          <w:szCs w:val="28"/>
        </w:rPr>
      </w:pPr>
      <w:r w:rsidRPr="002C5AC6">
        <w:rPr>
          <w:b/>
          <w:spacing w:val="60"/>
          <w:sz w:val="28"/>
          <w:szCs w:val="28"/>
        </w:rPr>
        <w:t>ОДИТЕН ДОКЛАД</w:t>
      </w:r>
    </w:p>
    <w:p w:rsidR="00CC5D52" w:rsidRPr="002C5AC6" w:rsidRDefault="00CC5D52" w:rsidP="00CC5D52">
      <w:pPr>
        <w:tabs>
          <w:tab w:val="left" w:pos="720"/>
        </w:tabs>
        <w:jc w:val="center"/>
        <w:rPr>
          <w:b/>
        </w:rPr>
      </w:pPr>
      <w:r w:rsidRPr="002C5AC6">
        <w:rPr>
          <w:b/>
        </w:rPr>
        <w:t>№ 0500101015</w:t>
      </w:r>
    </w:p>
    <w:p w:rsidR="007D01CE" w:rsidRPr="002C5AC6" w:rsidRDefault="007D01CE" w:rsidP="00CC5D52">
      <w:pPr>
        <w:tabs>
          <w:tab w:val="left" w:pos="720"/>
        </w:tabs>
        <w:jc w:val="center"/>
        <w:rPr>
          <w:b/>
        </w:rPr>
      </w:pPr>
    </w:p>
    <w:p w:rsidR="00904BE2" w:rsidRPr="002C5AC6" w:rsidRDefault="00CC5D52" w:rsidP="00CC5D52">
      <w:pPr>
        <w:tabs>
          <w:tab w:val="left" w:pos="720"/>
        </w:tabs>
        <w:jc w:val="center"/>
        <w:rPr>
          <w:b/>
        </w:rPr>
      </w:pPr>
      <w:r w:rsidRPr="002C5AC6">
        <w:rPr>
          <w:b/>
        </w:rPr>
        <w:t>за извършен одит за съответствие на Софи</w:t>
      </w:r>
      <w:r w:rsidR="00904BE2" w:rsidRPr="002C5AC6">
        <w:rPr>
          <w:b/>
        </w:rPr>
        <w:t xml:space="preserve">йски районен съд за периода </w:t>
      </w:r>
    </w:p>
    <w:p w:rsidR="00CC5D52" w:rsidRPr="002C5AC6" w:rsidRDefault="00904BE2" w:rsidP="00CC5D52">
      <w:pPr>
        <w:tabs>
          <w:tab w:val="left" w:pos="720"/>
        </w:tabs>
        <w:jc w:val="center"/>
        <w:rPr>
          <w:b/>
        </w:rPr>
      </w:pPr>
      <w:r w:rsidRPr="002C5AC6">
        <w:rPr>
          <w:b/>
        </w:rPr>
        <w:t xml:space="preserve">от </w:t>
      </w:r>
      <w:r w:rsidR="00CC5D52" w:rsidRPr="002C5AC6">
        <w:rPr>
          <w:b/>
        </w:rPr>
        <w:t>01.01.2014 г. до 31.12.2014 г.</w:t>
      </w:r>
    </w:p>
    <w:p w:rsidR="00CC5D52" w:rsidRPr="002C5AC6" w:rsidRDefault="00CC5D52" w:rsidP="00CC5D52">
      <w:pPr>
        <w:tabs>
          <w:tab w:val="left" w:pos="720"/>
        </w:tabs>
        <w:jc w:val="center"/>
      </w:pPr>
    </w:p>
    <w:p w:rsidR="00CC5D52" w:rsidRPr="002C5AC6" w:rsidRDefault="00CC5D52" w:rsidP="00CC5D52">
      <w:pPr>
        <w:tabs>
          <w:tab w:val="left" w:pos="720"/>
        </w:tabs>
        <w:jc w:val="center"/>
      </w:pPr>
    </w:p>
    <w:p w:rsidR="00CC5D52" w:rsidRPr="002C5AC6" w:rsidRDefault="00CC5D52" w:rsidP="00CC5D52">
      <w:pPr>
        <w:tabs>
          <w:tab w:val="left" w:pos="720"/>
        </w:tabs>
        <w:jc w:val="center"/>
      </w:pPr>
    </w:p>
    <w:p w:rsidR="00CC5D52" w:rsidRPr="002C5AC6" w:rsidRDefault="00CC5D52" w:rsidP="00CC5D52">
      <w:pPr>
        <w:tabs>
          <w:tab w:val="left" w:pos="720"/>
        </w:tabs>
        <w:jc w:val="center"/>
      </w:pPr>
    </w:p>
    <w:p w:rsidR="00CC5D52" w:rsidRPr="002C5AC6" w:rsidRDefault="00CC5D52" w:rsidP="00CC5D52">
      <w:pPr>
        <w:tabs>
          <w:tab w:val="left" w:pos="720"/>
        </w:tabs>
        <w:jc w:val="center"/>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2C5AC6" w:rsidRDefault="00CC5D52" w:rsidP="00CC5D52">
      <w:pPr>
        <w:tabs>
          <w:tab w:val="left" w:pos="720"/>
        </w:tabs>
        <w:jc w:val="both"/>
      </w:pPr>
    </w:p>
    <w:p w:rsidR="00CC5D52" w:rsidRPr="00F4259C" w:rsidRDefault="00CC5D52" w:rsidP="00CC5D52">
      <w:pPr>
        <w:tabs>
          <w:tab w:val="left" w:pos="720"/>
        </w:tabs>
        <w:jc w:val="both"/>
      </w:pPr>
    </w:p>
    <w:p w:rsidR="00CC5D52" w:rsidRPr="00F4259C" w:rsidRDefault="00CC5D52" w:rsidP="00CC5D52">
      <w:pPr>
        <w:tabs>
          <w:tab w:val="left" w:pos="720"/>
        </w:tabs>
        <w:jc w:val="both"/>
      </w:pPr>
    </w:p>
    <w:p w:rsidR="00CC5D52" w:rsidRDefault="00CC5D52" w:rsidP="00CC5D52">
      <w:pPr>
        <w:tabs>
          <w:tab w:val="left" w:pos="720"/>
        </w:tabs>
        <w:jc w:val="both"/>
      </w:pPr>
    </w:p>
    <w:p w:rsidR="006873AC" w:rsidRDefault="006873AC" w:rsidP="00CC5D52">
      <w:pPr>
        <w:tabs>
          <w:tab w:val="left" w:pos="720"/>
        </w:tabs>
        <w:jc w:val="both"/>
      </w:pPr>
    </w:p>
    <w:p w:rsidR="006873AC" w:rsidRDefault="006873AC" w:rsidP="00CC5D52">
      <w:pPr>
        <w:tabs>
          <w:tab w:val="left" w:pos="720"/>
        </w:tabs>
        <w:jc w:val="both"/>
      </w:pPr>
    </w:p>
    <w:p w:rsidR="006873AC" w:rsidRDefault="006873AC" w:rsidP="00CC5D52">
      <w:pPr>
        <w:tabs>
          <w:tab w:val="left" w:pos="720"/>
        </w:tabs>
        <w:jc w:val="both"/>
      </w:pPr>
    </w:p>
    <w:p w:rsidR="005A6770" w:rsidRDefault="005A6770" w:rsidP="00CC5D52">
      <w:pPr>
        <w:tabs>
          <w:tab w:val="left" w:pos="720"/>
        </w:tabs>
        <w:jc w:val="both"/>
      </w:pPr>
    </w:p>
    <w:p w:rsidR="005A6770" w:rsidRPr="00F4259C" w:rsidRDefault="005A6770" w:rsidP="00CC5D52">
      <w:pPr>
        <w:tabs>
          <w:tab w:val="left" w:pos="720"/>
        </w:tabs>
        <w:jc w:val="both"/>
      </w:pPr>
    </w:p>
    <w:p w:rsidR="00B2616B" w:rsidRPr="00B2616B" w:rsidRDefault="00B2616B" w:rsidP="00B2616B">
      <w:pPr>
        <w:tabs>
          <w:tab w:val="left" w:pos="720"/>
        </w:tabs>
        <w:jc w:val="center"/>
        <w:rPr>
          <w:sz w:val="20"/>
          <w:szCs w:val="20"/>
          <w:lang w:eastAsia="en-US"/>
        </w:rPr>
      </w:pPr>
      <w:proofErr w:type="spellStart"/>
      <w:r w:rsidRPr="00B2616B">
        <w:rPr>
          <w:sz w:val="20"/>
          <w:szCs w:val="20"/>
          <w:lang w:val="en-US" w:eastAsia="en-US"/>
        </w:rPr>
        <w:t>Настоящият</w:t>
      </w:r>
      <w:proofErr w:type="spellEnd"/>
      <w:r w:rsidRPr="00B2616B">
        <w:rPr>
          <w:sz w:val="20"/>
          <w:szCs w:val="20"/>
          <w:lang w:val="en-US" w:eastAsia="en-US"/>
        </w:rPr>
        <w:t xml:space="preserve"> </w:t>
      </w:r>
      <w:proofErr w:type="spellStart"/>
      <w:r w:rsidRPr="00B2616B">
        <w:rPr>
          <w:sz w:val="20"/>
          <w:szCs w:val="20"/>
          <w:lang w:val="en-US" w:eastAsia="en-US"/>
        </w:rPr>
        <w:t>окончателен</w:t>
      </w:r>
      <w:proofErr w:type="spellEnd"/>
      <w:r w:rsidRPr="00B2616B">
        <w:rPr>
          <w:sz w:val="20"/>
          <w:szCs w:val="20"/>
          <w:lang w:val="en-US" w:eastAsia="en-US"/>
        </w:rPr>
        <w:t xml:space="preserve"> </w:t>
      </w:r>
      <w:proofErr w:type="spellStart"/>
      <w:r w:rsidRPr="00B2616B">
        <w:rPr>
          <w:sz w:val="20"/>
          <w:szCs w:val="20"/>
          <w:lang w:val="en-US" w:eastAsia="en-US"/>
        </w:rPr>
        <w:t>одитен</w:t>
      </w:r>
      <w:proofErr w:type="spellEnd"/>
      <w:r w:rsidRPr="00B2616B">
        <w:rPr>
          <w:sz w:val="20"/>
          <w:szCs w:val="20"/>
          <w:lang w:val="en-US" w:eastAsia="en-US"/>
        </w:rPr>
        <w:t xml:space="preserve"> </w:t>
      </w:r>
      <w:proofErr w:type="spellStart"/>
      <w:r w:rsidRPr="00B2616B">
        <w:rPr>
          <w:sz w:val="20"/>
          <w:szCs w:val="20"/>
          <w:lang w:val="en-US" w:eastAsia="en-US"/>
        </w:rPr>
        <w:t>доклад</w:t>
      </w:r>
      <w:proofErr w:type="spellEnd"/>
      <w:r w:rsidRPr="00B2616B">
        <w:rPr>
          <w:sz w:val="20"/>
          <w:szCs w:val="20"/>
          <w:lang w:val="en-US" w:eastAsia="en-US"/>
        </w:rPr>
        <w:t xml:space="preserve"> е </w:t>
      </w:r>
      <w:proofErr w:type="spellStart"/>
      <w:r w:rsidRPr="00B2616B">
        <w:rPr>
          <w:sz w:val="20"/>
          <w:szCs w:val="20"/>
          <w:lang w:val="en-US" w:eastAsia="en-US"/>
        </w:rPr>
        <w:t>приет</w:t>
      </w:r>
      <w:proofErr w:type="spellEnd"/>
      <w:r w:rsidRPr="00B2616B">
        <w:rPr>
          <w:sz w:val="20"/>
          <w:szCs w:val="20"/>
          <w:lang w:val="en-US" w:eastAsia="en-US"/>
        </w:rPr>
        <w:t xml:space="preserve"> с </w:t>
      </w:r>
      <w:proofErr w:type="spellStart"/>
      <w:r w:rsidRPr="00B2616B">
        <w:rPr>
          <w:sz w:val="20"/>
          <w:szCs w:val="20"/>
          <w:lang w:val="en-US" w:eastAsia="en-US"/>
        </w:rPr>
        <w:t>Решение</w:t>
      </w:r>
      <w:proofErr w:type="spellEnd"/>
      <w:r w:rsidRPr="00B2616B">
        <w:rPr>
          <w:sz w:val="20"/>
          <w:szCs w:val="20"/>
          <w:lang w:val="en-US" w:eastAsia="en-US"/>
        </w:rPr>
        <w:t xml:space="preserve"> № </w:t>
      </w:r>
      <w:r>
        <w:rPr>
          <w:sz w:val="20"/>
          <w:szCs w:val="20"/>
          <w:lang w:val="en-US" w:eastAsia="en-US"/>
        </w:rPr>
        <w:t>236</w:t>
      </w:r>
      <w:r w:rsidRPr="00B2616B">
        <w:rPr>
          <w:sz w:val="20"/>
          <w:szCs w:val="20"/>
          <w:lang w:val="en-US" w:eastAsia="en-US"/>
        </w:rPr>
        <w:t xml:space="preserve"> </w:t>
      </w:r>
      <w:proofErr w:type="spellStart"/>
      <w:r w:rsidRPr="00B2616B">
        <w:rPr>
          <w:sz w:val="20"/>
          <w:szCs w:val="20"/>
          <w:lang w:val="en-US" w:eastAsia="en-US"/>
        </w:rPr>
        <w:t>от</w:t>
      </w:r>
      <w:proofErr w:type="spellEnd"/>
      <w:r w:rsidRPr="00B2616B">
        <w:rPr>
          <w:sz w:val="20"/>
          <w:szCs w:val="20"/>
          <w:lang w:val="en-US" w:eastAsia="en-US"/>
        </w:rPr>
        <w:t xml:space="preserve"> </w:t>
      </w:r>
      <w:r>
        <w:rPr>
          <w:sz w:val="20"/>
          <w:szCs w:val="20"/>
          <w:lang w:val="en-US" w:eastAsia="en-US"/>
        </w:rPr>
        <w:t>15</w:t>
      </w:r>
      <w:r w:rsidRPr="00B2616B">
        <w:rPr>
          <w:sz w:val="20"/>
          <w:szCs w:val="20"/>
          <w:lang w:eastAsia="en-US"/>
        </w:rPr>
        <w:t>.</w:t>
      </w:r>
      <w:r>
        <w:rPr>
          <w:sz w:val="20"/>
          <w:szCs w:val="20"/>
          <w:lang w:val="en-US" w:eastAsia="en-US"/>
        </w:rPr>
        <w:t>12.</w:t>
      </w:r>
      <w:r w:rsidRPr="00B2616B">
        <w:rPr>
          <w:sz w:val="20"/>
          <w:szCs w:val="20"/>
          <w:lang w:val="en-US" w:eastAsia="en-US"/>
        </w:rPr>
        <w:t>20</w:t>
      </w:r>
      <w:r>
        <w:rPr>
          <w:sz w:val="20"/>
          <w:szCs w:val="20"/>
          <w:lang w:val="en-US" w:eastAsia="en-US"/>
        </w:rPr>
        <w:t>16</w:t>
      </w:r>
      <w:r w:rsidRPr="00B2616B">
        <w:rPr>
          <w:sz w:val="20"/>
          <w:szCs w:val="20"/>
          <w:lang w:val="en-US" w:eastAsia="en-US"/>
        </w:rPr>
        <w:t xml:space="preserve"> г. </w:t>
      </w:r>
      <w:r w:rsidRPr="00B2616B">
        <w:rPr>
          <w:sz w:val="20"/>
          <w:szCs w:val="20"/>
          <w:lang w:eastAsia="en-US"/>
        </w:rPr>
        <w:br/>
      </w:r>
      <w:proofErr w:type="spellStart"/>
      <w:r w:rsidRPr="00B2616B">
        <w:rPr>
          <w:sz w:val="20"/>
          <w:szCs w:val="20"/>
          <w:lang w:val="en-US" w:eastAsia="en-US"/>
        </w:rPr>
        <w:t>на</w:t>
      </w:r>
      <w:proofErr w:type="spellEnd"/>
      <w:r w:rsidRPr="00B2616B">
        <w:rPr>
          <w:sz w:val="20"/>
          <w:szCs w:val="20"/>
          <w:lang w:eastAsia="en-US"/>
        </w:rPr>
        <w:t xml:space="preserve"> </w:t>
      </w:r>
      <w:proofErr w:type="spellStart"/>
      <w:r w:rsidRPr="00B2616B">
        <w:rPr>
          <w:sz w:val="20"/>
          <w:szCs w:val="20"/>
          <w:lang w:val="en-US" w:eastAsia="en-US"/>
        </w:rPr>
        <w:t>Сметната</w:t>
      </w:r>
      <w:proofErr w:type="spellEnd"/>
      <w:r w:rsidRPr="00B2616B">
        <w:rPr>
          <w:sz w:val="20"/>
          <w:szCs w:val="20"/>
          <w:lang w:val="en-US" w:eastAsia="en-US"/>
        </w:rPr>
        <w:t xml:space="preserve"> </w:t>
      </w:r>
      <w:proofErr w:type="spellStart"/>
      <w:r w:rsidRPr="00B2616B">
        <w:rPr>
          <w:sz w:val="20"/>
          <w:szCs w:val="20"/>
          <w:lang w:val="en-US" w:eastAsia="en-US"/>
        </w:rPr>
        <w:t>палата</w:t>
      </w:r>
      <w:proofErr w:type="spellEnd"/>
      <w:r w:rsidRPr="00B2616B">
        <w:rPr>
          <w:sz w:val="20"/>
          <w:szCs w:val="20"/>
          <w:lang w:eastAsia="en-US"/>
        </w:rPr>
        <w:t xml:space="preserve"> </w:t>
      </w:r>
      <w:r w:rsidRPr="00B2616B">
        <w:rPr>
          <w:sz w:val="20"/>
          <w:szCs w:val="20"/>
          <w:lang w:val="en-US" w:eastAsia="en-US"/>
        </w:rPr>
        <w:t>(</w:t>
      </w:r>
      <w:proofErr w:type="spellStart"/>
      <w:r w:rsidRPr="00B2616B">
        <w:rPr>
          <w:sz w:val="20"/>
          <w:szCs w:val="20"/>
          <w:lang w:val="en-US" w:eastAsia="en-US"/>
        </w:rPr>
        <w:t>Протокол</w:t>
      </w:r>
      <w:proofErr w:type="spellEnd"/>
      <w:r w:rsidRPr="00B2616B">
        <w:rPr>
          <w:sz w:val="20"/>
          <w:szCs w:val="20"/>
          <w:lang w:val="en-US" w:eastAsia="en-US"/>
        </w:rPr>
        <w:t xml:space="preserve"> № </w:t>
      </w:r>
      <w:r>
        <w:rPr>
          <w:sz w:val="20"/>
          <w:szCs w:val="20"/>
          <w:lang w:val="en-US" w:eastAsia="en-US"/>
        </w:rPr>
        <w:t>36</w:t>
      </w:r>
      <w:r w:rsidRPr="00B2616B">
        <w:rPr>
          <w:sz w:val="20"/>
          <w:szCs w:val="20"/>
          <w:lang w:val="en-US" w:eastAsia="en-US"/>
        </w:rPr>
        <w:t>)</w:t>
      </w:r>
    </w:p>
    <w:p w:rsidR="00233BC6" w:rsidRPr="00F4259C" w:rsidRDefault="00233BC6">
      <w:pPr>
        <w:spacing w:after="200" w:line="276" w:lineRule="auto"/>
      </w:pPr>
      <w:r w:rsidRPr="00F4259C">
        <w:br w:type="page"/>
      </w:r>
    </w:p>
    <w:p w:rsidR="00E84618" w:rsidRDefault="00E84618" w:rsidP="00E84618">
      <w:pPr>
        <w:jc w:val="center"/>
        <w:rPr>
          <w:b/>
          <w:lang w:val="en-US"/>
        </w:rPr>
      </w:pPr>
      <w:r w:rsidRPr="00F4259C">
        <w:rPr>
          <w:b/>
        </w:rPr>
        <w:lastRenderedPageBreak/>
        <w:t>СЪДЪРЖАНИЕ</w:t>
      </w:r>
    </w:p>
    <w:p w:rsidR="00646375" w:rsidRPr="00646375" w:rsidRDefault="00646375" w:rsidP="00E84618">
      <w:pPr>
        <w:jc w:val="center"/>
        <w:rPr>
          <w:b/>
          <w:lang w:val="en-US"/>
        </w:rPr>
      </w:pPr>
      <w:bookmarkStart w:id="0" w:name="_GoBack"/>
      <w:bookmarkEnd w:id="0"/>
    </w:p>
    <w:tbl>
      <w:tblPr>
        <w:tblStyle w:val="TableGrid"/>
        <w:tblW w:w="0" w:type="auto"/>
        <w:tblLook w:val="04A0" w:firstRow="1" w:lastRow="0" w:firstColumn="1" w:lastColumn="0" w:noHBand="0" w:noVBand="1"/>
      </w:tblPr>
      <w:tblGrid>
        <w:gridCol w:w="7905"/>
        <w:gridCol w:w="1290"/>
      </w:tblGrid>
      <w:tr w:rsidR="00E84618" w:rsidRPr="008D3E53" w:rsidTr="00E84618">
        <w:tc>
          <w:tcPr>
            <w:tcW w:w="7905" w:type="dxa"/>
          </w:tcPr>
          <w:p w:rsidR="00E84618" w:rsidRPr="008D3E53" w:rsidRDefault="00E84618" w:rsidP="00E84618">
            <w:pPr>
              <w:rPr>
                <w:b/>
              </w:rPr>
            </w:pPr>
            <w:r w:rsidRPr="008D3E53">
              <w:rPr>
                <w:b/>
              </w:rPr>
              <w:t>Списък на съкращенията</w:t>
            </w:r>
          </w:p>
        </w:tc>
        <w:tc>
          <w:tcPr>
            <w:tcW w:w="1290" w:type="dxa"/>
          </w:tcPr>
          <w:p w:rsidR="00E84618" w:rsidRPr="008D3E53" w:rsidRDefault="00E84618" w:rsidP="00E84618">
            <w:pPr>
              <w:jc w:val="center"/>
              <w:rPr>
                <w:b/>
              </w:rPr>
            </w:pPr>
            <w:r w:rsidRPr="008D3E53">
              <w:rPr>
                <w:b/>
              </w:rPr>
              <w:t>4</w:t>
            </w:r>
          </w:p>
        </w:tc>
      </w:tr>
      <w:tr w:rsidR="00E84618" w:rsidRPr="008D3E53" w:rsidTr="00E84618">
        <w:tc>
          <w:tcPr>
            <w:tcW w:w="7905" w:type="dxa"/>
          </w:tcPr>
          <w:p w:rsidR="00E84618" w:rsidRPr="008D3E53" w:rsidRDefault="00E84618" w:rsidP="000B5150">
            <w:pPr>
              <w:rPr>
                <w:b/>
              </w:rPr>
            </w:pPr>
            <w:r w:rsidRPr="008D3E53">
              <w:rPr>
                <w:b/>
              </w:rPr>
              <w:t xml:space="preserve">Част </w:t>
            </w:r>
            <w:r>
              <w:rPr>
                <w:b/>
              </w:rPr>
              <w:t>п</w:t>
            </w:r>
            <w:r w:rsidRPr="008D3E53">
              <w:rPr>
                <w:b/>
              </w:rPr>
              <w:t>ърва</w:t>
            </w:r>
            <w:r w:rsidR="000B5150">
              <w:rPr>
                <w:b/>
                <w:lang w:val="en-US"/>
              </w:rPr>
              <w:t xml:space="preserve"> </w:t>
            </w:r>
            <w:r w:rsidRPr="008D3E53">
              <w:rPr>
                <w:b/>
              </w:rPr>
              <w:t>РЕЗЮМЕ</w:t>
            </w:r>
          </w:p>
        </w:tc>
        <w:tc>
          <w:tcPr>
            <w:tcW w:w="1290" w:type="dxa"/>
          </w:tcPr>
          <w:p w:rsidR="00E84618" w:rsidRPr="008D3E53" w:rsidRDefault="00E84618" w:rsidP="00E84618">
            <w:pPr>
              <w:jc w:val="center"/>
              <w:rPr>
                <w:b/>
              </w:rPr>
            </w:pPr>
            <w:r w:rsidRPr="008D3E53">
              <w:rPr>
                <w:b/>
              </w:rPr>
              <w:t>5</w:t>
            </w:r>
          </w:p>
        </w:tc>
      </w:tr>
      <w:tr w:rsidR="00E84618" w:rsidRPr="008D3E53" w:rsidTr="00E84618">
        <w:tc>
          <w:tcPr>
            <w:tcW w:w="7905" w:type="dxa"/>
          </w:tcPr>
          <w:p w:rsidR="00E84618" w:rsidRPr="008D3E53" w:rsidRDefault="00E84618" w:rsidP="00230A0D">
            <w:pPr>
              <w:rPr>
                <w:b/>
              </w:rPr>
            </w:pPr>
            <w:r>
              <w:rPr>
                <w:b/>
              </w:rPr>
              <w:t>Част в</w:t>
            </w:r>
            <w:r w:rsidRPr="008D3E53">
              <w:rPr>
                <w:b/>
              </w:rPr>
              <w:t>тора</w:t>
            </w:r>
            <w:r w:rsidR="00230A0D">
              <w:rPr>
                <w:b/>
                <w:lang w:val="en-US"/>
              </w:rPr>
              <w:t xml:space="preserve"> </w:t>
            </w:r>
            <w:r w:rsidRPr="008D3E53">
              <w:rPr>
                <w:b/>
              </w:rPr>
              <w:t>ВЪВЕДЕНИЕ</w:t>
            </w:r>
          </w:p>
        </w:tc>
        <w:tc>
          <w:tcPr>
            <w:tcW w:w="1290" w:type="dxa"/>
          </w:tcPr>
          <w:p w:rsidR="00E84618" w:rsidRPr="008D3E53" w:rsidRDefault="00E84618" w:rsidP="00E84618">
            <w:pPr>
              <w:jc w:val="center"/>
              <w:rPr>
                <w:b/>
              </w:rPr>
            </w:pPr>
            <w:r w:rsidRPr="008D3E53">
              <w:rPr>
                <w:b/>
              </w:rPr>
              <w:t>7</w:t>
            </w:r>
          </w:p>
        </w:tc>
      </w:tr>
      <w:tr w:rsidR="00E84618" w:rsidRPr="008D3E53" w:rsidTr="00E84618">
        <w:tc>
          <w:tcPr>
            <w:tcW w:w="7905" w:type="dxa"/>
          </w:tcPr>
          <w:p w:rsidR="00E84618" w:rsidRPr="008D3E53" w:rsidRDefault="00E84618" w:rsidP="00E84618">
            <w:r w:rsidRPr="008D3E53">
              <w:t>1 .Основание за извършване на одита</w:t>
            </w:r>
          </w:p>
        </w:tc>
        <w:tc>
          <w:tcPr>
            <w:tcW w:w="1290" w:type="dxa"/>
          </w:tcPr>
          <w:p w:rsidR="00E84618" w:rsidRPr="008D3E53" w:rsidRDefault="00E84618" w:rsidP="00E84618">
            <w:pPr>
              <w:jc w:val="center"/>
            </w:pPr>
            <w:r w:rsidRPr="008D3E53">
              <w:t>7</w:t>
            </w:r>
          </w:p>
        </w:tc>
      </w:tr>
      <w:tr w:rsidR="00E84618" w:rsidRPr="008D3E53" w:rsidTr="00E84618">
        <w:tc>
          <w:tcPr>
            <w:tcW w:w="7905" w:type="dxa"/>
          </w:tcPr>
          <w:p w:rsidR="00E84618" w:rsidRPr="008D3E53" w:rsidRDefault="00E84618" w:rsidP="00E84618">
            <w:r w:rsidRPr="008D3E53">
              <w:t>2. Инфорамация за одитирания обект</w:t>
            </w:r>
          </w:p>
        </w:tc>
        <w:tc>
          <w:tcPr>
            <w:tcW w:w="1290" w:type="dxa"/>
          </w:tcPr>
          <w:p w:rsidR="00E84618" w:rsidRPr="008D3E53" w:rsidRDefault="00E84618" w:rsidP="00E84618">
            <w:pPr>
              <w:jc w:val="center"/>
            </w:pPr>
            <w:r w:rsidRPr="008D3E53">
              <w:t>7</w:t>
            </w:r>
          </w:p>
        </w:tc>
      </w:tr>
      <w:tr w:rsidR="00E84618" w:rsidRPr="008D3E53" w:rsidTr="00E84618">
        <w:tc>
          <w:tcPr>
            <w:tcW w:w="7905" w:type="dxa"/>
          </w:tcPr>
          <w:p w:rsidR="00E84618" w:rsidRPr="008D3E53" w:rsidRDefault="00E84618" w:rsidP="00E84618">
            <w:r w:rsidRPr="008D3E53">
              <w:t>3. Цели на одита</w:t>
            </w:r>
          </w:p>
        </w:tc>
        <w:tc>
          <w:tcPr>
            <w:tcW w:w="1290" w:type="dxa"/>
          </w:tcPr>
          <w:p w:rsidR="00E84618" w:rsidRPr="008D3E53" w:rsidRDefault="006873AC" w:rsidP="00E84618">
            <w:pPr>
              <w:jc w:val="center"/>
            </w:pPr>
            <w:r>
              <w:t>9</w:t>
            </w:r>
          </w:p>
        </w:tc>
      </w:tr>
      <w:tr w:rsidR="00E84618" w:rsidRPr="008D3E53" w:rsidTr="00E84618">
        <w:tc>
          <w:tcPr>
            <w:tcW w:w="7905" w:type="dxa"/>
          </w:tcPr>
          <w:p w:rsidR="00E84618" w:rsidRPr="008D3E53" w:rsidRDefault="00E84618" w:rsidP="00E84618">
            <w:r w:rsidRPr="008D3E53">
              <w:t>4. Обхват на одита</w:t>
            </w:r>
          </w:p>
        </w:tc>
        <w:tc>
          <w:tcPr>
            <w:tcW w:w="1290" w:type="dxa"/>
          </w:tcPr>
          <w:p w:rsidR="00E84618" w:rsidRPr="00D57054" w:rsidRDefault="00D57054" w:rsidP="00E84618">
            <w:pPr>
              <w:jc w:val="center"/>
              <w:rPr>
                <w:lang w:val="en-US"/>
              </w:rPr>
            </w:pPr>
            <w:r>
              <w:rPr>
                <w:lang w:val="en-US"/>
              </w:rPr>
              <w:t>9</w:t>
            </w:r>
          </w:p>
        </w:tc>
      </w:tr>
      <w:tr w:rsidR="00E84618" w:rsidRPr="008D3E53" w:rsidTr="00E84618">
        <w:tc>
          <w:tcPr>
            <w:tcW w:w="7905" w:type="dxa"/>
          </w:tcPr>
          <w:p w:rsidR="00E84618" w:rsidRPr="008D3E53" w:rsidRDefault="00E84618" w:rsidP="00E84618">
            <w:r w:rsidRPr="008D3E53">
              <w:t>5. Критерии за оценка</w:t>
            </w:r>
          </w:p>
        </w:tc>
        <w:tc>
          <w:tcPr>
            <w:tcW w:w="1290" w:type="dxa"/>
          </w:tcPr>
          <w:p w:rsidR="00E84618" w:rsidRPr="008D3E53" w:rsidRDefault="006873AC" w:rsidP="00E84618">
            <w:pPr>
              <w:jc w:val="center"/>
            </w:pPr>
            <w:r>
              <w:t>9</w:t>
            </w:r>
          </w:p>
        </w:tc>
      </w:tr>
      <w:tr w:rsidR="00E84618" w:rsidRPr="008D3E53" w:rsidTr="00E84618">
        <w:tc>
          <w:tcPr>
            <w:tcW w:w="7905" w:type="dxa"/>
          </w:tcPr>
          <w:p w:rsidR="00E84618" w:rsidRPr="008D3E53" w:rsidRDefault="00E84618" w:rsidP="00E84618">
            <w:r w:rsidRPr="008D3E53">
              <w:t>6. Одитни стандарти, които са приложени при одита</w:t>
            </w:r>
          </w:p>
        </w:tc>
        <w:tc>
          <w:tcPr>
            <w:tcW w:w="1290" w:type="dxa"/>
          </w:tcPr>
          <w:p w:rsidR="00E84618" w:rsidRPr="008D3E53" w:rsidRDefault="006873AC" w:rsidP="00E84618">
            <w:pPr>
              <w:jc w:val="center"/>
            </w:pPr>
            <w:r>
              <w:t>10</w:t>
            </w:r>
          </w:p>
        </w:tc>
      </w:tr>
      <w:tr w:rsidR="00E84618" w:rsidRPr="008D3E53" w:rsidTr="00E84618">
        <w:tc>
          <w:tcPr>
            <w:tcW w:w="7905" w:type="dxa"/>
          </w:tcPr>
          <w:p w:rsidR="00E84618" w:rsidRPr="008D3E53" w:rsidRDefault="00E84618" w:rsidP="00230A0D">
            <w:pPr>
              <w:rPr>
                <w:b/>
              </w:rPr>
            </w:pPr>
            <w:r>
              <w:rPr>
                <w:b/>
              </w:rPr>
              <w:t>Част т</w:t>
            </w:r>
            <w:r w:rsidRPr="008D3E53">
              <w:rPr>
                <w:b/>
              </w:rPr>
              <w:t>рета</w:t>
            </w:r>
            <w:r w:rsidR="00230A0D">
              <w:rPr>
                <w:b/>
                <w:lang w:val="en-US"/>
              </w:rPr>
              <w:t xml:space="preserve"> </w:t>
            </w:r>
            <w:r w:rsidRPr="008D3E53">
              <w:rPr>
                <w:b/>
              </w:rPr>
              <w:t>КОНСТАТАЦИИ</w:t>
            </w:r>
          </w:p>
        </w:tc>
        <w:tc>
          <w:tcPr>
            <w:tcW w:w="1290" w:type="dxa"/>
          </w:tcPr>
          <w:p w:rsidR="00E84618" w:rsidRPr="008D3E53" w:rsidRDefault="006873AC" w:rsidP="00E84618">
            <w:pPr>
              <w:jc w:val="center"/>
              <w:rPr>
                <w:b/>
              </w:rPr>
            </w:pPr>
            <w:r>
              <w:rPr>
                <w:b/>
              </w:rPr>
              <w:t>10</w:t>
            </w:r>
          </w:p>
        </w:tc>
      </w:tr>
      <w:tr w:rsidR="00E84618" w:rsidRPr="008D3E53" w:rsidTr="00E84618">
        <w:tc>
          <w:tcPr>
            <w:tcW w:w="7905" w:type="dxa"/>
          </w:tcPr>
          <w:p w:rsidR="00E84618" w:rsidRPr="008D3E53" w:rsidRDefault="00E84618" w:rsidP="00E84618">
            <w:pPr>
              <w:rPr>
                <w:b/>
              </w:rPr>
            </w:pPr>
            <w:r w:rsidRPr="008D3E53">
              <w:rPr>
                <w:b/>
              </w:rPr>
              <w:t>I. Обща информация за организацията на бюджетния процес и състоянието на вътрешния контрол в СРС</w:t>
            </w:r>
          </w:p>
        </w:tc>
        <w:tc>
          <w:tcPr>
            <w:tcW w:w="1290" w:type="dxa"/>
          </w:tcPr>
          <w:p w:rsidR="00E84618" w:rsidRPr="008D3E53" w:rsidRDefault="006873AC" w:rsidP="00E84618">
            <w:pPr>
              <w:jc w:val="center"/>
              <w:rPr>
                <w:b/>
              </w:rPr>
            </w:pPr>
            <w:r>
              <w:rPr>
                <w:b/>
              </w:rPr>
              <w:t>10</w:t>
            </w:r>
          </w:p>
        </w:tc>
      </w:tr>
      <w:tr w:rsidR="00E84618" w:rsidRPr="008D3E53" w:rsidTr="00E84618">
        <w:tc>
          <w:tcPr>
            <w:tcW w:w="7905" w:type="dxa"/>
          </w:tcPr>
          <w:p w:rsidR="00E84618" w:rsidRPr="008D3E53" w:rsidRDefault="00E84618" w:rsidP="00E84618">
            <w:r w:rsidRPr="008D3E53">
              <w:t>1. Тригодишна бюджетна прогноза за 2014 г. -2016 г.</w:t>
            </w:r>
          </w:p>
        </w:tc>
        <w:tc>
          <w:tcPr>
            <w:tcW w:w="1290" w:type="dxa"/>
          </w:tcPr>
          <w:p w:rsidR="00E84618" w:rsidRPr="008D3E53" w:rsidRDefault="006873AC" w:rsidP="00E84618">
            <w:pPr>
              <w:jc w:val="center"/>
            </w:pPr>
            <w:r>
              <w:t>10</w:t>
            </w:r>
          </w:p>
        </w:tc>
      </w:tr>
      <w:tr w:rsidR="00E84618" w:rsidRPr="008D3E53" w:rsidTr="00E84618">
        <w:tc>
          <w:tcPr>
            <w:tcW w:w="7905" w:type="dxa"/>
          </w:tcPr>
          <w:p w:rsidR="00E84618" w:rsidRPr="008D3E53" w:rsidRDefault="00E84618" w:rsidP="00E84618">
            <w:r w:rsidRPr="008D3E53">
              <w:t>2. Бюджет на СРС за 2014 г.</w:t>
            </w:r>
          </w:p>
        </w:tc>
        <w:tc>
          <w:tcPr>
            <w:tcW w:w="1290" w:type="dxa"/>
          </w:tcPr>
          <w:p w:rsidR="00E84618" w:rsidRPr="008D3E53" w:rsidRDefault="006873AC" w:rsidP="00E84618">
            <w:pPr>
              <w:jc w:val="center"/>
            </w:pPr>
            <w:r>
              <w:t>10</w:t>
            </w:r>
          </w:p>
        </w:tc>
      </w:tr>
      <w:tr w:rsidR="00E84618" w:rsidRPr="008D3E53" w:rsidTr="00E84618">
        <w:tc>
          <w:tcPr>
            <w:tcW w:w="7905" w:type="dxa"/>
          </w:tcPr>
          <w:p w:rsidR="00E84618" w:rsidRPr="008D3E53" w:rsidRDefault="00E84618" w:rsidP="00E84618">
            <w:r w:rsidRPr="008D3E53">
              <w:t>3. Месечно разпределение</w:t>
            </w:r>
          </w:p>
        </w:tc>
        <w:tc>
          <w:tcPr>
            <w:tcW w:w="1290" w:type="dxa"/>
          </w:tcPr>
          <w:p w:rsidR="00E84618" w:rsidRPr="008D3E53" w:rsidRDefault="006873AC" w:rsidP="00E84618">
            <w:pPr>
              <w:jc w:val="center"/>
            </w:pPr>
            <w:r>
              <w:t>11</w:t>
            </w:r>
          </w:p>
        </w:tc>
      </w:tr>
      <w:tr w:rsidR="00E84618" w:rsidRPr="008D3E53" w:rsidTr="00E84618">
        <w:tc>
          <w:tcPr>
            <w:tcW w:w="7905" w:type="dxa"/>
          </w:tcPr>
          <w:p w:rsidR="00E84618" w:rsidRPr="008D3E53" w:rsidRDefault="00E84618" w:rsidP="00E84618">
            <w:r w:rsidRPr="008D3E53">
              <w:t>4. Корекции по бюджета</w:t>
            </w:r>
          </w:p>
        </w:tc>
        <w:tc>
          <w:tcPr>
            <w:tcW w:w="1290" w:type="dxa"/>
          </w:tcPr>
          <w:p w:rsidR="00E84618" w:rsidRPr="008D3E53" w:rsidRDefault="006873AC" w:rsidP="00E84618">
            <w:pPr>
              <w:jc w:val="center"/>
            </w:pPr>
            <w:r>
              <w:t>11</w:t>
            </w:r>
          </w:p>
        </w:tc>
      </w:tr>
      <w:tr w:rsidR="00E84618" w:rsidRPr="008D3E53" w:rsidTr="00E84618">
        <w:tc>
          <w:tcPr>
            <w:tcW w:w="7905" w:type="dxa"/>
          </w:tcPr>
          <w:p w:rsidR="00E84618" w:rsidRPr="008D3E53" w:rsidRDefault="00E84618" w:rsidP="00E84618">
            <w:r w:rsidRPr="00275CD2">
              <w:t>5. Състояние на системите за финансово управление и контрол</w:t>
            </w:r>
          </w:p>
        </w:tc>
        <w:tc>
          <w:tcPr>
            <w:tcW w:w="1290" w:type="dxa"/>
          </w:tcPr>
          <w:p w:rsidR="00E84618" w:rsidRPr="008D3E53" w:rsidRDefault="00E84618" w:rsidP="006873AC">
            <w:pPr>
              <w:jc w:val="center"/>
            </w:pPr>
            <w:r>
              <w:t>1</w:t>
            </w:r>
            <w:r w:rsidR="006873AC">
              <w:t>2</w:t>
            </w:r>
          </w:p>
        </w:tc>
      </w:tr>
      <w:tr w:rsidR="00E84618" w:rsidRPr="00045846" w:rsidTr="00E84618">
        <w:tc>
          <w:tcPr>
            <w:tcW w:w="7905" w:type="dxa"/>
          </w:tcPr>
          <w:p w:rsidR="00E84618" w:rsidRPr="00045846" w:rsidRDefault="00E84618" w:rsidP="00E84618">
            <w:pPr>
              <w:rPr>
                <w:b/>
              </w:rPr>
            </w:pPr>
            <w:r w:rsidRPr="00045846">
              <w:rPr>
                <w:b/>
              </w:rPr>
              <w:t xml:space="preserve">II. Приходи от съдебни такси </w:t>
            </w:r>
          </w:p>
        </w:tc>
        <w:tc>
          <w:tcPr>
            <w:tcW w:w="1290" w:type="dxa"/>
          </w:tcPr>
          <w:p w:rsidR="00E84618" w:rsidRPr="00D57054" w:rsidRDefault="00E84618" w:rsidP="00D57054">
            <w:pPr>
              <w:jc w:val="center"/>
              <w:rPr>
                <w:b/>
                <w:lang w:val="en-US"/>
              </w:rPr>
            </w:pPr>
            <w:r w:rsidRPr="00045846">
              <w:rPr>
                <w:b/>
              </w:rPr>
              <w:t>1</w:t>
            </w:r>
            <w:r w:rsidR="00D57054">
              <w:rPr>
                <w:b/>
                <w:lang w:val="en-US"/>
              </w:rPr>
              <w:t>2</w:t>
            </w:r>
          </w:p>
        </w:tc>
      </w:tr>
      <w:tr w:rsidR="00E84618" w:rsidRPr="008D3E53" w:rsidTr="00E84618">
        <w:tc>
          <w:tcPr>
            <w:tcW w:w="7905" w:type="dxa"/>
          </w:tcPr>
          <w:p w:rsidR="00E84618" w:rsidRPr="008D3E53" w:rsidRDefault="00E84618" w:rsidP="00E84618">
            <w:r w:rsidRPr="00376EB4">
              <w:t>1. Съдебни такси по граждански дела</w:t>
            </w:r>
          </w:p>
        </w:tc>
        <w:tc>
          <w:tcPr>
            <w:tcW w:w="1290" w:type="dxa"/>
          </w:tcPr>
          <w:p w:rsidR="00E84618" w:rsidRPr="008D3E53" w:rsidRDefault="00E84618" w:rsidP="00E84618">
            <w:pPr>
              <w:jc w:val="center"/>
            </w:pPr>
            <w:r>
              <w:t>13</w:t>
            </w:r>
          </w:p>
        </w:tc>
      </w:tr>
      <w:tr w:rsidR="00E84618" w:rsidRPr="008D3E53" w:rsidTr="00E84618">
        <w:tc>
          <w:tcPr>
            <w:tcW w:w="7905" w:type="dxa"/>
          </w:tcPr>
          <w:p w:rsidR="00E84618" w:rsidRPr="008D3E53" w:rsidRDefault="00E84618" w:rsidP="00E84618">
            <w:r w:rsidRPr="00D463B1">
              <w:t>2. Съдебни такси по наказателни дела от частен характер</w:t>
            </w:r>
          </w:p>
        </w:tc>
        <w:tc>
          <w:tcPr>
            <w:tcW w:w="1290" w:type="dxa"/>
          </w:tcPr>
          <w:p w:rsidR="00E84618" w:rsidRPr="000B5150" w:rsidRDefault="00E84618" w:rsidP="000B5150">
            <w:pPr>
              <w:jc w:val="center"/>
              <w:rPr>
                <w:lang w:val="en-US"/>
              </w:rPr>
            </w:pPr>
            <w:r>
              <w:t>1</w:t>
            </w:r>
            <w:r w:rsidR="000B5150">
              <w:rPr>
                <w:lang w:val="en-US"/>
              </w:rPr>
              <w:t>4</w:t>
            </w:r>
          </w:p>
        </w:tc>
      </w:tr>
      <w:tr w:rsidR="00E84618" w:rsidRPr="008D3E53" w:rsidTr="00E84618">
        <w:tc>
          <w:tcPr>
            <w:tcW w:w="7905" w:type="dxa"/>
          </w:tcPr>
          <w:p w:rsidR="00E84618" w:rsidRPr="008D3E53" w:rsidRDefault="00E84618" w:rsidP="00E84618">
            <w:r w:rsidRPr="00D463B1">
              <w:t>3. Съдебни такси по изпълнителни дела</w:t>
            </w:r>
          </w:p>
        </w:tc>
        <w:tc>
          <w:tcPr>
            <w:tcW w:w="1290" w:type="dxa"/>
          </w:tcPr>
          <w:p w:rsidR="00E84618" w:rsidRPr="00D57054" w:rsidRDefault="00E84618" w:rsidP="00D57054">
            <w:pPr>
              <w:jc w:val="center"/>
              <w:rPr>
                <w:lang w:val="en-US"/>
              </w:rPr>
            </w:pPr>
            <w:r>
              <w:t>1</w:t>
            </w:r>
            <w:r w:rsidR="00D57054">
              <w:rPr>
                <w:lang w:val="en-US"/>
              </w:rPr>
              <w:t>4</w:t>
            </w:r>
          </w:p>
        </w:tc>
      </w:tr>
      <w:tr w:rsidR="00E84618" w:rsidRPr="008D3E53" w:rsidTr="00E84618">
        <w:tc>
          <w:tcPr>
            <w:tcW w:w="7905" w:type="dxa"/>
          </w:tcPr>
          <w:p w:rsidR="00E84618" w:rsidRPr="008D3E53" w:rsidRDefault="00E84618" w:rsidP="00E84618">
            <w:r w:rsidRPr="00600EB6">
              <w:t>4. Контрол по правилното определяне и събиране на таксите</w:t>
            </w:r>
          </w:p>
        </w:tc>
        <w:tc>
          <w:tcPr>
            <w:tcW w:w="1290" w:type="dxa"/>
          </w:tcPr>
          <w:p w:rsidR="00E84618" w:rsidRPr="000B5150" w:rsidRDefault="00E84618" w:rsidP="000B5150">
            <w:pPr>
              <w:jc w:val="center"/>
              <w:rPr>
                <w:lang w:val="en-US"/>
              </w:rPr>
            </w:pPr>
            <w:r>
              <w:t>1</w:t>
            </w:r>
            <w:r w:rsidR="000B5150">
              <w:rPr>
                <w:lang w:val="en-US"/>
              </w:rPr>
              <w:t>5</w:t>
            </w:r>
          </w:p>
        </w:tc>
      </w:tr>
      <w:tr w:rsidR="00E84618" w:rsidRPr="00045846" w:rsidTr="00E84618">
        <w:tc>
          <w:tcPr>
            <w:tcW w:w="7905" w:type="dxa"/>
          </w:tcPr>
          <w:p w:rsidR="00E84618" w:rsidRPr="00045846" w:rsidRDefault="00E84618" w:rsidP="00E84618">
            <w:pPr>
              <w:rPr>
                <w:b/>
              </w:rPr>
            </w:pPr>
            <w:r w:rsidRPr="00045846">
              <w:rPr>
                <w:b/>
              </w:rPr>
              <w:t xml:space="preserve">ІІІ. Разходи за заплати, възнаграждения и други плащания за персонала </w:t>
            </w:r>
          </w:p>
        </w:tc>
        <w:tc>
          <w:tcPr>
            <w:tcW w:w="1290" w:type="dxa"/>
          </w:tcPr>
          <w:p w:rsidR="00E84618" w:rsidRPr="00D57054" w:rsidRDefault="00E84618" w:rsidP="00D57054">
            <w:pPr>
              <w:jc w:val="center"/>
              <w:rPr>
                <w:b/>
                <w:lang w:val="en-US"/>
              </w:rPr>
            </w:pPr>
            <w:r w:rsidRPr="00045846">
              <w:rPr>
                <w:b/>
              </w:rPr>
              <w:t>1</w:t>
            </w:r>
            <w:r w:rsidR="00D57054">
              <w:rPr>
                <w:b/>
                <w:lang w:val="en-US"/>
              </w:rPr>
              <w:t>5</w:t>
            </w:r>
          </w:p>
        </w:tc>
      </w:tr>
      <w:tr w:rsidR="00E84618" w:rsidRPr="008D3E53" w:rsidTr="00E84618">
        <w:tc>
          <w:tcPr>
            <w:tcW w:w="7905" w:type="dxa"/>
          </w:tcPr>
          <w:p w:rsidR="00E84618" w:rsidRPr="008D3E53" w:rsidRDefault="00E84618" w:rsidP="00E84618">
            <w:r w:rsidRPr="00600EB6">
              <w:t>1. Разходи за заплати</w:t>
            </w:r>
          </w:p>
        </w:tc>
        <w:tc>
          <w:tcPr>
            <w:tcW w:w="1290" w:type="dxa"/>
          </w:tcPr>
          <w:p w:rsidR="00E84618" w:rsidRPr="000B5150" w:rsidRDefault="00E84618" w:rsidP="000B5150">
            <w:pPr>
              <w:jc w:val="center"/>
              <w:rPr>
                <w:lang w:val="en-US"/>
              </w:rPr>
            </w:pPr>
            <w:r>
              <w:t>1</w:t>
            </w:r>
            <w:r w:rsidR="000B5150">
              <w:rPr>
                <w:lang w:val="en-US"/>
              </w:rPr>
              <w:t>6</w:t>
            </w:r>
          </w:p>
        </w:tc>
      </w:tr>
      <w:tr w:rsidR="00E84618" w:rsidRPr="008D3E53" w:rsidTr="00E84618">
        <w:tc>
          <w:tcPr>
            <w:tcW w:w="7905" w:type="dxa"/>
          </w:tcPr>
          <w:p w:rsidR="00E84618" w:rsidRPr="008D3E53" w:rsidRDefault="00E84618" w:rsidP="00E84618">
            <w:r w:rsidRPr="00D973A9">
              <w:t>2. Допълнителни възнаграждения и фонд СБКО</w:t>
            </w:r>
          </w:p>
        </w:tc>
        <w:tc>
          <w:tcPr>
            <w:tcW w:w="1290" w:type="dxa"/>
          </w:tcPr>
          <w:p w:rsidR="00E84618" w:rsidRPr="008D3E53" w:rsidRDefault="00E84618" w:rsidP="00E84618">
            <w:pPr>
              <w:jc w:val="center"/>
            </w:pPr>
            <w:r>
              <w:t>16</w:t>
            </w:r>
          </w:p>
        </w:tc>
      </w:tr>
      <w:tr w:rsidR="00E84618" w:rsidRPr="008D3E53" w:rsidTr="00E84618">
        <w:tc>
          <w:tcPr>
            <w:tcW w:w="7905" w:type="dxa"/>
          </w:tcPr>
          <w:p w:rsidR="00E84618" w:rsidRPr="008D3E53" w:rsidRDefault="00E84618" w:rsidP="00E84618">
            <w:r w:rsidRPr="00675287">
              <w:t>3. Договори с физически лица</w:t>
            </w:r>
          </w:p>
        </w:tc>
        <w:tc>
          <w:tcPr>
            <w:tcW w:w="1290" w:type="dxa"/>
          </w:tcPr>
          <w:p w:rsidR="00E84618" w:rsidRPr="00D57054" w:rsidRDefault="00E84618" w:rsidP="00D57054">
            <w:pPr>
              <w:jc w:val="center"/>
              <w:rPr>
                <w:lang w:val="en-US"/>
              </w:rPr>
            </w:pPr>
            <w:r>
              <w:t>1</w:t>
            </w:r>
            <w:r w:rsidR="00D57054">
              <w:rPr>
                <w:lang w:val="en-US"/>
              </w:rPr>
              <w:t>7</w:t>
            </w:r>
          </w:p>
        </w:tc>
      </w:tr>
      <w:tr w:rsidR="00E84618" w:rsidRPr="008D3E53" w:rsidTr="00E84618">
        <w:tc>
          <w:tcPr>
            <w:tcW w:w="7905" w:type="dxa"/>
          </w:tcPr>
          <w:p w:rsidR="00E84618" w:rsidRPr="008D3E53" w:rsidRDefault="00E84618" w:rsidP="00E84618">
            <w:r w:rsidRPr="00675287">
              <w:t>4. Извънреден труд</w:t>
            </w:r>
          </w:p>
        </w:tc>
        <w:tc>
          <w:tcPr>
            <w:tcW w:w="1290" w:type="dxa"/>
          </w:tcPr>
          <w:p w:rsidR="00E84618" w:rsidRPr="000B5150" w:rsidRDefault="000B5150" w:rsidP="00E84618">
            <w:pPr>
              <w:jc w:val="center"/>
              <w:rPr>
                <w:lang w:val="en-US"/>
              </w:rPr>
            </w:pPr>
            <w:r>
              <w:t>1</w:t>
            </w:r>
            <w:r>
              <w:rPr>
                <w:lang w:val="en-US"/>
              </w:rPr>
              <w:t>8</w:t>
            </w:r>
          </w:p>
        </w:tc>
      </w:tr>
      <w:tr w:rsidR="00E84618" w:rsidRPr="00045846" w:rsidTr="00E84618">
        <w:tc>
          <w:tcPr>
            <w:tcW w:w="7905" w:type="dxa"/>
          </w:tcPr>
          <w:p w:rsidR="00E84618" w:rsidRPr="00045846" w:rsidRDefault="00E84618" w:rsidP="00E84618">
            <w:pPr>
              <w:rPr>
                <w:b/>
              </w:rPr>
            </w:pPr>
            <w:r w:rsidRPr="00045846">
              <w:rPr>
                <w:b/>
              </w:rPr>
              <w:t>ІV. Разходи за вещи лица</w:t>
            </w:r>
          </w:p>
        </w:tc>
        <w:tc>
          <w:tcPr>
            <w:tcW w:w="1290" w:type="dxa"/>
          </w:tcPr>
          <w:p w:rsidR="00E84618" w:rsidRPr="00045846" w:rsidRDefault="00E84618" w:rsidP="00E84618">
            <w:pPr>
              <w:jc w:val="center"/>
              <w:rPr>
                <w:b/>
              </w:rPr>
            </w:pPr>
            <w:r w:rsidRPr="00045846">
              <w:rPr>
                <w:b/>
              </w:rPr>
              <w:t>19</w:t>
            </w:r>
          </w:p>
        </w:tc>
      </w:tr>
      <w:tr w:rsidR="00E84618" w:rsidRPr="008D3E53" w:rsidTr="00E84618">
        <w:tc>
          <w:tcPr>
            <w:tcW w:w="7905" w:type="dxa"/>
          </w:tcPr>
          <w:p w:rsidR="00E84618" w:rsidRPr="008D3E53" w:rsidRDefault="00E84618" w:rsidP="00E84618">
            <w:r w:rsidRPr="008D3E53">
              <w:t>1.Описание на дейността, правна рамка</w:t>
            </w:r>
          </w:p>
        </w:tc>
        <w:tc>
          <w:tcPr>
            <w:tcW w:w="1290" w:type="dxa"/>
          </w:tcPr>
          <w:p w:rsidR="00E84618" w:rsidRPr="008D3E53" w:rsidRDefault="00E84618" w:rsidP="00E84618">
            <w:pPr>
              <w:jc w:val="center"/>
            </w:pPr>
            <w:r>
              <w:t>19</w:t>
            </w:r>
          </w:p>
        </w:tc>
      </w:tr>
      <w:tr w:rsidR="00E84618" w:rsidRPr="008D3E53" w:rsidTr="00E84618">
        <w:tc>
          <w:tcPr>
            <w:tcW w:w="7905" w:type="dxa"/>
          </w:tcPr>
          <w:p w:rsidR="00E84618" w:rsidRPr="008D3E53" w:rsidRDefault="00E84618" w:rsidP="00E84618">
            <w:r w:rsidRPr="006A7359">
              <w:t>2. Разходи за вещи лица</w:t>
            </w:r>
          </w:p>
        </w:tc>
        <w:tc>
          <w:tcPr>
            <w:tcW w:w="1290" w:type="dxa"/>
          </w:tcPr>
          <w:p w:rsidR="00E84618" w:rsidRPr="008D3E53" w:rsidRDefault="00E84618" w:rsidP="00E84618">
            <w:pPr>
              <w:jc w:val="center"/>
            </w:pPr>
            <w:r>
              <w:t>20</w:t>
            </w:r>
          </w:p>
        </w:tc>
      </w:tr>
      <w:tr w:rsidR="00E84618" w:rsidRPr="008D3E53" w:rsidTr="00E84618">
        <w:tc>
          <w:tcPr>
            <w:tcW w:w="7905" w:type="dxa"/>
          </w:tcPr>
          <w:p w:rsidR="00E84618" w:rsidRPr="008D3E53" w:rsidRDefault="00E84618" w:rsidP="00E84618">
            <w:r w:rsidRPr="006A7359">
              <w:t xml:space="preserve">3. Отчитане на възнагражденията на вещите лица </w:t>
            </w:r>
          </w:p>
        </w:tc>
        <w:tc>
          <w:tcPr>
            <w:tcW w:w="1290" w:type="dxa"/>
          </w:tcPr>
          <w:p w:rsidR="00E84618" w:rsidRPr="00D57054" w:rsidRDefault="00D57054" w:rsidP="00AF0EC5">
            <w:pPr>
              <w:jc w:val="center"/>
              <w:rPr>
                <w:lang w:val="en-US"/>
              </w:rPr>
            </w:pPr>
            <w:r>
              <w:rPr>
                <w:lang w:val="en-US"/>
              </w:rPr>
              <w:t>2</w:t>
            </w:r>
            <w:r w:rsidR="00AF0EC5">
              <w:rPr>
                <w:lang w:val="en-US"/>
              </w:rPr>
              <w:t>1</w:t>
            </w:r>
          </w:p>
        </w:tc>
      </w:tr>
      <w:tr w:rsidR="00E84618" w:rsidRPr="008D3E53" w:rsidTr="00E84618">
        <w:tc>
          <w:tcPr>
            <w:tcW w:w="7905" w:type="dxa"/>
          </w:tcPr>
          <w:p w:rsidR="00E84618" w:rsidRPr="008D3E53" w:rsidRDefault="00E84618" w:rsidP="00E84618">
            <w:r w:rsidRPr="00EA7F5A">
              <w:t>4. Изплащане на възнагражденията</w:t>
            </w:r>
          </w:p>
        </w:tc>
        <w:tc>
          <w:tcPr>
            <w:tcW w:w="1290" w:type="dxa"/>
          </w:tcPr>
          <w:p w:rsidR="00E84618" w:rsidRPr="00AF0EC5" w:rsidRDefault="00E84618" w:rsidP="00AF0EC5">
            <w:pPr>
              <w:jc w:val="center"/>
              <w:rPr>
                <w:lang w:val="en-US"/>
              </w:rPr>
            </w:pPr>
            <w:r>
              <w:t>2</w:t>
            </w:r>
            <w:r w:rsidR="00AF0EC5">
              <w:rPr>
                <w:lang w:val="en-US"/>
              </w:rPr>
              <w:t>3</w:t>
            </w:r>
          </w:p>
        </w:tc>
      </w:tr>
      <w:tr w:rsidR="00E84618" w:rsidRPr="00EA7F5A" w:rsidTr="00E84618">
        <w:tc>
          <w:tcPr>
            <w:tcW w:w="7905" w:type="dxa"/>
          </w:tcPr>
          <w:p w:rsidR="00E84618" w:rsidRPr="00EA7F5A" w:rsidRDefault="00E84618" w:rsidP="00E84618">
            <w:r w:rsidRPr="00EA7F5A">
              <w:t>5. Предварителен контрол за законосъобразност и система на двоен подпис при плащанията на вещи лица</w:t>
            </w:r>
          </w:p>
        </w:tc>
        <w:tc>
          <w:tcPr>
            <w:tcW w:w="1290" w:type="dxa"/>
          </w:tcPr>
          <w:p w:rsidR="00E84618" w:rsidRPr="00D57054" w:rsidRDefault="00E84618" w:rsidP="00D57054">
            <w:pPr>
              <w:jc w:val="center"/>
              <w:rPr>
                <w:lang w:val="en-US"/>
              </w:rPr>
            </w:pPr>
            <w:r w:rsidRPr="00EA7F5A">
              <w:t>2</w:t>
            </w:r>
            <w:r w:rsidR="00D57054">
              <w:rPr>
                <w:lang w:val="en-US"/>
              </w:rPr>
              <w:t>4</w:t>
            </w:r>
          </w:p>
        </w:tc>
      </w:tr>
      <w:tr w:rsidR="00E84618" w:rsidRPr="00045846" w:rsidTr="00E84618">
        <w:tc>
          <w:tcPr>
            <w:tcW w:w="7905" w:type="dxa"/>
          </w:tcPr>
          <w:p w:rsidR="00E84618" w:rsidRPr="00045846" w:rsidRDefault="00E84618" w:rsidP="00E84618">
            <w:pPr>
              <w:rPr>
                <w:b/>
              </w:rPr>
            </w:pPr>
            <w:r w:rsidRPr="00045846">
              <w:rPr>
                <w:b/>
              </w:rPr>
              <w:t>V. Обществени поръчки</w:t>
            </w:r>
          </w:p>
        </w:tc>
        <w:tc>
          <w:tcPr>
            <w:tcW w:w="1290" w:type="dxa"/>
          </w:tcPr>
          <w:p w:rsidR="00E84618" w:rsidRPr="00D57054" w:rsidRDefault="00E84618" w:rsidP="00D57054">
            <w:pPr>
              <w:jc w:val="center"/>
              <w:rPr>
                <w:b/>
                <w:lang w:val="en-US"/>
              </w:rPr>
            </w:pPr>
            <w:r w:rsidRPr="00045846">
              <w:rPr>
                <w:b/>
              </w:rPr>
              <w:t>2</w:t>
            </w:r>
            <w:r w:rsidR="00D57054">
              <w:rPr>
                <w:b/>
                <w:lang w:val="en-US"/>
              </w:rPr>
              <w:t>6</w:t>
            </w:r>
          </w:p>
        </w:tc>
      </w:tr>
      <w:tr w:rsidR="00E84618" w:rsidRPr="008D3E53" w:rsidTr="00E84618">
        <w:tc>
          <w:tcPr>
            <w:tcW w:w="7905" w:type="dxa"/>
          </w:tcPr>
          <w:p w:rsidR="00E84618" w:rsidRPr="008D3E53" w:rsidRDefault="00E84618" w:rsidP="00E84618">
            <w:r w:rsidRPr="008D3E53">
              <w:t>1. Обща информация</w:t>
            </w:r>
          </w:p>
        </w:tc>
        <w:tc>
          <w:tcPr>
            <w:tcW w:w="1290" w:type="dxa"/>
          </w:tcPr>
          <w:p w:rsidR="00E84618" w:rsidRPr="00D57054" w:rsidRDefault="00E84618" w:rsidP="00D57054">
            <w:pPr>
              <w:jc w:val="center"/>
              <w:rPr>
                <w:lang w:val="en-US"/>
              </w:rPr>
            </w:pPr>
            <w:r>
              <w:t>2</w:t>
            </w:r>
            <w:r w:rsidR="00D57054">
              <w:rPr>
                <w:lang w:val="en-US"/>
              </w:rPr>
              <w:t>6</w:t>
            </w:r>
          </w:p>
        </w:tc>
      </w:tr>
      <w:tr w:rsidR="00E84618" w:rsidRPr="008D3E53" w:rsidTr="00E84618">
        <w:tc>
          <w:tcPr>
            <w:tcW w:w="7905" w:type="dxa"/>
          </w:tcPr>
          <w:p w:rsidR="00E84618" w:rsidRPr="008D3E53" w:rsidRDefault="00E84618" w:rsidP="00E84618">
            <w:r>
              <w:t>2. Вътрешни актове</w:t>
            </w:r>
          </w:p>
        </w:tc>
        <w:tc>
          <w:tcPr>
            <w:tcW w:w="1290" w:type="dxa"/>
          </w:tcPr>
          <w:p w:rsidR="00E84618" w:rsidRPr="000B5150" w:rsidRDefault="000B5150" w:rsidP="00E84618">
            <w:pPr>
              <w:jc w:val="center"/>
              <w:rPr>
                <w:lang w:val="en-US"/>
              </w:rPr>
            </w:pPr>
            <w:r>
              <w:t>2</w:t>
            </w:r>
            <w:r>
              <w:rPr>
                <w:lang w:val="en-US"/>
              </w:rPr>
              <w:t>7</w:t>
            </w:r>
          </w:p>
        </w:tc>
      </w:tr>
      <w:tr w:rsidR="00E84618" w:rsidRPr="008D3E53" w:rsidTr="00E84618">
        <w:tc>
          <w:tcPr>
            <w:tcW w:w="7905" w:type="dxa"/>
          </w:tcPr>
          <w:p w:rsidR="00E84618" w:rsidRPr="008D3E53" w:rsidRDefault="00E84618" w:rsidP="00E84618">
            <w:r w:rsidRPr="008D3E53">
              <w:t>3. Планиране на обществените поръчки  за 2014 г.</w:t>
            </w:r>
          </w:p>
        </w:tc>
        <w:tc>
          <w:tcPr>
            <w:tcW w:w="1290" w:type="dxa"/>
          </w:tcPr>
          <w:p w:rsidR="00E84618" w:rsidRPr="00D57054" w:rsidRDefault="00E84618" w:rsidP="00D57054">
            <w:pPr>
              <w:jc w:val="center"/>
              <w:rPr>
                <w:lang w:val="en-US"/>
              </w:rPr>
            </w:pPr>
            <w:r>
              <w:t>2</w:t>
            </w:r>
            <w:r w:rsidR="00D57054">
              <w:rPr>
                <w:lang w:val="en-US"/>
              </w:rPr>
              <w:t>8</w:t>
            </w:r>
          </w:p>
        </w:tc>
      </w:tr>
      <w:tr w:rsidR="00E84618" w:rsidRPr="008D3E53" w:rsidTr="00E84618">
        <w:tc>
          <w:tcPr>
            <w:tcW w:w="7905" w:type="dxa"/>
          </w:tcPr>
          <w:p w:rsidR="00E84618" w:rsidRPr="008D3E53" w:rsidRDefault="00E84618" w:rsidP="00E84618">
            <w:r w:rsidRPr="008D3E53">
              <w:t xml:space="preserve">4. Проведени процедури по ЗОП </w:t>
            </w:r>
            <w:r w:rsidR="000B5150" w:rsidRPr="008D3E53">
              <w:t>(отм.)</w:t>
            </w:r>
          </w:p>
        </w:tc>
        <w:tc>
          <w:tcPr>
            <w:tcW w:w="1290" w:type="dxa"/>
          </w:tcPr>
          <w:p w:rsidR="00E84618" w:rsidRPr="000B5150" w:rsidRDefault="000B5150" w:rsidP="00AF0EC5">
            <w:pPr>
              <w:jc w:val="center"/>
              <w:rPr>
                <w:lang w:val="en-US"/>
              </w:rPr>
            </w:pPr>
            <w:r>
              <w:rPr>
                <w:lang w:val="en-US"/>
              </w:rPr>
              <w:t>2</w:t>
            </w:r>
            <w:r w:rsidR="00AF0EC5">
              <w:rPr>
                <w:lang w:val="en-US"/>
              </w:rPr>
              <w:t>9</w:t>
            </w:r>
          </w:p>
        </w:tc>
      </w:tr>
      <w:tr w:rsidR="00E84618" w:rsidRPr="008D3E53" w:rsidTr="00E84618">
        <w:tc>
          <w:tcPr>
            <w:tcW w:w="7905" w:type="dxa"/>
          </w:tcPr>
          <w:p w:rsidR="00E84618" w:rsidRPr="008D3E53" w:rsidRDefault="00E84618" w:rsidP="00E84618">
            <w:r w:rsidRPr="008D3E53">
              <w:t>5. Публични покани</w:t>
            </w:r>
          </w:p>
        </w:tc>
        <w:tc>
          <w:tcPr>
            <w:tcW w:w="1290" w:type="dxa"/>
          </w:tcPr>
          <w:p w:rsidR="00E84618" w:rsidRPr="008D3E53" w:rsidRDefault="00E84618" w:rsidP="00E84618">
            <w:pPr>
              <w:jc w:val="center"/>
            </w:pPr>
            <w:r>
              <w:t>34</w:t>
            </w:r>
          </w:p>
        </w:tc>
      </w:tr>
      <w:tr w:rsidR="00E84618" w:rsidRPr="008D3E53" w:rsidTr="00E84618">
        <w:tc>
          <w:tcPr>
            <w:tcW w:w="7905" w:type="dxa"/>
          </w:tcPr>
          <w:p w:rsidR="00E84618" w:rsidRPr="008D3E53" w:rsidRDefault="00E84618" w:rsidP="00E84618">
            <w:r w:rsidRPr="00045846">
              <w:t>6. Изпълнение на договорите, сключени въз основа на проведени процедури по ЗОП (отм.)</w:t>
            </w:r>
          </w:p>
        </w:tc>
        <w:tc>
          <w:tcPr>
            <w:tcW w:w="1290" w:type="dxa"/>
          </w:tcPr>
          <w:p w:rsidR="00E84618" w:rsidRPr="008D3E53" w:rsidRDefault="00E84618" w:rsidP="00E84618">
            <w:pPr>
              <w:jc w:val="center"/>
            </w:pPr>
            <w:r>
              <w:t>36</w:t>
            </w:r>
          </w:p>
        </w:tc>
      </w:tr>
      <w:tr w:rsidR="00E84618" w:rsidRPr="00045846" w:rsidTr="00E84618">
        <w:tc>
          <w:tcPr>
            <w:tcW w:w="7905" w:type="dxa"/>
          </w:tcPr>
          <w:p w:rsidR="00E84618" w:rsidRPr="00045846" w:rsidRDefault="00E84618" w:rsidP="00E84618">
            <w:r w:rsidRPr="00045846">
              <w:t>7. Изпълнение на договори, сключени въз основа на възлагане чрез публични покани</w:t>
            </w:r>
          </w:p>
        </w:tc>
        <w:tc>
          <w:tcPr>
            <w:tcW w:w="1290" w:type="dxa"/>
          </w:tcPr>
          <w:p w:rsidR="00E84618" w:rsidRPr="00045846" w:rsidRDefault="00E84618" w:rsidP="00E84618">
            <w:pPr>
              <w:jc w:val="center"/>
            </w:pPr>
            <w:r>
              <w:t>38</w:t>
            </w:r>
          </w:p>
        </w:tc>
      </w:tr>
      <w:tr w:rsidR="00E84618" w:rsidRPr="00045846" w:rsidTr="00E84618">
        <w:tc>
          <w:tcPr>
            <w:tcW w:w="7905" w:type="dxa"/>
          </w:tcPr>
          <w:p w:rsidR="00E84618" w:rsidRPr="00045846" w:rsidRDefault="00E84618" w:rsidP="00230A0D">
            <w:pPr>
              <w:rPr>
                <w:b/>
              </w:rPr>
            </w:pPr>
            <w:r w:rsidRPr="00045846">
              <w:rPr>
                <w:b/>
              </w:rPr>
              <w:lastRenderedPageBreak/>
              <w:t>Част четвърта</w:t>
            </w:r>
            <w:r w:rsidR="00230A0D">
              <w:rPr>
                <w:b/>
                <w:lang w:val="en-US"/>
              </w:rPr>
              <w:t xml:space="preserve"> </w:t>
            </w:r>
            <w:r w:rsidRPr="00045846">
              <w:rPr>
                <w:b/>
              </w:rPr>
              <w:t>ЗАКЛЮЧЕНИЕ</w:t>
            </w:r>
          </w:p>
        </w:tc>
        <w:tc>
          <w:tcPr>
            <w:tcW w:w="1290" w:type="dxa"/>
          </w:tcPr>
          <w:p w:rsidR="00E84618" w:rsidRPr="00045846" w:rsidRDefault="00E84618" w:rsidP="00E84618">
            <w:pPr>
              <w:jc w:val="center"/>
              <w:rPr>
                <w:b/>
              </w:rPr>
            </w:pPr>
            <w:r w:rsidRPr="00045846">
              <w:rPr>
                <w:b/>
              </w:rPr>
              <w:t>39</w:t>
            </w:r>
          </w:p>
        </w:tc>
      </w:tr>
      <w:tr w:rsidR="00E84618" w:rsidRPr="00045846" w:rsidTr="00E84618">
        <w:tc>
          <w:tcPr>
            <w:tcW w:w="7905" w:type="dxa"/>
          </w:tcPr>
          <w:p w:rsidR="00E84618" w:rsidRPr="00045846" w:rsidRDefault="00E84618" w:rsidP="00230A0D">
            <w:pPr>
              <w:rPr>
                <w:b/>
              </w:rPr>
            </w:pPr>
            <w:r w:rsidRPr="00045846">
              <w:rPr>
                <w:b/>
              </w:rPr>
              <w:t>Част пета ПРЕПОРЪКИ</w:t>
            </w:r>
          </w:p>
        </w:tc>
        <w:tc>
          <w:tcPr>
            <w:tcW w:w="1290" w:type="dxa"/>
          </w:tcPr>
          <w:p w:rsidR="00E84618" w:rsidRPr="00D57054" w:rsidRDefault="00E84618" w:rsidP="00D57054">
            <w:pPr>
              <w:jc w:val="center"/>
              <w:rPr>
                <w:b/>
                <w:lang w:val="en-US"/>
              </w:rPr>
            </w:pPr>
            <w:r>
              <w:rPr>
                <w:b/>
              </w:rPr>
              <w:t>4</w:t>
            </w:r>
            <w:r w:rsidR="00D57054">
              <w:rPr>
                <w:b/>
                <w:lang w:val="en-US"/>
              </w:rPr>
              <w:t>0</w:t>
            </w:r>
          </w:p>
        </w:tc>
      </w:tr>
      <w:tr w:rsidR="00E84618" w:rsidRPr="00045846" w:rsidTr="00E84618">
        <w:tc>
          <w:tcPr>
            <w:tcW w:w="7905" w:type="dxa"/>
          </w:tcPr>
          <w:p w:rsidR="00E84618" w:rsidRPr="00045846" w:rsidRDefault="00E84618" w:rsidP="00230A0D">
            <w:pPr>
              <w:rPr>
                <w:b/>
              </w:rPr>
            </w:pPr>
            <w:r>
              <w:rPr>
                <w:b/>
              </w:rPr>
              <w:t>Част ш</w:t>
            </w:r>
            <w:r w:rsidRPr="00045846">
              <w:rPr>
                <w:b/>
              </w:rPr>
              <w:t>еста</w:t>
            </w:r>
            <w:r w:rsidR="00230A0D">
              <w:rPr>
                <w:b/>
                <w:lang w:val="en-US"/>
              </w:rPr>
              <w:t xml:space="preserve"> </w:t>
            </w:r>
            <w:r w:rsidRPr="00045846">
              <w:rPr>
                <w:b/>
              </w:rPr>
              <w:t>Отговори на одитираната организация</w:t>
            </w:r>
          </w:p>
        </w:tc>
        <w:tc>
          <w:tcPr>
            <w:tcW w:w="1290" w:type="dxa"/>
          </w:tcPr>
          <w:p w:rsidR="00E84618" w:rsidRPr="00045846" w:rsidRDefault="00E84618" w:rsidP="00E84618">
            <w:pPr>
              <w:jc w:val="center"/>
              <w:rPr>
                <w:b/>
              </w:rPr>
            </w:pPr>
            <w:r>
              <w:rPr>
                <w:b/>
              </w:rPr>
              <w:t>41</w:t>
            </w:r>
          </w:p>
        </w:tc>
      </w:tr>
      <w:tr w:rsidR="00E84618" w:rsidRPr="00045846" w:rsidTr="00E84618">
        <w:tc>
          <w:tcPr>
            <w:tcW w:w="7905" w:type="dxa"/>
          </w:tcPr>
          <w:p w:rsidR="00E84618" w:rsidRPr="00045846" w:rsidRDefault="00E84618" w:rsidP="00E84618">
            <w:pPr>
              <w:rPr>
                <w:b/>
              </w:rPr>
            </w:pPr>
            <w:r w:rsidRPr="00045846">
              <w:rPr>
                <w:b/>
              </w:rPr>
              <w:t>Опис на одитните доказателства</w:t>
            </w:r>
          </w:p>
        </w:tc>
        <w:tc>
          <w:tcPr>
            <w:tcW w:w="1290" w:type="dxa"/>
          </w:tcPr>
          <w:p w:rsidR="00E84618" w:rsidRPr="00D57054" w:rsidRDefault="00E84618" w:rsidP="00D57054">
            <w:pPr>
              <w:jc w:val="center"/>
              <w:rPr>
                <w:b/>
                <w:lang w:val="en-US"/>
              </w:rPr>
            </w:pPr>
            <w:r>
              <w:rPr>
                <w:b/>
              </w:rPr>
              <w:t>4</w:t>
            </w:r>
            <w:r w:rsidR="00D57054">
              <w:rPr>
                <w:b/>
                <w:lang w:val="en-US"/>
              </w:rPr>
              <w:t>2</w:t>
            </w:r>
          </w:p>
        </w:tc>
      </w:tr>
    </w:tbl>
    <w:p w:rsidR="00333666" w:rsidRPr="002C5AC6" w:rsidRDefault="00333666" w:rsidP="00B25BD1"/>
    <w:p w:rsidR="00FB3DDD" w:rsidRPr="002C5AC6" w:rsidRDefault="00FB3DDD" w:rsidP="00A90676">
      <w:pPr>
        <w:jc w:val="center"/>
        <w:rPr>
          <w:b/>
        </w:rPr>
      </w:pPr>
      <w:r w:rsidRPr="002C5AC6">
        <w:br w:type="page"/>
      </w:r>
      <w:r w:rsidRPr="002C5AC6">
        <w:rPr>
          <w:b/>
        </w:rPr>
        <w:lastRenderedPageBreak/>
        <w:t>СПИСЪК НА СЪКРАЩЕНИЯТА</w:t>
      </w:r>
    </w:p>
    <w:p w:rsidR="00E75CAF" w:rsidRPr="002C5AC6" w:rsidRDefault="00E75CAF" w:rsidP="00A90676">
      <w:pPr>
        <w:jc w:val="center"/>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7315"/>
      </w:tblGrid>
      <w:tr w:rsidR="00FB3DDD" w:rsidRPr="002C5AC6" w:rsidTr="00B23D90">
        <w:trPr>
          <w:jc w:val="center"/>
        </w:trPr>
        <w:tc>
          <w:tcPr>
            <w:tcW w:w="2432" w:type="dxa"/>
          </w:tcPr>
          <w:p w:rsidR="00FB3DDD" w:rsidRPr="002C5AC6" w:rsidRDefault="002F38D2" w:rsidP="00B25BD1">
            <w:r w:rsidRPr="002C5AC6">
              <w:t>АОП</w:t>
            </w:r>
          </w:p>
        </w:tc>
        <w:tc>
          <w:tcPr>
            <w:tcW w:w="7315" w:type="dxa"/>
          </w:tcPr>
          <w:p w:rsidR="00FB3DDD" w:rsidRPr="002C5AC6" w:rsidRDefault="003A3711" w:rsidP="00B25BD1">
            <w:r w:rsidRPr="002C5AC6">
              <w:t>Агенция за обществени поръчки</w:t>
            </w:r>
          </w:p>
        </w:tc>
      </w:tr>
      <w:tr w:rsidR="00C32B5D" w:rsidRPr="002C5AC6" w:rsidTr="00B23D90">
        <w:trPr>
          <w:jc w:val="center"/>
        </w:trPr>
        <w:tc>
          <w:tcPr>
            <w:tcW w:w="2432" w:type="dxa"/>
          </w:tcPr>
          <w:p w:rsidR="00C32B5D" w:rsidRPr="002C5AC6" w:rsidRDefault="008763CC" w:rsidP="00B25BD1">
            <w:r w:rsidRPr="002C5AC6">
              <w:t>ВСС</w:t>
            </w:r>
            <w:r w:rsidRPr="002C5AC6" w:rsidDel="008763CC">
              <w:t xml:space="preserve"> </w:t>
            </w:r>
          </w:p>
        </w:tc>
        <w:tc>
          <w:tcPr>
            <w:tcW w:w="7315" w:type="dxa"/>
          </w:tcPr>
          <w:p w:rsidR="00C32B5D" w:rsidRPr="002C5AC6" w:rsidRDefault="008763CC" w:rsidP="00B25BD1">
            <w:r w:rsidRPr="002C5AC6">
              <w:t>Висш съдебен съвет</w:t>
            </w:r>
            <w:r w:rsidRPr="002C5AC6" w:rsidDel="008763CC">
              <w:t xml:space="preserve"> </w:t>
            </w:r>
          </w:p>
        </w:tc>
      </w:tr>
      <w:tr w:rsidR="00FB3DDD" w:rsidRPr="002C5AC6" w:rsidTr="00B23D90">
        <w:trPr>
          <w:jc w:val="center"/>
        </w:trPr>
        <w:tc>
          <w:tcPr>
            <w:tcW w:w="2432" w:type="dxa"/>
          </w:tcPr>
          <w:p w:rsidR="00FB3DDD" w:rsidRPr="002C5AC6" w:rsidRDefault="003A3711" w:rsidP="00F4259C">
            <w:r w:rsidRPr="002C5AC6">
              <w:t>ВПВОП</w:t>
            </w:r>
          </w:p>
        </w:tc>
        <w:tc>
          <w:tcPr>
            <w:tcW w:w="7315" w:type="dxa"/>
          </w:tcPr>
          <w:p w:rsidR="00FB3DDD" w:rsidRPr="002C5AC6" w:rsidRDefault="003A3711" w:rsidP="00F4259C">
            <w:r w:rsidRPr="002C5AC6">
              <w:t>Вътрешни правила за възлагане на обществени поръчки</w:t>
            </w:r>
          </w:p>
        </w:tc>
      </w:tr>
      <w:tr w:rsidR="003A3711" w:rsidRPr="002C5AC6" w:rsidTr="00B23D90">
        <w:trPr>
          <w:jc w:val="center"/>
        </w:trPr>
        <w:tc>
          <w:tcPr>
            <w:tcW w:w="2432" w:type="dxa"/>
          </w:tcPr>
          <w:p w:rsidR="003A3711" w:rsidRPr="002C5AC6" w:rsidRDefault="0039770A" w:rsidP="00F4259C">
            <w:r w:rsidRPr="002C5AC6">
              <w:t>ВПВОПУПК</w:t>
            </w:r>
          </w:p>
        </w:tc>
        <w:tc>
          <w:tcPr>
            <w:tcW w:w="7315" w:type="dxa"/>
          </w:tcPr>
          <w:p w:rsidR="003A3711" w:rsidRPr="002C5AC6" w:rsidRDefault="0042496A" w:rsidP="00F4259C">
            <w:r w:rsidRPr="002C5AC6">
              <w:t>Вътрешни правила за възлагане на обществени поръчки и управление профила на купувача</w:t>
            </w:r>
          </w:p>
        </w:tc>
      </w:tr>
      <w:tr w:rsidR="001D2479" w:rsidRPr="002C5AC6" w:rsidTr="00B23D90">
        <w:trPr>
          <w:jc w:val="center"/>
        </w:trPr>
        <w:tc>
          <w:tcPr>
            <w:tcW w:w="2432" w:type="dxa"/>
          </w:tcPr>
          <w:p w:rsidR="001D2479" w:rsidRPr="002C5AC6" w:rsidRDefault="001D2479" w:rsidP="00F4259C">
            <w:r w:rsidRPr="002C5AC6">
              <w:t xml:space="preserve">ВПОИВВЛ </w:t>
            </w:r>
          </w:p>
        </w:tc>
        <w:tc>
          <w:tcPr>
            <w:tcW w:w="7315" w:type="dxa"/>
          </w:tcPr>
          <w:p w:rsidR="001D2479" w:rsidRPr="002C5AC6" w:rsidRDefault="001D2479" w:rsidP="00F4259C">
            <w:r w:rsidRPr="002C5AC6">
              <w:t>Вътрешни правила за определяне и изплащане на възнагражденията на вещите лица</w:t>
            </w:r>
          </w:p>
        </w:tc>
      </w:tr>
      <w:tr w:rsidR="00BB73D3" w:rsidRPr="002C5AC6" w:rsidTr="00B23D90">
        <w:trPr>
          <w:jc w:val="center"/>
        </w:trPr>
        <w:tc>
          <w:tcPr>
            <w:tcW w:w="2432" w:type="dxa"/>
          </w:tcPr>
          <w:p w:rsidR="00BB73D3" w:rsidRPr="002C5AC6" w:rsidRDefault="008763CC" w:rsidP="008763CC">
            <w:r w:rsidRPr="002C5AC6">
              <w:t xml:space="preserve">ГПК </w:t>
            </w:r>
          </w:p>
        </w:tc>
        <w:tc>
          <w:tcPr>
            <w:tcW w:w="7315" w:type="dxa"/>
          </w:tcPr>
          <w:p w:rsidR="00BB73D3" w:rsidRPr="002C5AC6" w:rsidRDefault="008763CC" w:rsidP="00B25BD1">
            <w:r w:rsidRPr="002C5AC6">
              <w:t>Граждански процесуален кодекс</w:t>
            </w:r>
            <w:r w:rsidRPr="002C5AC6" w:rsidDel="008763CC">
              <w:t xml:space="preserve"> </w:t>
            </w:r>
          </w:p>
        </w:tc>
      </w:tr>
      <w:tr w:rsidR="0015312E" w:rsidRPr="002C5AC6" w:rsidTr="00B23D90">
        <w:trPr>
          <w:jc w:val="center"/>
        </w:trPr>
        <w:tc>
          <w:tcPr>
            <w:tcW w:w="2432" w:type="dxa"/>
          </w:tcPr>
          <w:p w:rsidR="0015312E" w:rsidRPr="002C5AC6" w:rsidRDefault="008763CC" w:rsidP="00B25BD1">
            <w:r w:rsidRPr="002C5AC6">
              <w:t>ДДС</w:t>
            </w:r>
          </w:p>
        </w:tc>
        <w:tc>
          <w:tcPr>
            <w:tcW w:w="7315" w:type="dxa"/>
          </w:tcPr>
          <w:p w:rsidR="0015312E" w:rsidRPr="002C5AC6" w:rsidRDefault="008763CC" w:rsidP="008763CC">
            <w:r w:rsidRPr="002C5AC6">
              <w:t xml:space="preserve">Данък добавена стойност </w:t>
            </w:r>
          </w:p>
        </w:tc>
      </w:tr>
      <w:tr w:rsidR="00BB73D3" w:rsidRPr="002C5AC6" w:rsidTr="00B23D90">
        <w:trPr>
          <w:jc w:val="center"/>
        </w:trPr>
        <w:tc>
          <w:tcPr>
            <w:tcW w:w="2432" w:type="dxa"/>
          </w:tcPr>
          <w:p w:rsidR="00BB73D3" w:rsidRPr="002C5AC6" w:rsidRDefault="008763CC" w:rsidP="00B25BD1">
            <w:r w:rsidRPr="002C5AC6">
              <w:t>ЗДТ</w:t>
            </w:r>
            <w:r w:rsidRPr="002C5AC6" w:rsidDel="008763CC">
              <w:t xml:space="preserve"> </w:t>
            </w:r>
          </w:p>
        </w:tc>
        <w:tc>
          <w:tcPr>
            <w:tcW w:w="7315" w:type="dxa"/>
          </w:tcPr>
          <w:p w:rsidR="00BB73D3" w:rsidRPr="002C5AC6" w:rsidRDefault="008763CC" w:rsidP="008763CC">
            <w:r w:rsidRPr="002C5AC6">
              <w:t>Закон за държавните такси</w:t>
            </w:r>
            <w:r w:rsidRPr="002C5AC6" w:rsidDel="008763CC">
              <w:t xml:space="preserve"> </w:t>
            </w:r>
          </w:p>
        </w:tc>
      </w:tr>
      <w:tr w:rsidR="009B5D83" w:rsidRPr="002C5AC6" w:rsidTr="00B23D90">
        <w:trPr>
          <w:jc w:val="center"/>
        </w:trPr>
        <w:tc>
          <w:tcPr>
            <w:tcW w:w="2432" w:type="dxa"/>
          </w:tcPr>
          <w:p w:rsidR="009B5D83" w:rsidRPr="002C5AC6" w:rsidRDefault="009B5D83" w:rsidP="00B25BD1">
            <w:r w:rsidRPr="002C5AC6">
              <w:rPr>
                <w:bCs/>
              </w:rPr>
              <w:t>ЗЕ</w:t>
            </w:r>
          </w:p>
        </w:tc>
        <w:tc>
          <w:tcPr>
            <w:tcW w:w="7315" w:type="dxa"/>
          </w:tcPr>
          <w:p w:rsidR="009B5D83" w:rsidRPr="002C5AC6" w:rsidRDefault="0086200F" w:rsidP="0086200F">
            <w:r w:rsidRPr="002C5AC6">
              <w:t>Закона за енергетиката</w:t>
            </w:r>
            <w:r w:rsidRPr="002C5AC6" w:rsidDel="0086200F">
              <w:t xml:space="preserve"> </w:t>
            </w:r>
          </w:p>
        </w:tc>
      </w:tr>
      <w:tr w:rsidR="0042496A" w:rsidRPr="002C5AC6" w:rsidTr="00B23D90">
        <w:trPr>
          <w:jc w:val="center"/>
        </w:trPr>
        <w:tc>
          <w:tcPr>
            <w:tcW w:w="2432" w:type="dxa"/>
          </w:tcPr>
          <w:p w:rsidR="0042496A" w:rsidRPr="002C5AC6" w:rsidRDefault="008763CC" w:rsidP="008763CC">
            <w:r w:rsidRPr="002C5AC6">
              <w:t xml:space="preserve">ЗСВ </w:t>
            </w:r>
          </w:p>
        </w:tc>
        <w:tc>
          <w:tcPr>
            <w:tcW w:w="7315" w:type="dxa"/>
          </w:tcPr>
          <w:p w:rsidR="0042496A" w:rsidRPr="002C5AC6" w:rsidRDefault="008763CC" w:rsidP="008763CC">
            <w:r w:rsidRPr="002C5AC6">
              <w:t xml:space="preserve">Закон за съдебната власт </w:t>
            </w:r>
          </w:p>
        </w:tc>
      </w:tr>
      <w:tr w:rsidR="00E1200C" w:rsidRPr="002C5AC6" w:rsidTr="00B23D90">
        <w:trPr>
          <w:jc w:val="center"/>
        </w:trPr>
        <w:tc>
          <w:tcPr>
            <w:tcW w:w="2432" w:type="dxa"/>
          </w:tcPr>
          <w:p w:rsidR="00E1200C" w:rsidRPr="002C5AC6" w:rsidRDefault="001D3B9D" w:rsidP="001D3B9D">
            <w:r w:rsidRPr="002C5AC6">
              <w:t>ЗОП (отм.)</w:t>
            </w:r>
          </w:p>
        </w:tc>
        <w:tc>
          <w:tcPr>
            <w:tcW w:w="7315" w:type="dxa"/>
          </w:tcPr>
          <w:p w:rsidR="00E1200C" w:rsidRPr="002C5AC6" w:rsidRDefault="001D3B9D" w:rsidP="00B25BD1">
            <w:r w:rsidRPr="002C5AC6">
              <w:t xml:space="preserve">Закон за обществените поръчки, отменен ДВ, бр. 13 от 16.02.2016 </w:t>
            </w:r>
            <w:r w:rsidR="00F4259C">
              <w:t>г.</w:t>
            </w:r>
          </w:p>
        </w:tc>
      </w:tr>
      <w:tr w:rsidR="005B0BA0" w:rsidRPr="002C5AC6" w:rsidTr="00B23D90">
        <w:trPr>
          <w:jc w:val="center"/>
        </w:trPr>
        <w:tc>
          <w:tcPr>
            <w:tcW w:w="2432" w:type="dxa"/>
          </w:tcPr>
          <w:p w:rsidR="005B0BA0" w:rsidRPr="002C5AC6" w:rsidRDefault="001D3B9D" w:rsidP="00B25BD1">
            <w:r w:rsidRPr="002C5AC6">
              <w:t>ЗПФ</w:t>
            </w:r>
            <w:r w:rsidRPr="002C5AC6" w:rsidDel="008763CC">
              <w:t xml:space="preserve"> </w:t>
            </w:r>
          </w:p>
        </w:tc>
        <w:tc>
          <w:tcPr>
            <w:tcW w:w="7315" w:type="dxa"/>
          </w:tcPr>
          <w:p w:rsidR="005B0BA0" w:rsidRPr="002C5AC6" w:rsidRDefault="001D3B9D" w:rsidP="00F4259C">
            <w:r w:rsidRPr="002C5AC6">
              <w:t>Закон за публичните финанси</w:t>
            </w:r>
            <w:r w:rsidR="008763CC" w:rsidRPr="002C5AC6">
              <w:t>.</w:t>
            </w:r>
          </w:p>
        </w:tc>
      </w:tr>
      <w:tr w:rsidR="0042496A" w:rsidRPr="002C5AC6" w:rsidTr="00B23D90">
        <w:trPr>
          <w:jc w:val="center"/>
        </w:trPr>
        <w:tc>
          <w:tcPr>
            <w:tcW w:w="2432" w:type="dxa"/>
          </w:tcPr>
          <w:p w:rsidR="0042496A" w:rsidRPr="002C5AC6" w:rsidRDefault="001D3B9D" w:rsidP="001D3B9D">
            <w:r w:rsidRPr="002C5AC6">
              <w:t>ЗСч (отм.)</w:t>
            </w:r>
          </w:p>
        </w:tc>
        <w:tc>
          <w:tcPr>
            <w:tcW w:w="7315" w:type="dxa"/>
          </w:tcPr>
          <w:p w:rsidR="0042496A" w:rsidRPr="002C5AC6" w:rsidRDefault="001D3B9D" w:rsidP="001D3B9D">
            <w:r w:rsidRPr="002C5AC6">
              <w:t>Закон за счетоводството, отменен ДВ, бр. 95 от 2015 г., считано от 01.01.2016 г.</w:t>
            </w:r>
          </w:p>
        </w:tc>
      </w:tr>
      <w:tr w:rsidR="00626088" w:rsidRPr="002C5AC6" w:rsidTr="00B23D90">
        <w:trPr>
          <w:jc w:val="center"/>
        </w:trPr>
        <w:tc>
          <w:tcPr>
            <w:tcW w:w="2432" w:type="dxa"/>
          </w:tcPr>
          <w:p w:rsidR="00626088" w:rsidRPr="002C5AC6" w:rsidRDefault="001D3B9D" w:rsidP="00B25BD1">
            <w:r w:rsidRPr="002C5AC6">
              <w:t>ЗФУКПС</w:t>
            </w:r>
            <w:r w:rsidRPr="002C5AC6" w:rsidDel="001D3B9D">
              <w:t xml:space="preserve"> </w:t>
            </w:r>
          </w:p>
        </w:tc>
        <w:tc>
          <w:tcPr>
            <w:tcW w:w="7315" w:type="dxa"/>
          </w:tcPr>
          <w:p w:rsidR="00626088" w:rsidRPr="002C5AC6" w:rsidRDefault="001D3B9D" w:rsidP="00096E80">
            <w:r w:rsidRPr="002C5AC6">
              <w:t>Закон за финансово управление и контрол в публичния сектор</w:t>
            </w:r>
            <w:r w:rsidRPr="002C5AC6" w:rsidDel="001D3B9D">
              <w:t xml:space="preserve"> </w:t>
            </w:r>
          </w:p>
        </w:tc>
      </w:tr>
      <w:tr w:rsidR="0030363D" w:rsidRPr="002C5AC6" w:rsidTr="00B23D90">
        <w:trPr>
          <w:jc w:val="center"/>
        </w:trPr>
        <w:tc>
          <w:tcPr>
            <w:tcW w:w="2432" w:type="dxa"/>
          </w:tcPr>
          <w:p w:rsidR="0030363D" w:rsidRPr="002C5AC6" w:rsidRDefault="00096E80" w:rsidP="00B25BD1">
            <w:r w:rsidRPr="002C5AC6">
              <w:t>KT</w:t>
            </w:r>
          </w:p>
        </w:tc>
        <w:tc>
          <w:tcPr>
            <w:tcW w:w="7315" w:type="dxa"/>
          </w:tcPr>
          <w:p w:rsidR="0030363D" w:rsidRPr="002C5AC6" w:rsidRDefault="00096E80" w:rsidP="00096E80">
            <w:r w:rsidRPr="002C5AC6">
              <w:t xml:space="preserve">Кодекс на труда </w:t>
            </w:r>
          </w:p>
        </w:tc>
      </w:tr>
      <w:tr w:rsidR="0072106C" w:rsidRPr="002C5AC6" w:rsidTr="00B23D90">
        <w:trPr>
          <w:jc w:val="center"/>
        </w:trPr>
        <w:tc>
          <w:tcPr>
            <w:tcW w:w="2432" w:type="dxa"/>
          </w:tcPr>
          <w:p w:rsidR="0072106C" w:rsidRPr="002C5AC6" w:rsidRDefault="0072106C" w:rsidP="00B25BD1">
            <w:r w:rsidRPr="002C5AC6">
              <w:t>МСВОИ</w:t>
            </w:r>
          </w:p>
        </w:tc>
        <w:tc>
          <w:tcPr>
            <w:tcW w:w="7315" w:type="dxa"/>
          </w:tcPr>
          <w:p w:rsidR="0072106C" w:rsidRPr="002C5AC6" w:rsidRDefault="0072106C" w:rsidP="00B25BD1">
            <w:r w:rsidRPr="002C5AC6">
              <w:t>Международни стандарти на върховните одитни институции</w:t>
            </w:r>
          </w:p>
        </w:tc>
      </w:tr>
      <w:tr w:rsidR="007D5A5C" w:rsidRPr="002C5AC6" w:rsidTr="00B23D90">
        <w:trPr>
          <w:jc w:val="center"/>
        </w:trPr>
        <w:tc>
          <w:tcPr>
            <w:tcW w:w="2432" w:type="dxa"/>
          </w:tcPr>
          <w:p w:rsidR="007D5A5C" w:rsidRPr="002C5AC6" w:rsidRDefault="007D5A5C" w:rsidP="00B25BD1">
            <w:r w:rsidRPr="002C5AC6">
              <w:t>МП</w:t>
            </w:r>
          </w:p>
        </w:tc>
        <w:tc>
          <w:tcPr>
            <w:tcW w:w="7315" w:type="dxa"/>
          </w:tcPr>
          <w:p w:rsidR="007D5A5C" w:rsidRPr="002C5AC6" w:rsidRDefault="007D5A5C" w:rsidP="00B25BD1">
            <w:r w:rsidRPr="002C5AC6">
              <w:t>Министерство на правосъдието</w:t>
            </w:r>
          </w:p>
        </w:tc>
      </w:tr>
      <w:tr w:rsidR="00E1200C" w:rsidRPr="002C5AC6" w:rsidTr="00B23D90">
        <w:trPr>
          <w:jc w:val="center"/>
        </w:trPr>
        <w:tc>
          <w:tcPr>
            <w:tcW w:w="2432" w:type="dxa"/>
          </w:tcPr>
          <w:p w:rsidR="00E1200C" w:rsidRPr="002C5AC6" w:rsidRDefault="00E1200C" w:rsidP="00B25BD1">
            <w:r w:rsidRPr="002C5AC6">
              <w:t>МФ</w:t>
            </w:r>
          </w:p>
        </w:tc>
        <w:tc>
          <w:tcPr>
            <w:tcW w:w="7315" w:type="dxa"/>
          </w:tcPr>
          <w:p w:rsidR="00E1200C" w:rsidRPr="002C5AC6" w:rsidRDefault="00E1200C" w:rsidP="00B25BD1">
            <w:r w:rsidRPr="002C5AC6">
              <w:t>Министерство на финансите</w:t>
            </w:r>
          </w:p>
        </w:tc>
      </w:tr>
      <w:tr w:rsidR="00096E80" w:rsidRPr="002C5AC6" w:rsidTr="00B23D90">
        <w:trPr>
          <w:jc w:val="center"/>
        </w:trPr>
        <w:tc>
          <w:tcPr>
            <w:tcW w:w="2432" w:type="dxa"/>
          </w:tcPr>
          <w:p w:rsidR="00096E80" w:rsidRPr="002C5AC6" w:rsidRDefault="00096E80" w:rsidP="00096E80">
            <w:r w:rsidRPr="002C5AC6">
              <w:t>НВКВВЛ № 2</w:t>
            </w:r>
          </w:p>
        </w:tc>
        <w:tc>
          <w:tcPr>
            <w:tcW w:w="7315" w:type="dxa"/>
          </w:tcPr>
          <w:p w:rsidR="00096E80" w:rsidRPr="002C5AC6" w:rsidRDefault="00096E80" w:rsidP="00EE711C">
            <w:r w:rsidRPr="002C5AC6">
              <w:t xml:space="preserve">Наредба № 2  за вписването, квалификацията и възнагражденията на вещите лица </w:t>
            </w:r>
          </w:p>
        </w:tc>
      </w:tr>
      <w:tr w:rsidR="00096E80" w:rsidRPr="002C5AC6" w:rsidTr="00B23D90">
        <w:trPr>
          <w:jc w:val="center"/>
        </w:trPr>
        <w:tc>
          <w:tcPr>
            <w:tcW w:w="2432" w:type="dxa"/>
          </w:tcPr>
          <w:p w:rsidR="00096E80" w:rsidRPr="002C5AC6" w:rsidRDefault="007B6C41" w:rsidP="00EE711C">
            <w:r>
              <w:t>НВКВВЛ № 3 (отм.)</w:t>
            </w:r>
          </w:p>
        </w:tc>
        <w:tc>
          <w:tcPr>
            <w:tcW w:w="7315" w:type="dxa"/>
          </w:tcPr>
          <w:p w:rsidR="00096E80" w:rsidRPr="002C5AC6" w:rsidRDefault="00096E80" w:rsidP="00EE711C">
            <w:r w:rsidRPr="002C5AC6">
              <w:t>Наредба № 3 за вписването, квалификацията и възнагражденията на вещите лица, отм. ДВ. бр.</w:t>
            </w:r>
            <w:r w:rsidR="00C13DBF">
              <w:t xml:space="preserve"> </w:t>
            </w:r>
            <w:r w:rsidRPr="002C5AC6">
              <w:t xml:space="preserve">86 от 17.10.2014 г. </w:t>
            </w:r>
          </w:p>
        </w:tc>
      </w:tr>
      <w:tr w:rsidR="00EE711C" w:rsidRPr="002C5AC6" w:rsidTr="00B23D90">
        <w:trPr>
          <w:jc w:val="center"/>
        </w:trPr>
        <w:tc>
          <w:tcPr>
            <w:tcW w:w="2432" w:type="dxa"/>
          </w:tcPr>
          <w:p w:rsidR="00EE711C" w:rsidRPr="002C5AC6" w:rsidRDefault="00EE711C" w:rsidP="00B25BD1">
            <w:r w:rsidRPr="002C5AC6">
              <w:t>НПК</w:t>
            </w:r>
          </w:p>
        </w:tc>
        <w:tc>
          <w:tcPr>
            <w:tcW w:w="7315" w:type="dxa"/>
          </w:tcPr>
          <w:p w:rsidR="00EE711C" w:rsidRPr="002C5AC6" w:rsidRDefault="00EE711C" w:rsidP="00EE711C">
            <w:r w:rsidRPr="002C5AC6">
              <w:t>Наказателно-процесуален кодекс</w:t>
            </w:r>
          </w:p>
        </w:tc>
      </w:tr>
      <w:tr w:rsidR="00EE711C" w:rsidRPr="002C5AC6" w:rsidTr="00B23D90">
        <w:trPr>
          <w:jc w:val="center"/>
        </w:trPr>
        <w:tc>
          <w:tcPr>
            <w:tcW w:w="2432" w:type="dxa"/>
          </w:tcPr>
          <w:p w:rsidR="00EE711C" w:rsidRPr="002C5AC6" w:rsidRDefault="00EE711C" w:rsidP="00B25BD1">
            <w:r w:rsidRPr="002C5AC6">
              <w:t>НПКДА</w:t>
            </w:r>
          </w:p>
        </w:tc>
        <w:tc>
          <w:tcPr>
            <w:tcW w:w="7315" w:type="dxa"/>
          </w:tcPr>
          <w:p w:rsidR="00EE711C" w:rsidRPr="002C5AC6" w:rsidRDefault="00EE711C" w:rsidP="00B25BD1">
            <w:r w:rsidRPr="002C5AC6">
              <w:rPr>
                <w:lang w:eastAsia="en-US"/>
              </w:rPr>
              <w:t xml:space="preserve">Наредба за прилагане класификатора на длъжностите в администрацията </w:t>
            </w:r>
            <w:r w:rsidRPr="002C5AC6">
              <w:t xml:space="preserve"> </w:t>
            </w:r>
          </w:p>
        </w:tc>
      </w:tr>
      <w:tr w:rsidR="00EE711C" w:rsidRPr="002C5AC6" w:rsidTr="00B23D90">
        <w:trPr>
          <w:jc w:val="center"/>
        </w:trPr>
        <w:tc>
          <w:tcPr>
            <w:tcW w:w="2432" w:type="dxa"/>
          </w:tcPr>
          <w:p w:rsidR="00EE711C" w:rsidRPr="002C5AC6" w:rsidRDefault="00EE711C" w:rsidP="00B25BD1">
            <w:r w:rsidRPr="002C5AC6">
              <w:t>НРВПО</w:t>
            </w:r>
          </w:p>
        </w:tc>
        <w:tc>
          <w:tcPr>
            <w:tcW w:w="7315" w:type="dxa"/>
          </w:tcPr>
          <w:p w:rsidR="00EE711C" w:rsidRPr="002C5AC6" w:rsidRDefault="00EE711C" w:rsidP="00B25BD1">
            <w:pPr>
              <w:rPr>
                <w:lang w:eastAsia="en-US"/>
              </w:rPr>
            </w:pPr>
            <w:r w:rsidRPr="002C5AC6">
              <w:t>Наредба за работното време, почивките и отпуските</w:t>
            </w:r>
          </w:p>
        </w:tc>
      </w:tr>
      <w:tr w:rsidR="00EE711C" w:rsidRPr="002C5AC6" w:rsidTr="00B23D90">
        <w:trPr>
          <w:jc w:val="center"/>
        </w:trPr>
        <w:tc>
          <w:tcPr>
            <w:tcW w:w="2432" w:type="dxa"/>
          </w:tcPr>
          <w:p w:rsidR="00EE711C" w:rsidRPr="002C5AC6" w:rsidRDefault="00EE711C" w:rsidP="00B25BD1">
            <w:r w:rsidRPr="002C5AC6">
              <w:t>ПДСД</w:t>
            </w:r>
          </w:p>
        </w:tc>
        <w:tc>
          <w:tcPr>
            <w:tcW w:w="7315" w:type="dxa"/>
          </w:tcPr>
          <w:p w:rsidR="00EE711C" w:rsidRPr="002C5AC6" w:rsidRDefault="00EE711C" w:rsidP="00B774BF">
            <w:r w:rsidRPr="002C5AC6">
              <w:t xml:space="preserve">Правилник за движение на счетоводните документи  в СРС </w:t>
            </w:r>
          </w:p>
        </w:tc>
      </w:tr>
      <w:tr w:rsidR="00EE711C" w:rsidRPr="002C5AC6" w:rsidTr="00B23D90">
        <w:trPr>
          <w:jc w:val="center"/>
        </w:trPr>
        <w:tc>
          <w:tcPr>
            <w:tcW w:w="2432" w:type="dxa"/>
          </w:tcPr>
          <w:p w:rsidR="00EE711C" w:rsidRPr="002C5AC6" w:rsidRDefault="00EE711C" w:rsidP="00B25BD1">
            <w:r w:rsidRPr="002C5AC6">
              <w:t>ПМС</w:t>
            </w:r>
            <w:r w:rsidRPr="002C5AC6" w:rsidDel="00B774BF">
              <w:t xml:space="preserve"> </w:t>
            </w:r>
          </w:p>
        </w:tc>
        <w:tc>
          <w:tcPr>
            <w:tcW w:w="7315" w:type="dxa"/>
          </w:tcPr>
          <w:p w:rsidR="00EE711C" w:rsidRPr="002C5AC6" w:rsidRDefault="00EE711C" w:rsidP="00B25BD1">
            <w:r w:rsidRPr="002C5AC6">
              <w:t>Постановление на Министерски съвет</w:t>
            </w:r>
            <w:r w:rsidRPr="002C5AC6" w:rsidDel="00B774BF">
              <w:t xml:space="preserve"> </w:t>
            </w:r>
          </w:p>
        </w:tc>
      </w:tr>
      <w:tr w:rsidR="00EE711C" w:rsidRPr="002C5AC6" w:rsidTr="00B23D90">
        <w:trPr>
          <w:jc w:val="center"/>
        </w:trPr>
        <w:tc>
          <w:tcPr>
            <w:tcW w:w="2432" w:type="dxa"/>
          </w:tcPr>
          <w:p w:rsidR="00EE711C" w:rsidRPr="002C5AC6" w:rsidRDefault="00EE711C" w:rsidP="00B25BD1">
            <w:r w:rsidRPr="002C5AC6">
              <w:t>ПОИСДТВ</w:t>
            </w:r>
          </w:p>
        </w:tc>
        <w:tc>
          <w:tcPr>
            <w:tcW w:w="7315" w:type="dxa"/>
          </w:tcPr>
          <w:p w:rsidR="00EE711C" w:rsidRPr="002C5AC6" w:rsidRDefault="00EE711C" w:rsidP="00B25BD1">
            <w:r w:rsidRPr="002C5AC6">
              <w:t>Правила за определяне и изплащане на средства за допълнителни трудови възнаграждения</w:t>
            </w:r>
          </w:p>
        </w:tc>
      </w:tr>
      <w:tr w:rsidR="00EE711C" w:rsidRPr="002C5AC6" w:rsidTr="00B23D90">
        <w:trPr>
          <w:jc w:val="center"/>
        </w:trPr>
        <w:tc>
          <w:tcPr>
            <w:tcW w:w="2432" w:type="dxa"/>
          </w:tcPr>
          <w:p w:rsidR="00EE711C" w:rsidRPr="002C5AC6" w:rsidRDefault="00EE711C" w:rsidP="00B25BD1">
            <w:r w:rsidRPr="002C5AC6">
              <w:t>ПОИСОСВ</w:t>
            </w:r>
          </w:p>
        </w:tc>
        <w:tc>
          <w:tcPr>
            <w:tcW w:w="7315" w:type="dxa"/>
          </w:tcPr>
          <w:p w:rsidR="00EE711C" w:rsidRPr="002C5AC6" w:rsidRDefault="00EE711C" w:rsidP="00B25BD1">
            <w:r w:rsidRPr="002C5AC6">
              <w:t>Правила за определяне и изплащане на суми за облекло на магистрати, държавни съдебни изпълнители, съдии по вписванията и съдебни служители в органите на съдебната власт.</w:t>
            </w:r>
          </w:p>
        </w:tc>
      </w:tr>
      <w:tr w:rsidR="00EE711C" w:rsidRPr="002C5AC6" w:rsidTr="00B23D90">
        <w:trPr>
          <w:jc w:val="center"/>
        </w:trPr>
        <w:tc>
          <w:tcPr>
            <w:tcW w:w="2432" w:type="dxa"/>
          </w:tcPr>
          <w:p w:rsidR="00EE711C" w:rsidRPr="002C5AC6" w:rsidRDefault="00EE711C" w:rsidP="00B25BD1">
            <w:r w:rsidRPr="002C5AC6">
              <w:t>ППЗОП (отм)</w:t>
            </w:r>
          </w:p>
        </w:tc>
        <w:tc>
          <w:tcPr>
            <w:tcW w:w="7315" w:type="dxa"/>
          </w:tcPr>
          <w:p w:rsidR="00EE711C" w:rsidRPr="002C5AC6" w:rsidRDefault="00EE711C" w:rsidP="00B25BD1">
            <w:r w:rsidRPr="002C5AC6">
              <w:t>Правилник за прилагане на Закона за обществените поръчки, отменен ДВ, бр. 13 от 16.02.2016 г.</w:t>
            </w:r>
          </w:p>
        </w:tc>
      </w:tr>
      <w:tr w:rsidR="00EE711C" w:rsidRPr="002C5AC6" w:rsidTr="00B23D90">
        <w:trPr>
          <w:jc w:val="center"/>
        </w:trPr>
        <w:tc>
          <w:tcPr>
            <w:tcW w:w="2432" w:type="dxa"/>
          </w:tcPr>
          <w:p w:rsidR="00EE711C" w:rsidRPr="002C5AC6" w:rsidRDefault="00EE711C" w:rsidP="00B25BD1">
            <w:r w:rsidRPr="002C5AC6">
              <w:t xml:space="preserve">РОП </w:t>
            </w:r>
          </w:p>
        </w:tc>
        <w:tc>
          <w:tcPr>
            <w:tcW w:w="7315" w:type="dxa"/>
          </w:tcPr>
          <w:p w:rsidR="00EE711C" w:rsidRPr="002C5AC6" w:rsidRDefault="00EE711C" w:rsidP="00B25BD1">
            <w:r w:rsidRPr="002C5AC6">
              <w:t>Регистър на обществените поръчки</w:t>
            </w:r>
          </w:p>
        </w:tc>
      </w:tr>
      <w:tr w:rsidR="00EE711C" w:rsidRPr="002C5AC6" w:rsidTr="00B23D90">
        <w:trPr>
          <w:jc w:val="center"/>
        </w:trPr>
        <w:tc>
          <w:tcPr>
            <w:tcW w:w="2432" w:type="dxa"/>
          </w:tcPr>
          <w:p w:rsidR="00EE711C" w:rsidRPr="002C5AC6" w:rsidRDefault="00EE711C" w:rsidP="00B25BD1">
            <w:r w:rsidRPr="002C5AC6">
              <w:t>СБКО</w:t>
            </w:r>
          </w:p>
        </w:tc>
        <w:tc>
          <w:tcPr>
            <w:tcW w:w="7315" w:type="dxa"/>
          </w:tcPr>
          <w:p w:rsidR="00EE711C" w:rsidRPr="002C5AC6" w:rsidRDefault="00EE711C" w:rsidP="00B25BD1">
            <w:r w:rsidRPr="002C5AC6">
              <w:t>Социално битово и културно осигуряване</w:t>
            </w:r>
          </w:p>
        </w:tc>
      </w:tr>
      <w:tr w:rsidR="00EE711C" w:rsidRPr="002C5AC6" w:rsidTr="00B23D90">
        <w:trPr>
          <w:jc w:val="center"/>
        </w:trPr>
        <w:tc>
          <w:tcPr>
            <w:tcW w:w="2432" w:type="dxa"/>
          </w:tcPr>
          <w:p w:rsidR="00EE711C" w:rsidRPr="002C5AC6" w:rsidRDefault="00EE711C" w:rsidP="00B25BD1">
            <w:r w:rsidRPr="002C5AC6">
              <w:t>СРС</w:t>
            </w:r>
          </w:p>
        </w:tc>
        <w:tc>
          <w:tcPr>
            <w:tcW w:w="7315" w:type="dxa"/>
          </w:tcPr>
          <w:p w:rsidR="00EE711C" w:rsidRPr="002C5AC6" w:rsidRDefault="00EE711C" w:rsidP="00B25BD1">
            <w:r w:rsidRPr="002C5AC6">
              <w:t>Софийски районен съд</w:t>
            </w:r>
          </w:p>
        </w:tc>
      </w:tr>
      <w:tr w:rsidR="00EE711C" w:rsidRPr="002C5AC6" w:rsidTr="00B23D90">
        <w:trPr>
          <w:jc w:val="center"/>
        </w:trPr>
        <w:tc>
          <w:tcPr>
            <w:tcW w:w="2432" w:type="dxa"/>
          </w:tcPr>
          <w:p w:rsidR="00EE711C" w:rsidRPr="002C5AC6" w:rsidRDefault="00EE711C" w:rsidP="00B25BD1">
            <w:r w:rsidRPr="002C5AC6">
              <w:t>УИН</w:t>
            </w:r>
          </w:p>
        </w:tc>
        <w:tc>
          <w:tcPr>
            <w:tcW w:w="7315" w:type="dxa"/>
          </w:tcPr>
          <w:p w:rsidR="00EE711C" w:rsidRPr="002C5AC6" w:rsidRDefault="00EE711C" w:rsidP="00B25BD1">
            <w:r w:rsidRPr="002C5AC6">
              <w:t>Универсален идентификационен номер</w:t>
            </w:r>
          </w:p>
        </w:tc>
      </w:tr>
    </w:tbl>
    <w:p w:rsidR="00FB3DDD" w:rsidRPr="002C5AC6" w:rsidRDefault="00FB3DDD" w:rsidP="00240378">
      <w:pPr>
        <w:spacing w:before="120" w:after="120"/>
        <w:ind w:firstLine="709"/>
        <w:jc w:val="both"/>
        <w:rPr>
          <w:b/>
        </w:rPr>
      </w:pPr>
      <w:r w:rsidRPr="002C5AC6">
        <w:br w:type="page"/>
      </w:r>
      <w:r w:rsidRPr="002C5AC6">
        <w:rPr>
          <w:b/>
        </w:rPr>
        <w:lastRenderedPageBreak/>
        <w:t>Част първа</w:t>
      </w:r>
    </w:p>
    <w:p w:rsidR="00FB3DDD" w:rsidRPr="002C5AC6" w:rsidRDefault="00FB3DDD" w:rsidP="00240378">
      <w:pPr>
        <w:spacing w:before="120" w:after="120"/>
        <w:ind w:firstLine="709"/>
        <w:jc w:val="both"/>
        <w:rPr>
          <w:b/>
        </w:rPr>
      </w:pPr>
      <w:r w:rsidRPr="002C5AC6">
        <w:rPr>
          <w:b/>
        </w:rPr>
        <w:t>РЕЗЮМЕ</w:t>
      </w:r>
    </w:p>
    <w:p w:rsidR="00D74305" w:rsidRPr="002C5AC6" w:rsidRDefault="00AA4846" w:rsidP="00A90676">
      <w:pPr>
        <w:ind w:firstLine="709"/>
        <w:jc w:val="both"/>
      </w:pPr>
      <w:r w:rsidRPr="002C5AC6">
        <w:t>О</w:t>
      </w:r>
      <w:r w:rsidR="006301CD" w:rsidRPr="002C5AC6">
        <w:t>дит</w:t>
      </w:r>
      <w:r w:rsidRPr="002C5AC6">
        <w:t>ът</w:t>
      </w:r>
      <w:r w:rsidR="006301CD" w:rsidRPr="002C5AC6">
        <w:t xml:space="preserve"> за съответствие </w:t>
      </w:r>
      <w:r w:rsidRPr="002C5AC6">
        <w:t xml:space="preserve">на Софийски районен съд </w:t>
      </w:r>
      <w:r w:rsidR="00240378">
        <w:t>(СРС) за периода от 01.0</w:t>
      </w:r>
      <w:r w:rsidR="00240378">
        <w:rPr>
          <w:lang w:val="en-US"/>
        </w:rPr>
        <w:t>1</w:t>
      </w:r>
      <w:r w:rsidRPr="002C5AC6">
        <w:t>.2014 г. до 31.12.2014 г. е</w:t>
      </w:r>
      <w:r w:rsidR="006675F0" w:rsidRPr="002C5AC6">
        <w:t xml:space="preserve"> и</w:t>
      </w:r>
      <w:r w:rsidRPr="002C5AC6">
        <w:t xml:space="preserve">звършен </w:t>
      </w:r>
      <w:r w:rsidR="006675F0" w:rsidRPr="002C5AC6">
        <w:t>в изпълнение на Програмата за одитната дейност на Сметната палата за 2015 г.</w:t>
      </w:r>
      <w:r w:rsidR="00904BE2" w:rsidRPr="002C5AC6">
        <w:t xml:space="preserve"> </w:t>
      </w:r>
      <w:r w:rsidR="006301CD" w:rsidRPr="002C5AC6">
        <w:t xml:space="preserve">СРС е юридическо лице на бюджетна издръжка, второстепенен разпоредител </w:t>
      </w:r>
      <w:r w:rsidR="009D648B" w:rsidRPr="002C5AC6">
        <w:t xml:space="preserve">с бюджет </w:t>
      </w:r>
      <w:r w:rsidR="006301CD" w:rsidRPr="002C5AC6">
        <w:t>по бюджета на съдебната власт.</w:t>
      </w:r>
      <w:r w:rsidR="00904BE2" w:rsidRPr="002C5AC6">
        <w:t xml:space="preserve"> </w:t>
      </w:r>
    </w:p>
    <w:p w:rsidR="00985E06" w:rsidRPr="002C5AC6" w:rsidRDefault="00985E06" w:rsidP="00A90676">
      <w:pPr>
        <w:ind w:firstLine="709"/>
        <w:jc w:val="both"/>
        <w:rPr>
          <w:i/>
        </w:rPr>
      </w:pPr>
      <w:r w:rsidRPr="002C5AC6">
        <w:t xml:space="preserve">При одита </w:t>
      </w:r>
      <w:r w:rsidR="002A1146" w:rsidRPr="002C5AC6">
        <w:t xml:space="preserve">са </w:t>
      </w:r>
      <w:r w:rsidR="00904BE2" w:rsidRPr="002C5AC6">
        <w:t xml:space="preserve">анализирани и оценени </w:t>
      </w:r>
      <w:r w:rsidR="002A1146" w:rsidRPr="002C5AC6">
        <w:t xml:space="preserve">управленските решения </w:t>
      </w:r>
      <w:r w:rsidR="00243621" w:rsidRPr="002C5AC6">
        <w:t>и</w:t>
      </w:r>
      <w:r w:rsidR="002A1146" w:rsidRPr="002C5AC6">
        <w:t xml:space="preserve"> </w:t>
      </w:r>
      <w:r w:rsidRPr="002C5AC6">
        <w:t>изпълнението на дейността</w:t>
      </w:r>
      <w:r w:rsidR="002A1146" w:rsidRPr="002C5AC6">
        <w:t>, както</w:t>
      </w:r>
      <w:r w:rsidRPr="002C5AC6">
        <w:t xml:space="preserve"> и състоянието на системата за финансово управление и контрол (СФУК), които са оценени спрямо изискванията на правната рамка и договорите в области</w:t>
      </w:r>
      <w:r w:rsidR="00DC2610" w:rsidRPr="002C5AC6">
        <w:t>те</w:t>
      </w:r>
      <w:r w:rsidRPr="002C5AC6">
        <w:t>:</w:t>
      </w:r>
      <w:r w:rsidR="00904BE2" w:rsidRPr="002C5AC6">
        <w:t xml:space="preserve"> </w:t>
      </w:r>
      <w:r w:rsidR="00DC2610" w:rsidRPr="002C5AC6">
        <w:rPr>
          <w:lang w:eastAsia="en-US"/>
        </w:rPr>
        <w:t>„</w:t>
      </w:r>
      <w:r w:rsidRPr="002C5AC6">
        <w:rPr>
          <w:lang w:eastAsia="en-US"/>
        </w:rPr>
        <w:t>Приходи от съдебни такси</w:t>
      </w:r>
      <w:r w:rsidR="00DC2610" w:rsidRPr="002C5AC6">
        <w:rPr>
          <w:lang w:eastAsia="en-US"/>
        </w:rPr>
        <w:t>“</w:t>
      </w:r>
      <w:r w:rsidRPr="002C5AC6">
        <w:rPr>
          <w:lang w:eastAsia="en-US"/>
        </w:rPr>
        <w:t>;</w:t>
      </w:r>
      <w:r w:rsidR="00DC2610" w:rsidRPr="002C5AC6">
        <w:rPr>
          <w:lang w:eastAsia="en-US"/>
        </w:rPr>
        <w:t xml:space="preserve"> „</w:t>
      </w:r>
      <w:r w:rsidRPr="002C5AC6">
        <w:rPr>
          <w:lang w:eastAsia="en-US"/>
        </w:rPr>
        <w:t>Разходи за заплати, възнаграждения и</w:t>
      </w:r>
      <w:r w:rsidR="00FE65AD" w:rsidRPr="002C5AC6">
        <w:rPr>
          <w:lang w:eastAsia="en-US"/>
        </w:rPr>
        <w:t xml:space="preserve"> други</w:t>
      </w:r>
      <w:r w:rsidRPr="002C5AC6">
        <w:rPr>
          <w:lang w:eastAsia="en-US"/>
        </w:rPr>
        <w:t xml:space="preserve"> плащания за персонала</w:t>
      </w:r>
      <w:r w:rsidR="00DC2610" w:rsidRPr="002C5AC6">
        <w:rPr>
          <w:lang w:eastAsia="en-US"/>
        </w:rPr>
        <w:t>“</w:t>
      </w:r>
      <w:r w:rsidRPr="002C5AC6">
        <w:rPr>
          <w:lang w:eastAsia="en-US"/>
        </w:rPr>
        <w:t xml:space="preserve">; </w:t>
      </w:r>
      <w:r w:rsidR="00DC2610" w:rsidRPr="002C5AC6">
        <w:rPr>
          <w:lang w:eastAsia="en-US"/>
        </w:rPr>
        <w:t>„</w:t>
      </w:r>
      <w:r w:rsidRPr="002C5AC6">
        <w:rPr>
          <w:lang w:eastAsia="en-US"/>
        </w:rPr>
        <w:t>Разходи за вещи лица</w:t>
      </w:r>
      <w:r w:rsidR="00DC2610" w:rsidRPr="002C5AC6">
        <w:rPr>
          <w:lang w:eastAsia="en-US"/>
        </w:rPr>
        <w:t>“</w:t>
      </w:r>
      <w:r w:rsidR="009D648B" w:rsidRPr="002C5AC6">
        <w:rPr>
          <w:lang w:eastAsia="en-US"/>
        </w:rPr>
        <w:t xml:space="preserve"> и</w:t>
      </w:r>
      <w:r w:rsidRPr="002C5AC6">
        <w:rPr>
          <w:lang w:eastAsia="en-US"/>
        </w:rPr>
        <w:t xml:space="preserve"> </w:t>
      </w:r>
      <w:r w:rsidR="00DC2610" w:rsidRPr="002C5AC6">
        <w:rPr>
          <w:lang w:eastAsia="en-US"/>
        </w:rPr>
        <w:t>„</w:t>
      </w:r>
      <w:r w:rsidRPr="002C5AC6">
        <w:rPr>
          <w:lang w:eastAsia="en-US"/>
        </w:rPr>
        <w:t>Възлагане на обществени поръчки и изпълнение на договори за обществени поръчки</w:t>
      </w:r>
      <w:r w:rsidR="00DC2610" w:rsidRPr="002C5AC6">
        <w:rPr>
          <w:lang w:eastAsia="en-US"/>
        </w:rPr>
        <w:t>“</w:t>
      </w:r>
      <w:r w:rsidR="00C42AB3" w:rsidRPr="002C5AC6">
        <w:rPr>
          <w:i/>
        </w:rPr>
        <w:t>.</w:t>
      </w:r>
    </w:p>
    <w:p w:rsidR="00985E06" w:rsidRPr="002C5AC6" w:rsidRDefault="001A4B3A" w:rsidP="006708DA">
      <w:pPr>
        <w:spacing w:before="120" w:after="120"/>
        <w:ind w:firstLine="720"/>
        <w:jc w:val="both"/>
      </w:pPr>
      <w:r w:rsidRPr="002C5AC6">
        <w:t xml:space="preserve">При одита са приложени критерии за оценка </w:t>
      </w:r>
      <w:r w:rsidR="00B945CB" w:rsidRPr="002C5AC6">
        <w:t>на съответствието</w:t>
      </w:r>
      <w:r w:rsidR="00684C92" w:rsidRPr="002C5AC6">
        <w:t xml:space="preserve"> </w:t>
      </w:r>
      <w:r w:rsidRPr="002C5AC6">
        <w:t>по области на изследване</w:t>
      </w:r>
      <w:r w:rsidR="004360C2" w:rsidRPr="002C5AC6">
        <w:t>, в т.ч.</w:t>
      </w:r>
      <w:r w:rsidR="003928A4" w:rsidRPr="002C5AC6">
        <w:t>:</w:t>
      </w:r>
      <w:r w:rsidR="00985E06" w:rsidRPr="002C5AC6">
        <w:t xml:space="preserve"> Закон за публичните финанси (ЗПФ), </w:t>
      </w:r>
      <w:r w:rsidR="00286091" w:rsidRPr="002C5AC6">
        <w:t>Закон</w:t>
      </w:r>
      <w:r w:rsidR="00BB3CF5" w:rsidRPr="002C5AC6">
        <w:t xml:space="preserve"> за съдебната власт</w:t>
      </w:r>
      <w:r w:rsidR="00D2669B" w:rsidRPr="002C5AC6">
        <w:t xml:space="preserve"> (ЗСВ)</w:t>
      </w:r>
      <w:r w:rsidR="00684C92" w:rsidRPr="002C5AC6">
        <w:t>, Закон</w:t>
      </w:r>
      <w:r w:rsidR="00BB3CF5" w:rsidRPr="002C5AC6">
        <w:t xml:space="preserve"> за обществените поръчки</w:t>
      </w:r>
      <w:r w:rsidR="00D2669B" w:rsidRPr="002C5AC6">
        <w:rPr>
          <w:rStyle w:val="FootnoteReference"/>
        </w:rPr>
        <w:footnoteReference w:id="1"/>
      </w:r>
      <w:r w:rsidR="00233BC6" w:rsidRPr="002C5AC6">
        <w:t xml:space="preserve"> (ЗОП, отм.)</w:t>
      </w:r>
      <w:r w:rsidR="00DF2AEE" w:rsidRPr="002C5AC6">
        <w:t xml:space="preserve"> и правилника за неговото прилагане</w:t>
      </w:r>
      <w:r w:rsidR="00684C92" w:rsidRPr="002C5AC6">
        <w:t>, Закон</w:t>
      </w:r>
      <w:r w:rsidR="00BB3CF5" w:rsidRPr="002C5AC6">
        <w:t xml:space="preserve"> за финансовото управление и контрол в публичния сектор</w:t>
      </w:r>
      <w:r w:rsidR="00D2669B" w:rsidRPr="002C5AC6">
        <w:t xml:space="preserve"> (ЗФУКПС)</w:t>
      </w:r>
      <w:r w:rsidR="00BB3CF5" w:rsidRPr="002C5AC6">
        <w:t xml:space="preserve">, </w:t>
      </w:r>
      <w:r w:rsidR="00985E06" w:rsidRPr="002C5AC6">
        <w:t xml:space="preserve">Закон за държавния бюджет </w:t>
      </w:r>
      <w:r w:rsidRPr="002C5AC6">
        <w:t xml:space="preserve">на Република България (ЗДБРБ) </w:t>
      </w:r>
      <w:r w:rsidR="00985E06" w:rsidRPr="002C5AC6">
        <w:t>за 2014 г.</w:t>
      </w:r>
      <w:r w:rsidR="00BB3CF5" w:rsidRPr="002C5AC6">
        <w:t>,</w:t>
      </w:r>
      <w:r w:rsidR="00985E06" w:rsidRPr="002C5AC6">
        <w:t xml:space="preserve"> </w:t>
      </w:r>
      <w:r w:rsidRPr="002C5AC6">
        <w:t>ПМС № 3 от 15.01.2014</w:t>
      </w:r>
      <w:r w:rsidR="00D2669B" w:rsidRPr="002C5AC6">
        <w:t> </w:t>
      </w:r>
      <w:r w:rsidRPr="002C5AC6">
        <w:t>г. за изпълнението на държавния бюджет на Република България за 2014 г.</w:t>
      </w:r>
      <w:r w:rsidR="00985E06" w:rsidRPr="002C5AC6">
        <w:t xml:space="preserve">, </w:t>
      </w:r>
      <w:r w:rsidR="006708DA" w:rsidRPr="002C5AC6">
        <w:t xml:space="preserve">Граждански </w:t>
      </w:r>
      <w:r w:rsidR="00233BC6" w:rsidRPr="002C5AC6">
        <w:t>процесуален кодекс (ГПК)</w:t>
      </w:r>
      <w:r w:rsidR="006708DA" w:rsidRPr="002C5AC6">
        <w:t>, Наказателно-</w:t>
      </w:r>
      <w:r w:rsidR="00233BC6" w:rsidRPr="002C5AC6">
        <w:t xml:space="preserve">процесуален кодекс (НПК), </w:t>
      </w:r>
      <w:r w:rsidR="0090277B">
        <w:t xml:space="preserve">Кодекс на труда (КТ), </w:t>
      </w:r>
      <w:r w:rsidR="00F154C2" w:rsidRPr="002C5AC6">
        <w:t>Закон за счетоводството</w:t>
      </w:r>
      <w:r w:rsidR="002649BD" w:rsidRPr="002C5AC6">
        <w:rPr>
          <w:rStyle w:val="FootnoteReference"/>
        </w:rPr>
        <w:footnoteReference w:id="2"/>
      </w:r>
      <w:r w:rsidR="00F154C2" w:rsidRPr="002C5AC6">
        <w:t xml:space="preserve"> (</w:t>
      </w:r>
      <w:r w:rsidR="00F154C2" w:rsidRPr="002C5AC6">
        <w:rPr>
          <w:rFonts w:eastAsiaTheme="minorHAnsi"/>
          <w:lang w:eastAsia="en-US"/>
        </w:rPr>
        <w:t xml:space="preserve">ЗСч, отм.), </w:t>
      </w:r>
      <w:r w:rsidR="00A801E9" w:rsidRPr="002C5AC6">
        <w:t xml:space="preserve">Закон за държавните такси (ЗДТ) и </w:t>
      </w:r>
      <w:r w:rsidR="00985E06" w:rsidRPr="002C5AC6">
        <w:t xml:space="preserve">Тарифа № 1 към </w:t>
      </w:r>
      <w:r w:rsidR="00A801E9" w:rsidRPr="002C5AC6">
        <w:t>него</w:t>
      </w:r>
      <w:r w:rsidR="006B088C" w:rsidRPr="002C5AC6">
        <w:t xml:space="preserve"> </w:t>
      </w:r>
      <w:r w:rsidR="000B483B" w:rsidRPr="002C5AC6">
        <w:t>за</w:t>
      </w:r>
      <w:r w:rsidR="00985E06" w:rsidRPr="002C5AC6">
        <w:t xml:space="preserve"> таксите, събирани от съдилищата, прокуратурата, следствените служби и Министерството на правосъдието </w:t>
      </w:r>
      <w:r w:rsidR="00FE65AD" w:rsidRPr="002C5AC6">
        <w:t>(МП)</w:t>
      </w:r>
      <w:r w:rsidR="00E375CA" w:rsidRPr="002C5AC6">
        <w:t>,</w:t>
      </w:r>
      <w:r w:rsidR="00985E06" w:rsidRPr="002C5AC6">
        <w:t xml:space="preserve"> Тарифа за държавните такси, които се събират от съдилищата по реда на ГПК;</w:t>
      </w:r>
      <w:r w:rsidR="00985E06" w:rsidRPr="002C5AC6">
        <w:rPr>
          <w:lang w:eastAsia="en-US"/>
        </w:rPr>
        <w:t xml:space="preserve"> Наредба за прилагане класификатора на длъжностите в администрацията </w:t>
      </w:r>
      <w:r w:rsidR="00985E06" w:rsidRPr="002C5AC6">
        <w:t>(НПКДА), Наредба № 3 от 30.11.</w:t>
      </w:r>
      <w:r w:rsidR="006708DA" w:rsidRPr="002C5AC6">
        <w:t>2012 </w:t>
      </w:r>
      <w:r w:rsidR="00985E06" w:rsidRPr="002C5AC6">
        <w:t>г. за вписването, квалификацията и възнагражденията на вещите лица</w:t>
      </w:r>
      <w:r w:rsidR="00C860A8" w:rsidRPr="002C5AC6">
        <w:rPr>
          <w:rStyle w:val="FootnoteReference"/>
        </w:rPr>
        <w:footnoteReference w:id="3"/>
      </w:r>
      <w:r w:rsidR="00985E06" w:rsidRPr="002C5AC6">
        <w:t xml:space="preserve"> (</w:t>
      </w:r>
      <w:r w:rsidR="002B7B66" w:rsidRPr="002C5AC6">
        <w:t xml:space="preserve">НВКВВЛ, </w:t>
      </w:r>
      <w:r w:rsidR="00985E06" w:rsidRPr="002C5AC6">
        <w:t>отм.)</w:t>
      </w:r>
      <w:r w:rsidR="00DF2AEE" w:rsidRPr="002C5AC6">
        <w:t>,</w:t>
      </w:r>
      <w:r w:rsidR="006708DA" w:rsidRPr="002C5AC6">
        <w:t xml:space="preserve"> </w:t>
      </w:r>
      <w:r w:rsidR="00E375CA" w:rsidRPr="002C5AC6">
        <w:t>Правила за определяне и изплащане на средства за допълнителни трудови възнаграждения</w:t>
      </w:r>
      <w:r w:rsidR="004722E8" w:rsidRPr="002C5AC6">
        <w:rPr>
          <w:rStyle w:val="FootnoteReference"/>
        </w:rPr>
        <w:footnoteReference w:id="4"/>
      </w:r>
      <w:r w:rsidR="00E375CA" w:rsidRPr="002C5AC6">
        <w:t xml:space="preserve"> (ПОИСДТВ)</w:t>
      </w:r>
      <w:r w:rsidR="00C86AA3" w:rsidRPr="002C5AC6">
        <w:t>, Правилник за администрацията в съдилищата</w:t>
      </w:r>
      <w:r w:rsidR="00C86AA3" w:rsidRPr="002C5AC6">
        <w:rPr>
          <w:rStyle w:val="FootnoteReference"/>
        </w:rPr>
        <w:footnoteReference w:id="5"/>
      </w:r>
      <w:r w:rsidR="00C86AA3" w:rsidRPr="002C5AC6">
        <w:t>,</w:t>
      </w:r>
      <w:r w:rsidR="00E375CA" w:rsidRPr="002C5AC6">
        <w:t xml:space="preserve"> </w:t>
      </w:r>
      <w:r w:rsidR="006708DA" w:rsidRPr="002C5AC6">
        <w:t>вътрешни</w:t>
      </w:r>
      <w:r w:rsidR="00985E06" w:rsidRPr="002C5AC6">
        <w:t xml:space="preserve"> актове на СРС</w:t>
      </w:r>
      <w:r w:rsidR="00BB3CF5" w:rsidRPr="002C5AC6">
        <w:t xml:space="preserve">, сключени </w:t>
      </w:r>
      <w:r w:rsidR="00985E06" w:rsidRPr="002C5AC6">
        <w:t>договори</w:t>
      </w:r>
      <w:r w:rsidR="00BB3CF5" w:rsidRPr="002C5AC6">
        <w:t xml:space="preserve"> и други</w:t>
      </w:r>
      <w:r w:rsidR="00985E06" w:rsidRPr="002C5AC6">
        <w:t>.</w:t>
      </w:r>
    </w:p>
    <w:p w:rsidR="00C44E96" w:rsidRPr="002C5AC6" w:rsidRDefault="00C44E96" w:rsidP="00C44E96">
      <w:pPr>
        <w:ind w:firstLine="709"/>
        <w:jc w:val="both"/>
      </w:pPr>
      <w:r w:rsidRPr="002C5AC6">
        <w:t xml:space="preserve">В резултат на извършения одит са направени оценки и изводи </w:t>
      </w:r>
      <w:r w:rsidR="004360C2" w:rsidRPr="002C5AC6">
        <w:t>по области на изследване</w:t>
      </w:r>
      <w:r w:rsidR="009703A9">
        <w:t>:</w:t>
      </w:r>
    </w:p>
    <w:p w:rsidR="00CF6B61" w:rsidRPr="002C5AC6" w:rsidRDefault="004360C2" w:rsidP="00C44E96">
      <w:pPr>
        <w:ind w:firstLine="720"/>
        <w:jc w:val="both"/>
      </w:pPr>
      <w:r w:rsidRPr="002C5AC6">
        <w:t xml:space="preserve">При проверката на </w:t>
      </w:r>
      <w:r w:rsidRPr="002C5AC6">
        <w:rPr>
          <w:i/>
        </w:rPr>
        <w:t>приходите от съдебни такси</w:t>
      </w:r>
      <w:r w:rsidRPr="002C5AC6">
        <w:t xml:space="preserve"> е установено, че с</w:t>
      </w:r>
      <w:r w:rsidR="00985E06" w:rsidRPr="002C5AC6">
        <w:t xml:space="preserve">ъдебните такси са </w:t>
      </w:r>
      <w:r w:rsidR="00075E4B" w:rsidRPr="002C5AC6">
        <w:t>определени</w:t>
      </w:r>
      <w:r w:rsidR="00985E06" w:rsidRPr="002C5AC6">
        <w:t xml:space="preserve"> и събрани в съответствие с Тарифа № 1 към </w:t>
      </w:r>
      <w:r w:rsidR="006B088C" w:rsidRPr="002C5AC6">
        <w:t>ЗДТ</w:t>
      </w:r>
      <w:r w:rsidR="00985E06" w:rsidRPr="002C5AC6">
        <w:t xml:space="preserve">, </w:t>
      </w:r>
      <w:r w:rsidRPr="002C5AC6">
        <w:t xml:space="preserve">за таксите, </w:t>
      </w:r>
      <w:r w:rsidR="00985E06" w:rsidRPr="002C5AC6">
        <w:t>събирани от съдилищата, прокуратурата, следствените служби и М</w:t>
      </w:r>
      <w:r w:rsidR="00FE65AD" w:rsidRPr="002C5AC6">
        <w:t>П</w:t>
      </w:r>
      <w:r w:rsidR="00985E06" w:rsidRPr="002C5AC6">
        <w:t xml:space="preserve">, Тарифата за държавните такси, които се събират от съдилищата по ГПК. </w:t>
      </w:r>
      <w:r w:rsidR="00F04019" w:rsidRPr="002C5AC6">
        <w:t>Д</w:t>
      </w:r>
      <w:r w:rsidR="00985E06" w:rsidRPr="002C5AC6">
        <w:t xml:space="preserve">осиетата на делата </w:t>
      </w:r>
      <w:r w:rsidR="00FE65AD" w:rsidRPr="002C5AC6">
        <w:t>с</w:t>
      </w:r>
      <w:r w:rsidR="00F04019" w:rsidRPr="002C5AC6">
        <w:t>а</w:t>
      </w:r>
      <w:r w:rsidR="00FE65AD" w:rsidRPr="002C5AC6">
        <w:t xml:space="preserve"> </w:t>
      </w:r>
      <w:r w:rsidR="00F04019" w:rsidRPr="002C5AC6">
        <w:t>комплектовани с</w:t>
      </w:r>
      <w:r w:rsidR="00985E06" w:rsidRPr="002C5AC6">
        <w:t xml:space="preserve"> изискуемите документи </w:t>
      </w:r>
      <w:r w:rsidR="00FC763F" w:rsidRPr="002C5AC6">
        <w:t xml:space="preserve">относно </w:t>
      </w:r>
      <w:r w:rsidR="001C776D" w:rsidRPr="002C5AC6">
        <w:t>определените</w:t>
      </w:r>
      <w:r w:rsidR="00FC763F" w:rsidRPr="002C5AC6">
        <w:t xml:space="preserve"> и внесени такси</w:t>
      </w:r>
      <w:r w:rsidR="00985E06" w:rsidRPr="002C5AC6">
        <w:t>.</w:t>
      </w:r>
    </w:p>
    <w:p w:rsidR="00B37EDC" w:rsidRDefault="00AC2DC5" w:rsidP="00B07A83">
      <w:pPr>
        <w:ind w:firstLine="720"/>
        <w:jc w:val="both"/>
      </w:pPr>
      <w:r w:rsidRPr="002C5AC6">
        <w:rPr>
          <w:lang w:eastAsia="en-US"/>
        </w:rPr>
        <w:t xml:space="preserve">В процеса по извършване на </w:t>
      </w:r>
      <w:r w:rsidRPr="002C5AC6">
        <w:rPr>
          <w:i/>
          <w:lang w:eastAsia="en-US"/>
        </w:rPr>
        <w:t>разходи за заплати, възнаграждения и други плащания за персонала</w:t>
      </w:r>
      <w:r w:rsidRPr="002C5AC6">
        <w:t xml:space="preserve"> е с</w:t>
      </w:r>
      <w:r w:rsidR="00985E06" w:rsidRPr="002C5AC6">
        <w:t>ъздадена доб</w:t>
      </w:r>
      <w:r w:rsidR="00587ABC" w:rsidRPr="002C5AC6">
        <w:t>ра контролна среда</w:t>
      </w:r>
      <w:r w:rsidR="006708DA" w:rsidRPr="002C5AC6">
        <w:t>,</w:t>
      </w:r>
      <w:r w:rsidR="00587ABC" w:rsidRPr="002C5AC6">
        <w:t xml:space="preserve"> въведе</w:t>
      </w:r>
      <w:r w:rsidR="00985E06" w:rsidRPr="002C5AC6">
        <w:t xml:space="preserve">ни </w:t>
      </w:r>
      <w:r w:rsidR="006708DA" w:rsidRPr="002C5AC6">
        <w:t xml:space="preserve">са </w:t>
      </w:r>
      <w:r w:rsidR="00985E06" w:rsidRPr="002C5AC6">
        <w:t xml:space="preserve">контролни </w:t>
      </w:r>
      <w:r w:rsidR="00FE65AD" w:rsidRPr="002C5AC6">
        <w:t>процедури</w:t>
      </w:r>
      <w:r w:rsidR="00985E06" w:rsidRPr="002C5AC6">
        <w:t xml:space="preserve">, които минимизират риска от неправилно </w:t>
      </w:r>
      <w:r w:rsidR="008F6ECA" w:rsidRPr="002C5AC6">
        <w:t xml:space="preserve">определяне и изплащане </w:t>
      </w:r>
      <w:r w:rsidR="00985E06" w:rsidRPr="002C5AC6">
        <w:t>на възнагражденията</w:t>
      </w:r>
      <w:r w:rsidR="008F6ECA" w:rsidRPr="002C5AC6">
        <w:t xml:space="preserve"> по трудови и извънтрудови правоотношения</w:t>
      </w:r>
      <w:r w:rsidR="00985E06" w:rsidRPr="00806AA9">
        <w:t xml:space="preserve">. </w:t>
      </w:r>
      <w:r w:rsidR="006708DA" w:rsidRPr="00806AA9">
        <w:t>За ос</w:t>
      </w:r>
      <w:r w:rsidR="00D26358" w:rsidRPr="00806AA9">
        <w:t>игуряване на нормалната работа по</w:t>
      </w:r>
      <w:r w:rsidR="006708DA" w:rsidRPr="00806AA9">
        <w:t xml:space="preserve"> </w:t>
      </w:r>
      <w:r w:rsidR="00D26358" w:rsidRPr="00806AA9">
        <w:t xml:space="preserve">наказателните </w:t>
      </w:r>
      <w:r w:rsidR="006708DA" w:rsidRPr="00806AA9">
        <w:t>д</w:t>
      </w:r>
      <w:r w:rsidR="00D26358" w:rsidRPr="00806AA9">
        <w:t>ел</w:t>
      </w:r>
      <w:r w:rsidR="006708DA" w:rsidRPr="00806AA9">
        <w:t xml:space="preserve">а е възлаган и изплащан извънреден труд, </w:t>
      </w:r>
      <w:r w:rsidR="00B37EDC" w:rsidRPr="00806AA9">
        <w:t>при което са установени случаи на надвишаване на максимално допустимите по Кодекса на труда седмични и месечни норми. П</w:t>
      </w:r>
      <w:r w:rsidR="006708DA" w:rsidRPr="00806AA9">
        <w:t xml:space="preserve">ри </w:t>
      </w:r>
      <w:r w:rsidR="00806AA9" w:rsidRPr="00806AA9">
        <w:t xml:space="preserve">проверката </w:t>
      </w:r>
      <w:r w:rsidR="006708DA" w:rsidRPr="00806AA9">
        <w:t xml:space="preserve">на </w:t>
      </w:r>
      <w:r w:rsidR="00B37EDC" w:rsidRPr="00806AA9">
        <w:t>извънредния труд</w:t>
      </w:r>
      <w:r w:rsidR="006708DA" w:rsidRPr="00806AA9">
        <w:t xml:space="preserve"> е установено неправилно попълване на </w:t>
      </w:r>
      <w:r w:rsidR="00985E06" w:rsidRPr="00806AA9">
        <w:t xml:space="preserve">Книгата за отчитане на </w:t>
      </w:r>
      <w:r w:rsidR="00985E06" w:rsidRPr="00806AA9">
        <w:lastRenderedPageBreak/>
        <w:t>извънредния труд</w:t>
      </w:r>
      <w:r w:rsidR="00B37EDC" w:rsidRPr="00806AA9">
        <w:t>, с което не са спазени изискванията на</w:t>
      </w:r>
      <w:r w:rsidR="006708DA" w:rsidRPr="00806AA9">
        <w:t xml:space="preserve"> Н</w:t>
      </w:r>
      <w:r w:rsidR="00985E06" w:rsidRPr="00806AA9">
        <w:t>аредбата за работното време, почивките и отпуските (НР</w:t>
      </w:r>
      <w:r w:rsidR="00C42AB3" w:rsidRPr="00806AA9">
        <w:t>ВПО).</w:t>
      </w:r>
      <w:r w:rsidR="00C42AB3" w:rsidRPr="002C5AC6">
        <w:t xml:space="preserve"> </w:t>
      </w:r>
    </w:p>
    <w:p w:rsidR="00B37EDC" w:rsidRPr="002C5AC6" w:rsidRDefault="00B37EDC" w:rsidP="00B37EDC">
      <w:pPr>
        <w:ind w:firstLine="720"/>
        <w:jc w:val="both"/>
        <w:rPr>
          <w:shd w:val="clear" w:color="auto" w:fill="FEFEFE"/>
        </w:rPr>
      </w:pPr>
      <w:r w:rsidRPr="002C5AC6">
        <w:rPr>
          <w:shd w:val="clear" w:color="auto" w:fill="FEFEFE"/>
        </w:rPr>
        <w:t>Поради естеството на съдебната дейност и във връзка с прилагането на нормите в НПК</w:t>
      </w:r>
      <w:r w:rsidRPr="002C5AC6">
        <w:rPr>
          <w:rStyle w:val="FootnoteReference"/>
          <w:shd w:val="clear" w:color="auto" w:fill="FEFEFE"/>
        </w:rPr>
        <w:footnoteReference w:id="6"/>
      </w:r>
      <w:r w:rsidRPr="002C5AC6">
        <w:rPr>
          <w:shd w:val="clear" w:color="auto" w:fill="FEFEFE"/>
        </w:rPr>
        <w:t>, положеният извънреден труд е извън максимално допустимите седмични и месечни норми, посочени в чл. 146, ал. 2 от КТ</w:t>
      </w:r>
      <w:r w:rsidRPr="002C5AC6">
        <w:rPr>
          <w:rStyle w:val="FootnoteReference"/>
          <w:shd w:val="clear" w:color="auto" w:fill="FEFEFE"/>
        </w:rPr>
        <w:footnoteReference w:id="7"/>
      </w:r>
      <w:r w:rsidRPr="002C5AC6">
        <w:rPr>
          <w:shd w:val="clear" w:color="auto" w:fill="FEFEFE"/>
        </w:rPr>
        <w:t>. Спазено е изискването на чл. 146, ал. 1 от КТ за ненадвишаване на 150 часа годишно</w:t>
      </w:r>
      <w:r w:rsidRPr="002C5AC6">
        <w:rPr>
          <w:rStyle w:val="FootnoteReference"/>
          <w:shd w:val="clear" w:color="auto" w:fill="FEFEFE"/>
        </w:rPr>
        <w:footnoteReference w:id="8"/>
      </w:r>
      <w:r w:rsidRPr="002C5AC6">
        <w:rPr>
          <w:shd w:val="clear" w:color="auto" w:fill="FEFEFE"/>
        </w:rPr>
        <w:t>. Изключение за превишаване на годишната  норма има в един случай на командирован съдия от Районен съд Кюстендил, чието възнаграждение не се изплаща от СРС, в съответствие с изискванията на чл. 227, ал. 5 от ЗСВ</w:t>
      </w:r>
      <w:r w:rsidRPr="002C5AC6">
        <w:rPr>
          <w:rStyle w:val="FootnoteReference"/>
          <w:shd w:val="clear" w:color="auto" w:fill="FEFEFE"/>
        </w:rPr>
        <w:footnoteReference w:id="9"/>
      </w:r>
      <w:r w:rsidRPr="002C5AC6">
        <w:rPr>
          <w:shd w:val="clear" w:color="auto" w:fill="FEFEFE"/>
        </w:rPr>
        <w:t>.</w:t>
      </w:r>
    </w:p>
    <w:p w:rsidR="00B37EDC" w:rsidRPr="002C5AC6" w:rsidRDefault="00B37EDC" w:rsidP="00B37EDC">
      <w:pPr>
        <w:ind w:firstLine="720"/>
        <w:jc w:val="both"/>
        <w:rPr>
          <w:rFonts w:eastAsia="Calibri"/>
          <w:lang w:eastAsia="en-US"/>
        </w:rPr>
      </w:pPr>
      <w:r w:rsidRPr="002C5AC6">
        <w:rPr>
          <w:shd w:val="clear" w:color="auto" w:fill="FEFEFE"/>
        </w:rPr>
        <w:t xml:space="preserve">В Книгата за отчитане на извънредния труд не са попълвани всички реквизити, определени </w:t>
      </w:r>
      <w:r w:rsidRPr="002C5AC6">
        <w:t xml:space="preserve">в чл. 18, ал. 1 от НРВПО </w:t>
      </w:r>
      <w:r w:rsidRPr="002C5AC6">
        <w:rPr>
          <w:shd w:val="clear" w:color="auto" w:fill="FEFEFE"/>
        </w:rPr>
        <w:t>- н</w:t>
      </w:r>
      <w:r w:rsidRPr="002C5AC6">
        <w:t xml:space="preserve">е е посочен размер на изплатеното трудово възнаграждение; не е посочен </w:t>
      </w:r>
      <w:r w:rsidRPr="002C5AC6">
        <w:rPr>
          <w:highlight w:val="white"/>
          <w:shd w:val="clear" w:color="auto" w:fill="FEFEFE"/>
        </w:rPr>
        <w:t>ден , определен за почивка по реда на чл. 15, ал. 2</w:t>
      </w:r>
      <w:r w:rsidRPr="002C5AC6">
        <w:rPr>
          <w:shd w:val="clear" w:color="auto" w:fill="FEFEFE"/>
        </w:rPr>
        <w:t xml:space="preserve"> от НРВПО; в</w:t>
      </w:r>
      <w:r w:rsidRPr="002C5AC6">
        <w:rPr>
          <w:rFonts w:eastAsia="Calibri"/>
          <w:lang w:eastAsia="en-US"/>
        </w:rPr>
        <w:t>место номера на заповедта за полагане на извънреден труд, в книгата е записан номера на заповедта за изплащане на вече положения такъв</w:t>
      </w:r>
      <w:r w:rsidRPr="002C5AC6">
        <w:rPr>
          <w:rStyle w:val="FootnoteReference"/>
          <w:rFonts w:eastAsia="Calibri"/>
          <w:lang w:eastAsia="en-US"/>
        </w:rPr>
        <w:footnoteReference w:id="10"/>
      </w:r>
      <w:r w:rsidRPr="002C5AC6">
        <w:rPr>
          <w:rFonts w:eastAsia="Calibri"/>
          <w:lang w:eastAsia="en-US"/>
        </w:rPr>
        <w:t>.</w:t>
      </w:r>
    </w:p>
    <w:p w:rsidR="006708DA" w:rsidRPr="002C5AC6" w:rsidRDefault="00C42AB3" w:rsidP="00B07A83">
      <w:pPr>
        <w:ind w:firstLine="720"/>
        <w:jc w:val="both"/>
      </w:pPr>
      <w:r w:rsidRPr="002C5AC6">
        <w:t>За одитирания период не е</w:t>
      </w:r>
      <w:r w:rsidR="00985E06" w:rsidRPr="002C5AC6">
        <w:t xml:space="preserve"> установ</w:t>
      </w:r>
      <w:r w:rsidR="00AC7266" w:rsidRPr="002C5AC6">
        <w:t>ен</w:t>
      </w:r>
      <w:r w:rsidR="00985E06" w:rsidRPr="002C5AC6">
        <w:t xml:space="preserve"> преразход на средства за заплати, възнаграждения и плащания </w:t>
      </w:r>
      <w:r w:rsidR="00FE65AD" w:rsidRPr="002C5AC6">
        <w:t>з</w:t>
      </w:r>
      <w:r w:rsidR="00985E06" w:rsidRPr="002C5AC6">
        <w:t>а персонала в СРС</w:t>
      </w:r>
      <w:r w:rsidR="006708DA" w:rsidRPr="002C5AC6">
        <w:t>, както и неправилно определяне и изплащане на възнаграждения по трудови и извънтр</w:t>
      </w:r>
      <w:r w:rsidR="00AC2DC5" w:rsidRPr="002C5AC6">
        <w:t>у</w:t>
      </w:r>
      <w:r w:rsidR="006708DA" w:rsidRPr="002C5AC6">
        <w:t>дови правоотношения</w:t>
      </w:r>
      <w:r w:rsidR="00985E06" w:rsidRPr="002C5AC6">
        <w:t>.</w:t>
      </w:r>
    </w:p>
    <w:p w:rsidR="00985E06" w:rsidRPr="002C5AC6" w:rsidRDefault="00AC2DC5" w:rsidP="00B07A83">
      <w:pPr>
        <w:ind w:firstLine="720"/>
        <w:jc w:val="both"/>
        <w:rPr>
          <w:rFonts w:eastAsiaTheme="minorHAnsi"/>
          <w:lang w:eastAsia="en-US"/>
        </w:rPr>
      </w:pPr>
      <w:r w:rsidRPr="002C5AC6">
        <w:rPr>
          <w:rFonts w:eastAsiaTheme="minorHAnsi"/>
          <w:lang w:eastAsia="en-US"/>
        </w:rPr>
        <w:t xml:space="preserve">Установено е, че </w:t>
      </w:r>
      <w:r w:rsidR="008F6ECA" w:rsidRPr="002C5AC6">
        <w:rPr>
          <w:rFonts w:eastAsiaTheme="minorHAnsi"/>
          <w:lang w:eastAsia="en-US"/>
        </w:rPr>
        <w:t>ред</w:t>
      </w:r>
      <w:r w:rsidRPr="002C5AC6">
        <w:rPr>
          <w:rFonts w:eastAsiaTheme="minorHAnsi"/>
          <w:lang w:eastAsia="en-US"/>
        </w:rPr>
        <w:t>ът</w:t>
      </w:r>
      <w:r w:rsidR="008F6ECA" w:rsidRPr="002C5AC6">
        <w:rPr>
          <w:rFonts w:eastAsiaTheme="minorHAnsi"/>
          <w:lang w:eastAsia="en-US"/>
        </w:rPr>
        <w:t xml:space="preserve"> </w:t>
      </w:r>
      <w:r w:rsidR="00985E06" w:rsidRPr="002C5AC6">
        <w:rPr>
          <w:rFonts w:eastAsiaTheme="minorHAnsi"/>
          <w:lang w:eastAsia="en-US"/>
        </w:rPr>
        <w:t xml:space="preserve">за назначаване </w:t>
      </w:r>
      <w:r w:rsidR="00F32AA3" w:rsidRPr="002C5AC6">
        <w:rPr>
          <w:rFonts w:eastAsiaTheme="minorHAnsi"/>
          <w:lang w:eastAsia="en-US"/>
        </w:rPr>
        <w:t xml:space="preserve">на </w:t>
      </w:r>
      <w:r w:rsidR="00F32AA3" w:rsidRPr="002C5AC6">
        <w:rPr>
          <w:rFonts w:eastAsiaTheme="minorHAnsi"/>
          <w:i/>
          <w:lang w:eastAsia="en-US"/>
        </w:rPr>
        <w:t>вещи лица</w:t>
      </w:r>
      <w:r w:rsidR="00F32AA3" w:rsidRPr="002C5AC6">
        <w:rPr>
          <w:rFonts w:eastAsiaTheme="minorHAnsi"/>
          <w:lang w:eastAsia="en-US"/>
        </w:rPr>
        <w:t xml:space="preserve"> </w:t>
      </w:r>
      <w:r w:rsidR="00985E06" w:rsidRPr="002C5AC6">
        <w:rPr>
          <w:rFonts w:eastAsiaTheme="minorHAnsi"/>
          <w:lang w:eastAsia="en-US"/>
        </w:rPr>
        <w:t xml:space="preserve">и изплащане на </w:t>
      </w:r>
      <w:r w:rsidR="0070186E" w:rsidRPr="002C5AC6">
        <w:rPr>
          <w:rFonts w:eastAsiaTheme="minorHAnsi"/>
          <w:lang w:eastAsia="en-US"/>
        </w:rPr>
        <w:t>възнагражденията</w:t>
      </w:r>
      <w:r w:rsidR="00F32AA3" w:rsidRPr="002C5AC6">
        <w:rPr>
          <w:rFonts w:eastAsiaTheme="minorHAnsi"/>
          <w:lang w:eastAsia="en-US"/>
        </w:rPr>
        <w:t xml:space="preserve"> им</w:t>
      </w:r>
      <w:r w:rsidRPr="002C5AC6">
        <w:rPr>
          <w:rFonts w:eastAsiaTheme="minorHAnsi"/>
          <w:lang w:eastAsia="en-US"/>
        </w:rPr>
        <w:t>, определен с НВКВВЛ № 3 (отм.)</w:t>
      </w:r>
      <w:r w:rsidR="0059311D" w:rsidRPr="002C5AC6">
        <w:rPr>
          <w:rFonts w:eastAsiaTheme="minorHAnsi"/>
          <w:lang w:eastAsia="en-US"/>
        </w:rPr>
        <w:t xml:space="preserve"> </w:t>
      </w:r>
      <w:r w:rsidRPr="002C5AC6">
        <w:rPr>
          <w:rFonts w:eastAsiaTheme="minorHAnsi"/>
          <w:lang w:eastAsia="en-US"/>
        </w:rPr>
        <w:t xml:space="preserve">е спазван. </w:t>
      </w:r>
      <w:r w:rsidR="0070186E" w:rsidRPr="002C5AC6">
        <w:rPr>
          <w:rFonts w:eastAsiaTheme="minorHAnsi"/>
          <w:lang w:eastAsia="en-US"/>
        </w:rPr>
        <w:t xml:space="preserve">При определянето и изплащането на възнагражденията на вещите лица се използват </w:t>
      </w:r>
      <w:r w:rsidR="00FA2CD3" w:rsidRPr="002C5AC6">
        <w:rPr>
          <w:rFonts w:eastAsiaTheme="minorHAnsi"/>
          <w:lang w:eastAsia="en-US"/>
        </w:rPr>
        <w:t xml:space="preserve">образци на </w:t>
      </w:r>
      <w:r w:rsidR="0070186E" w:rsidRPr="002C5AC6">
        <w:rPr>
          <w:rFonts w:eastAsiaTheme="minorHAnsi"/>
          <w:lang w:eastAsia="en-US"/>
        </w:rPr>
        <w:t>формуляри и автоматизирана система за РКО 98а (от съдебно заседание), които са общи за цялата съдебна система.</w:t>
      </w:r>
      <w:r w:rsidR="00985E06" w:rsidRPr="002C5AC6">
        <w:rPr>
          <w:rFonts w:eastAsiaTheme="minorHAnsi"/>
          <w:lang w:eastAsia="en-US"/>
        </w:rPr>
        <w:t xml:space="preserve"> </w:t>
      </w:r>
      <w:r w:rsidR="0070186E" w:rsidRPr="002C5AC6">
        <w:rPr>
          <w:rFonts w:eastAsiaTheme="minorHAnsi"/>
          <w:lang w:eastAsia="en-US"/>
        </w:rPr>
        <w:t>Автоматизираната система за РКО 98а осигурява извънсчетоводно обработване на информацията за определените в съдебно заседание възнаграждения на вещите лица и тяхното изплащане, но не е осигурена</w:t>
      </w:r>
      <w:r w:rsidR="00985E06" w:rsidRPr="002C5AC6">
        <w:rPr>
          <w:rFonts w:eastAsiaTheme="minorHAnsi"/>
          <w:lang w:eastAsia="en-US"/>
        </w:rPr>
        <w:t xml:space="preserve"> връзка </w:t>
      </w:r>
      <w:r w:rsidR="0070186E" w:rsidRPr="002C5AC6">
        <w:rPr>
          <w:rFonts w:eastAsiaTheme="minorHAnsi"/>
          <w:lang w:eastAsia="en-US"/>
        </w:rPr>
        <w:t>със</w:t>
      </w:r>
      <w:r w:rsidR="00985E06" w:rsidRPr="002C5AC6">
        <w:rPr>
          <w:rFonts w:eastAsiaTheme="minorHAnsi"/>
          <w:lang w:eastAsia="en-US"/>
        </w:rPr>
        <w:t xml:space="preserve"> счетоводната програма</w:t>
      </w:r>
      <w:r w:rsidR="0070186E" w:rsidRPr="002C5AC6">
        <w:rPr>
          <w:rFonts w:eastAsiaTheme="minorHAnsi"/>
          <w:lang w:eastAsia="en-US"/>
        </w:rPr>
        <w:t xml:space="preserve">, </w:t>
      </w:r>
      <w:r w:rsidR="00985E06" w:rsidRPr="002C5AC6">
        <w:rPr>
          <w:rFonts w:eastAsiaTheme="minorHAnsi"/>
          <w:lang w:eastAsia="en-US"/>
        </w:rPr>
        <w:t>ко</w:t>
      </w:r>
      <w:r w:rsidR="00FA2CD3" w:rsidRPr="002C5AC6">
        <w:rPr>
          <w:rFonts w:eastAsiaTheme="minorHAnsi"/>
          <w:lang w:eastAsia="en-US"/>
        </w:rPr>
        <w:t>я</w:t>
      </w:r>
      <w:r w:rsidR="00985E06" w:rsidRPr="002C5AC6">
        <w:rPr>
          <w:rFonts w:eastAsiaTheme="minorHAnsi"/>
          <w:lang w:eastAsia="en-US"/>
        </w:rPr>
        <w:t xml:space="preserve">то </w:t>
      </w:r>
      <w:r w:rsidR="00F32AA3" w:rsidRPr="002C5AC6">
        <w:rPr>
          <w:rFonts w:eastAsiaTheme="minorHAnsi"/>
          <w:lang w:eastAsia="en-US"/>
        </w:rPr>
        <w:t>да</w:t>
      </w:r>
      <w:r w:rsidR="00985E06" w:rsidRPr="002C5AC6">
        <w:rPr>
          <w:rFonts w:eastAsiaTheme="minorHAnsi"/>
          <w:lang w:eastAsia="en-US"/>
        </w:rPr>
        <w:t xml:space="preserve"> позволи задълженията към вещите лица да се начисляват текущо и отчитат аналитично</w:t>
      </w:r>
      <w:r w:rsidR="0070186E" w:rsidRPr="002C5AC6">
        <w:rPr>
          <w:rStyle w:val="FootnoteReference"/>
          <w:rFonts w:eastAsiaTheme="minorHAnsi"/>
          <w:lang w:eastAsia="en-US"/>
        </w:rPr>
        <w:footnoteReference w:id="11"/>
      </w:r>
      <w:r w:rsidR="00985E06" w:rsidRPr="002C5AC6">
        <w:rPr>
          <w:rFonts w:eastAsiaTheme="minorHAnsi"/>
          <w:lang w:eastAsia="en-US"/>
        </w:rPr>
        <w:t xml:space="preserve"> в съответствие със ЗСч</w:t>
      </w:r>
      <w:r w:rsidR="00AC0865" w:rsidRPr="002C5AC6">
        <w:rPr>
          <w:rFonts w:eastAsiaTheme="minorHAnsi"/>
          <w:lang w:eastAsia="en-US"/>
        </w:rPr>
        <w:t xml:space="preserve"> (отм</w:t>
      </w:r>
      <w:r w:rsidR="0038528E" w:rsidRPr="002C5AC6">
        <w:rPr>
          <w:rFonts w:eastAsiaTheme="minorHAnsi"/>
          <w:lang w:eastAsia="en-US"/>
        </w:rPr>
        <w:t>.</w:t>
      </w:r>
      <w:r w:rsidR="00AC0865" w:rsidRPr="002C5AC6">
        <w:rPr>
          <w:rFonts w:eastAsiaTheme="minorHAnsi"/>
          <w:lang w:eastAsia="en-US"/>
        </w:rPr>
        <w:t>)</w:t>
      </w:r>
      <w:r w:rsidR="00985E06" w:rsidRPr="002C5AC6">
        <w:rPr>
          <w:rFonts w:eastAsiaTheme="minorHAnsi"/>
          <w:lang w:eastAsia="en-US"/>
        </w:rPr>
        <w:t xml:space="preserve">. </w:t>
      </w:r>
      <w:r w:rsidR="001B226E" w:rsidRPr="002C5AC6">
        <w:rPr>
          <w:rFonts w:eastAsiaTheme="minorHAnsi"/>
          <w:lang w:eastAsia="en-US"/>
        </w:rPr>
        <w:t xml:space="preserve">Установената практика не съответства на процедурите, описани в </w:t>
      </w:r>
      <w:r w:rsidR="00985E06" w:rsidRPr="002C5AC6">
        <w:rPr>
          <w:rFonts w:eastAsiaTheme="minorHAnsi"/>
          <w:lang w:eastAsia="en-US"/>
        </w:rPr>
        <w:t>Правилник</w:t>
      </w:r>
      <w:r w:rsidR="001B226E" w:rsidRPr="002C5AC6">
        <w:rPr>
          <w:rFonts w:eastAsiaTheme="minorHAnsi"/>
          <w:lang w:eastAsia="en-US"/>
        </w:rPr>
        <w:t>а</w:t>
      </w:r>
      <w:r w:rsidR="00985E06" w:rsidRPr="002C5AC6">
        <w:rPr>
          <w:rFonts w:eastAsiaTheme="minorHAnsi"/>
          <w:lang w:eastAsia="en-US"/>
        </w:rPr>
        <w:t xml:space="preserve"> за движение на</w:t>
      </w:r>
      <w:r w:rsidR="00204244" w:rsidRPr="002C5AC6">
        <w:rPr>
          <w:rFonts w:eastAsiaTheme="minorHAnsi"/>
          <w:lang w:eastAsia="en-US"/>
        </w:rPr>
        <w:t xml:space="preserve"> счетоводните документи (ПДСД) </w:t>
      </w:r>
      <w:r w:rsidR="005B3286" w:rsidRPr="002C5AC6">
        <w:rPr>
          <w:rFonts w:eastAsiaTheme="minorHAnsi"/>
          <w:lang w:eastAsia="en-US"/>
        </w:rPr>
        <w:t>-</w:t>
      </w:r>
      <w:r w:rsidR="00985E06" w:rsidRPr="002C5AC6">
        <w:rPr>
          <w:rFonts w:eastAsiaTheme="minorHAnsi"/>
          <w:lang w:eastAsia="en-US"/>
        </w:rPr>
        <w:t xml:space="preserve"> Раздел IV. </w:t>
      </w:r>
      <w:r w:rsidR="00FA2CD3" w:rsidRPr="002C5AC6">
        <w:rPr>
          <w:rFonts w:eastAsiaTheme="minorHAnsi"/>
          <w:lang w:eastAsia="en-US"/>
        </w:rPr>
        <w:t>„</w:t>
      </w:r>
      <w:r w:rsidR="00985E06" w:rsidRPr="002C5AC6">
        <w:rPr>
          <w:rFonts w:eastAsiaTheme="minorHAnsi"/>
          <w:lang w:eastAsia="en-US"/>
        </w:rPr>
        <w:t>Функционална структура на счетоводството</w:t>
      </w:r>
      <w:r w:rsidR="00FA2CD3" w:rsidRPr="002C5AC6">
        <w:rPr>
          <w:rFonts w:eastAsiaTheme="minorHAnsi"/>
          <w:lang w:eastAsia="en-US"/>
        </w:rPr>
        <w:t>“</w:t>
      </w:r>
      <w:r w:rsidR="00985E06" w:rsidRPr="002C5AC6">
        <w:rPr>
          <w:rFonts w:eastAsiaTheme="minorHAnsi"/>
          <w:lang w:eastAsia="en-US"/>
        </w:rPr>
        <w:t xml:space="preserve">, т. 3.1. </w:t>
      </w:r>
      <w:r w:rsidR="00FA2CD3" w:rsidRPr="002C5AC6">
        <w:rPr>
          <w:rFonts w:eastAsiaTheme="minorHAnsi"/>
          <w:lang w:eastAsia="en-US"/>
        </w:rPr>
        <w:t>„</w:t>
      </w:r>
      <w:r w:rsidR="00985E06" w:rsidRPr="002C5AC6">
        <w:rPr>
          <w:rFonts w:eastAsiaTheme="minorHAnsi"/>
          <w:lang w:eastAsia="en-US"/>
        </w:rPr>
        <w:t>Касови плащания на възнаграждения на вещи лица от бюджетна сметка и изготвяне на РКО 98а</w:t>
      </w:r>
      <w:r w:rsidR="00FA2CD3" w:rsidRPr="002C5AC6">
        <w:rPr>
          <w:rFonts w:eastAsiaTheme="minorHAnsi"/>
          <w:lang w:eastAsia="en-US"/>
        </w:rPr>
        <w:t>“</w:t>
      </w:r>
      <w:r w:rsidR="00522AFA" w:rsidRPr="002C5AC6">
        <w:rPr>
          <w:rFonts w:eastAsiaTheme="minorHAnsi"/>
          <w:lang w:eastAsia="en-US"/>
        </w:rPr>
        <w:t xml:space="preserve">. </w:t>
      </w:r>
      <w:r w:rsidR="005566BA" w:rsidRPr="002C5AC6">
        <w:rPr>
          <w:rFonts w:eastAsiaTheme="minorHAnsi"/>
          <w:lang w:eastAsia="en-US"/>
        </w:rPr>
        <w:t>Писмено н</w:t>
      </w:r>
      <w:r w:rsidR="00985E06" w:rsidRPr="002C5AC6">
        <w:rPr>
          <w:rFonts w:eastAsiaTheme="minorHAnsi"/>
          <w:lang w:eastAsia="en-US"/>
        </w:rPr>
        <w:t>е са определени политики и процедури за движението и съхранението на информацията (включително счетоводна</w:t>
      </w:r>
      <w:r w:rsidR="005566BA" w:rsidRPr="002C5AC6">
        <w:rPr>
          <w:rFonts w:eastAsiaTheme="minorHAnsi"/>
          <w:lang w:eastAsia="en-US"/>
        </w:rPr>
        <w:t>та</w:t>
      </w:r>
      <w:r w:rsidR="00985E06" w:rsidRPr="002C5AC6">
        <w:rPr>
          <w:rFonts w:eastAsiaTheme="minorHAnsi"/>
          <w:lang w:eastAsia="en-US"/>
        </w:rPr>
        <w:t xml:space="preserve">), </w:t>
      </w:r>
      <w:r w:rsidR="00F60480" w:rsidRPr="002C5AC6">
        <w:rPr>
          <w:rFonts w:eastAsiaTheme="minorHAnsi"/>
          <w:lang w:eastAsia="en-US"/>
        </w:rPr>
        <w:t xml:space="preserve">свързана </w:t>
      </w:r>
      <w:r w:rsidR="00985E06" w:rsidRPr="002C5AC6">
        <w:rPr>
          <w:rFonts w:eastAsiaTheme="minorHAnsi"/>
          <w:lang w:eastAsia="en-US"/>
        </w:rPr>
        <w:t xml:space="preserve">с дейността по изплащане </w:t>
      </w:r>
      <w:r w:rsidR="005566BA" w:rsidRPr="002C5AC6">
        <w:rPr>
          <w:rFonts w:eastAsiaTheme="minorHAnsi"/>
          <w:lang w:eastAsia="en-US"/>
        </w:rPr>
        <w:t xml:space="preserve">на </w:t>
      </w:r>
      <w:r w:rsidR="00985E06" w:rsidRPr="002C5AC6">
        <w:rPr>
          <w:rFonts w:eastAsiaTheme="minorHAnsi"/>
          <w:lang w:eastAsia="en-US"/>
        </w:rPr>
        <w:t>възнагражденията на вещи</w:t>
      </w:r>
      <w:r w:rsidR="005566BA" w:rsidRPr="002C5AC6">
        <w:rPr>
          <w:rFonts w:eastAsiaTheme="minorHAnsi"/>
          <w:lang w:eastAsia="en-US"/>
        </w:rPr>
        <w:t>те</w:t>
      </w:r>
      <w:r w:rsidR="00985E06" w:rsidRPr="002C5AC6">
        <w:rPr>
          <w:rFonts w:eastAsiaTheme="minorHAnsi"/>
          <w:lang w:eastAsia="en-US"/>
        </w:rPr>
        <w:t xml:space="preserve"> лица</w:t>
      </w:r>
      <w:r w:rsidR="005566BA" w:rsidRPr="002C5AC6">
        <w:rPr>
          <w:rFonts w:eastAsiaTheme="minorHAnsi"/>
          <w:lang w:eastAsia="en-US"/>
        </w:rPr>
        <w:t>,</w:t>
      </w:r>
      <w:r w:rsidR="00985E06" w:rsidRPr="002C5AC6">
        <w:rPr>
          <w:rFonts w:eastAsiaTheme="minorHAnsi"/>
          <w:lang w:eastAsia="en-US"/>
        </w:rPr>
        <w:t xml:space="preserve"> от момента на </w:t>
      </w:r>
      <w:r w:rsidR="005B3286" w:rsidRPr="002C5AC6">
        <w:rPr>
          <w:rFonts w:eastAsiaTheme="minorHAnsi"/>
          <w:lang w:eastAsia="en-US"/>
        </w:rPr>
        <w:t>нейното</w:t>
      </w:r>
      <w:r w:rsidR="00985E06" w:rsidRPr="002C5AC6">
        <w:rPr>
          <w:rFonts w:eastAsiaTheme="minorHAnsi"/>
          <w:lang w:eastAsia="en-US"/>
        </w:rPr>
        <w:t xml:space="preserve"> създаване или получаване в съда до момента на унищожаването или предаването </w:t>
      </w:r>
      <w:r w:rsidR="005B3286" w:rsidRPr="002C5AC6">
        <w:rPr>
          <w:rFonts w:eastAsiaTheme="minorHAnsi"/>
          <w:lang w:eastAsia="en-US"/>
        </w:rPr>
        <w:t>ѝ</w:t>
      </w:r>
      <w:r w:rsidR="00F32AA3" w:rsidRPr="002C5AC6">
        <w:rPr>
          <w:rFonts w:eastAsiaTheme="minorHAnsi"/>
          <w:lang w:eastAsia="en-US"/>
        </w:rPr>
        <w:t xml:space="preserve"> на следваща инстанция</w:t>
      </w:r>
      <w:r w:rsidR="00522AFA" w:rsidRPr="002C5AC6">
        <w:rPr>
          <w:rFonts w:eastAsiaTheme="minorHAnsi"/>
          <w:lang w:eastAsia="en-US"/>
        </w:rPr>
        <w:t>.</w:t>
      </w:r>
      <w:r w:rsidR="00985E06" w:rsidRPr="002C5AC6">
        <w:rPr>
          <w:rFonts w:eastAsiaTheme="minorHAnsi"/>
          <w:lang w:eastAsia="en-US"/>
        </w:rPr>
        <w:t xml:space="preserve"> </w:t>
      </w:r>
      <w:r w:rsidR="00E63C37" w:rsidRPr="002C5AC6">
        <w:rPr>
          <w:rFonts w:eastAsiaTheme="minorHAnsi"/>
          <w:lang w:eastAsia="en-US"/>
        </w:rPr>
        <w:t>Н</w:t>
      </w:r>
      <w:r w:rsidR="00985E06" w:rsidRPr="002C5AC6">
        <w:rPr>
          <w:rFonts w:eastAsiaTheme="minorHAnsi"/>
          <w:lang w:eastAsia="en-US"/>
        </w:rPr>
        <w:t xml:space="preserve">е е осъществяван предварителен контрол за законосъобразност преди извършване на разход </w:t>
      </w:r>
      <w:r w:rsidR="002E7A36" w:rsidRPr="002C5AC6">
        <w:rPr>
          <w:rFonts w:eastAsiaTheme="minorHAnsi"/>
          <w:lang w:eastAsia="en-US"/>
        </w:rPr>
        <w:t>за</w:t>
      </w:r>
      <w:r w:rsidR="00985E06" w:rsidRPr="002C5AC6">
        <w:rPr>
          <w:rFonts w:eastAsiaTheme="minorHAnsi"/>
          <w:lang w:eastAsia="en-US"/>
        </w:rPr>
        <w:t xml:space="preserve"> възнаграждени</w:t>
      </w:r>
      <w:r w:rsidR="003447EB" w:rsidRPr="002C5AC6">
        <w:rPr>
          <w:rFonts w:eastAsiaTheme="minorHAnsi"/>
          <w:lang w:eastAsia="en-US"/>
        </w:rPr>
        <w:t>я</w:t>
      </w:r>
      <w:r w:rsidR="002E7A36" w:rsidRPr="002C5AC6">
        <w:rPr>
          <w:rFonts w:eastAsiaTheme="minorHAnsi"/>
          <w:lang w:eastAsia="en-US"/>
        </w:rPr>
        <w:t xml:space="preserve"> на</w:t>
      </w:r>
      <w:r w:rsidR="00985E06" w:rsidRPr="002C5AC6">
        <w:rPr>
          <w:rFonts w:eastAsiaTheme="minorHAnsi"/>
          <w:lang w:eastAsia="en-US"/>
        </w:rPr>
        <w:t xml:space="preserve"> </w:t>
      </w:r>
      <w:r w:rsidR="002E7A36" w:rsidRPr="002C5AC6">
        <w:rPr>
          <w:rFonts w:eastAsiaTheme="minorHAnsi"/>
          <w:lang w:eastAsia="en-US"/>
        </w:rPr>
        <w:t xml:space="preserve">вещи лица, </w:t>
      </w:r>
      <w:r w:rsidR="00985E06" w:rsidRPr="002C5AC6">
        <w:rPr>
          <w:rFonts w:eastAsiaTheme="minorHAnsi"/>
          <w:lang w:eastAsia="en-US"/>
        </w:rPr>
        <w:t>ко</w:t>
      </w:r>
      <w:r w:rsidR="003447EB" w:rsidRPr="002C5AC6">
        <w:rPr>
          <w:rFonts w:eastAsiaTheme="minorHAnsi"/>
          <w:lang w:eastAsia="en-US"/>
        </w:rPr>
        <w:t>и</w:t>
      </w:r>
      <w:r w:rsidR="00985E06" w:rsidRPr="002C5AC6">
        <w:rPr>
          <w:rFonts w:eastAsiaTheme="minorHAnsi"/>
          <w:lang w:eastAsia="en-US"/>
        </w:rPr>
        <w:t>то се изплаща</w:t>
      </w:r>
      <w:r w:rsidR="003447EB" w:rsidRPr="002C5AC6">
        <w:rPr>
          <w:rFonts w:eastAsiaTheme="minorHAnsi"/>
          <w:lang w:eastAsia="en-US"/>
        </w:rPr>
        <w:t>т</w:t>
      </w:r>
      <w:r w:rsidR="00985E06" w:rsidRPr="002C5AC6">
        <w:rPr>
          <w:rFonts w:eastAsiaTheme="minorHAnsi"/>
          <w:lang w:eastAsia="en-US"/>
        </w:rPr>
        <w:t xml:space="preserve"> </w:t>
      </w:r>
      <w:r w:rsidR="002E7A36" w:rsidRPr="002C5AC6">
        <w:rPr>
          <w:rFonts w:eastAsiaTheme="minorHAnsi"/>
          <w:lang w:eastAsia="en-US"/>
        </w:rPr>
        <w:t>със средства от</w:t>
      </w:r>
      <w:r w:rsidR="00985E06" w:rsidRPr="002C5AC6">
        <w:rPr>
          <w:rFonts w:eastAsiaTheme="minorHAnsi"/>
          <w:lang w:eastAsia="en-US"/>
        </w:rPr>
        <w:t xml:space="preserve"> внесен</w:t>
      </w:r>
      <w:r w:rsidR="003447EB" w:rsidRPr="002C5AC6">
        <w:rPr>
          <w:rFonts w:eastAsiaTheme="minorHAnsi"/>
          <w:lang w:eastAsia="en-US"/>
        </w:rPr>
        <w:t>и</w:t>
      </w:r>
      <w:r w:rsidR="00985E06" w:rsidRPr="002C5AC6">
        <w:rPr>
          <w:rFonts w:eastAsiaTheme="minorHAnsi"/>
          <w:lang w:eastAsia="en-US"/>
        </w:rPr>
        <w:t xml:space="preserve"> депозит</w:t>
      </w:r>
      <w:r w:rsidR="003447EB" w:rsidRPr="002C5AC6">
        <w:rPr>
          <w:rFonts w:eastAsiaTheme="minorHAnsi"/>
          <w:lang w:eastAsia="en-US"/>
        </w:rPr>
        <w:t>и</w:t>
      </w:r>
      <w:r w:rsidR="00985E06" w:rsidRPr="002C5AC6">
        <w:rPr>
          <w:rFonts w:eastAsiaTheme="minorHAnsi"/>
          <w:lang w:eastAsia="en-US"/>
        </w:rPr>
        <w:t>.</w:t>
      </w:r>
    </w:p>
    <w:p w:rsidR="00C4158F" w:rsidRPr="002C5AC6" w:rsidRDefault="00985E06" w:rsidP="00C4158F">
      <w:pPr>
        <w:ind w:firstLine="709"/>
        <w:jc w:val="both"/>
      </w:pPr>
      <w:r w:rsidRPr="002C5AC6">
        <w:t xml:space="preserve">Управленските решения във връзка с организацията и провеждането на </w:t>
      </w:r>
      <w:r w:rsidRPr="002C5AC6">
        <w:rPr>
          <w:i/>
        </w:rPr>
        <w:t>процедурите и възлаганията на обществените поръчки и изпълнението на договорите</w:t>
      </w:r>
      <w:r w:rsidRPr="002C5AC6">
        <w:t>, сключени въз</w:t>
      </w:r>
      <w:r w:rsidR="00A014FE" w:rsidRPr="002C5AC6">
        <w:t xml:space="preserve"> основа на тях, не са осигурли </w:t>
      </w:r>
      <w:r w:rsidR="009703A9">
        <w:t xml:space="preserve">пълно </w:t>
      </w:r>
      <w:r w:rsidRPr="002C5AC6">
        <w:t xml:space="preserve">съответствие </w:t>
      </w:r>
      <w:r w:rsidR="00A014FE" w:rsidRPr="002C5AC6">
        <w:t xml:space="preserve">на вътрешните правила за организация на процеса </w:t>
      </w:r>
      <w:r w:rsidRPr="002C5AC6">
        <w:t xml:space="preserve">с </w:t>
      </w:r>
      <w:r w:rsidR="00A014FE" w:rsidRPr="002C5AC6">
        <w:t xml:space="preserve">промените в </w:t>
      </w:r>
      <w:r w:rsidRPr="002C5AC6">
        <w:t xml:space="preserve">правната рамка. </w:t>
      </w:r>
      <w:r w:rsidR="00A014FE" w:rsidRPr="002C5AC6">
        <w:t xml:space="preserve">Установено е обявяване на изисквания към </w:t>
      </w:r>
      <w:r w:rsidR="00A014FE" w:rsidRPr="002C5AC6">
        <w:lastRenderedPageBreak/>
        <w:t>кандидатите, които не съответстват на вида на</w:t>
      </w:r>
      <w:r w:rsidR="00CB55CC" w:rsidRPr="002C5AC6">
        <w:t xml:space="preserve"> прилаганата процедура.</w:t>
      </w:r>
      <w:r w:rsidRPr="002C5AC6">
        <w:rPr>
          <w:rFonts w:eastAsia="Calibri"/>
          <w:lang w:eastAsia="en-US"/>
        </w:rPr>
        <w:t xml:space="preserve"> </w:t>
      </w:r>
      <w:r w:rsidRPr="002C5AC6">
        <w:t>Разходите са извършени след представяне на фактури</w:t>
      </w:r>
      <w:r w:rsidR="009703A9">
        <w:t>. За извършените доставки са</w:t>
      </w:r>
      <w:r w:rsidRPr="002C5AC6">
        <w:t xml:space="preserve"> подписван</w:t>
      </w:r>
      <w:r w:rsidR="009703A9">
        <w:t>и</w:t>
      </w:r>
      <w:r w:rsidRPr="002C5AC6">
        <w:t xml:space="preserve"> приемо-предавателни протоколи. </w:t>
      </w:r>
      <w:r w:rsidR="00A014FE" w:rsidRPr="002C5AC6">
        <w:t>При ск</w:t>
      </w:r>
      <w:r w:rsidR="00345962" w:rsidRPr="002C5AC6">
        <w:t>л</w:t>
      </w:r>
      <w:r w:rsidR="00CB55CC" w:rsidRPr="002C5AC6">
        <w:t xml:space="preserve">ючването </w:t>
      </w:r>
      <w:r w:rsidR="00A014FE" w:rsidRPr="002C5AC6">
        <w:t xml:space="preserve">на договорите </w:t>
      </w:r>
      <w:r w:rsidR="00345962" w:rsidRPr="002C5AC6">
        <w:t>н</w:t>
      </w:r>
      <w:r w:rsidRPr="002C5AC6">
        <w:t>е е прилагана системата на двоен подпис, в нарушение на чл. 13, ал.</w:t>
      </w:r>
      <w:r w:rsidR="00345962" w:rsidRPr="002C5AC6">
        <w:t xml:space="preserve"> </w:t>
      </w:r>
      <w:r w:rsidRPr="002C5AC6">
        <w:t>3, т.</w:t>
      </w:r>
      <w:r w:rsidR="00345962" w:rsidRPr="002C5AC6">
        <w:t xml:space="preserve"> </w:t>
      </w:r>
      <w:r w:rsidRPr="002C5AC6">
        <w:t>3 от ЗФУКПС.</w:t>
      </w:r>
    </w:p>
    <w:p w:rsidR="007D4455" w:rsidRPr="002C5AC6" w:rsidRDefault="00985E06" w:rsidP="00BD4CF0">
      <w:pPr>
        <w:ind w:firstLine="720"/>
        <w:jc w:val="both"/>
        <w:rPr>
          <w:rFonts w:eastAsia="Calibri"/>
          <w:lang w:eastAsia="en-US"/>
        </w:rPr>
      </w:pPr>
      <w:r w:rsidRPr="00847EBE">
        <w:t>Не са проследявани сроковете за възстановяване на гаранциите за участие по чл.</w:t>
      </w:r>
      <w:r w:rsidR="009703A9" w:rsidRPr="00847EBE">
        <w:t xml:space="preserve"> </w:t>
      </w:r>
      <w:r w:rsidRPr="00847EBE">
        <w:t xml:space="preserve">62 от </w:t>
      </w:r>
      <w:r w:rsidR="000449F4" w:rsidRPr="00847EBE">
        <w:t xml:space="preserve">ЗОП </w:t>
      </w:r>
      <w:r w:rsidR="00345962" w:rsidRPr="00847EBE">
        <w:t>(отм.)</w:t>
      </w:r>
      <w:r w:rsidRPr="00847EBE">
        <w:t>. В резултат</w:t>
      </w:r>
      <w:r w:rsidR="00005E1C" w:rsidRPr="00847EBE">
        <w:t xml:space="preserve"> на това,</w:t>
      </w:r>
      <w:r w:rsidRPr="00847EBE">
        <w:t xml:space="preserve"> </w:t>
      </w:r>
      <w:r w:rsidR="00005E1C" w:rsidRPr="00847EBE">
        <w:t xml:space="preserve">при две обществени поръчки </w:t>
      </w:r>
      <w:r w:rsidRPr="00847EBE">
        <w:t xml:space="preserve">са нарушени сроковете по чл. 62 от </w:t>
      </w:r>
      <w:r w:rsidR="000449F4" w:rsidRPr="00847EBE">
        <w:t xml:space="preserve">ЗОП </w:t>
      </w:r>
      <w:r w:rsidR="00345962" w:rsidRPr="00847EBE">
        <w:t>(отм.)</w:t>
      </w:r>
      <w:r w:rsidRPr="00847EBE">
        <w:t xml:space="preserve"> за възстановяване на гаранциите за участие</w:t>
      </w:r>
      <w:r w:rsidR="008A3AB4" w:rsidRPr="00847EBE">
        <w:t>.</w:t>
      </w:r>
      <w:r w:rsidR="007D4455" w:rsidRPr="00847EBE">
        <w:t xml:space="preserve"> При една от процедурите</w:t>
      </w:r>
      <w:r w:rsidR="007D4455" w:rsidRPr="00847EBE">
        <w:rPr>
          <w:rFonts w:eastAsia="Calibri"/>
          <w:lang w:eastAsia="en-US"/>
        </w:rPr>
        <w:t xml:space="preserve"> </w:t>
      </w:r>
      <w:r w:rsidR="008D3537" w:rsidRPr="00847EBE">
        <w:rPr>
          <w:rFonts w:eastAsia="Calibri"/>
          <w:lang w:eastAsia="en-US"/>
        </w:rPr>
        <w:t>не са</w:t>
      </w:r>
      <w:r w:rsidR="007D4455" w:rsidRPr="00847EBE">
        <w:rPr>
          <w:rFonts w:eastAsia="Calibri"/>
          <w:lang w:eastAsia="en-US"/>
        </w:rPr>
        <w:t xml:space="preserve"> </w:t>
      </w:r>
      <w:r w:rsidR="008D3537" w:rsidRPr="00847EBE">
        <w:rPr>
          <w:rFonts w:eastAsia="Calibri"/>
          <w:lang w:eastAsia="en-US"/>
        </w:rPr>
        <w:t>спазени изискванията на</w:t>
      </w:r>
      <w:r w:rsidR="007D4455" w:rsidRPr="00847EBE">
        <w:rPr>
          <w:rFonts w:eastAsia="Calibri"/>
          <w:lang w:eastAsia="en-US"/>
        </w:rPr>
        <w:t xml:space="preserve"> чл. 25, ал.</w:t>
      </w:r>
      <w:r w:rsidR="008A3AB4" w:rsidRPr="00847EBE">
        <w:rPr>
          <w:rFonts w:eastAsia="Calibri"/>
          <w:lang w:eastAsia="en-US"/>
        </w:rPr>
        <w:t xml:space="preserve"> </w:t>
      </w:r>
      <w:r w:rsidR="007D4455" w:rsidRPr="00847EBE">
        <w:rPr>
          <w:rFonts w:eastAsia="Calibri"/>
          <w:lang w:eastAsia="en-US"/>
        </w:rPr>
        <w:t xml:space="preserve">5 от </w:t>
      </w:r>
      <w:r w:rsidR="000449F4" w:rsidRPr="00847EBE">
        <w:rPr>
          <w:rFonts w:eastAsia="Calibri"/>
          <w:lang w:eastAsia="en-US"/>
        </w:rPr>
        <w:t>ЗОП (</w:t>
      </w:r>
      <w:r w:rsidR="008A3AB4" w:rsidRPr="00847EBE">
        <w:rPr>
          <w:rFonts w:eastAsia="Calibri"/>
          <w:lang w:eastAsia="en-US"/>
        </w:rPr>
        <w:t>отм</w:t>
      </w:r>
      <w:r w:rsidR="000449F4" w:rsidRPr="00847EBE">
        <w:rPr>
          <w:rFonts w:eastAsia="Calibri"/>
          <w:lang w:eastAsia="en-US"/>
        </w:rPr>
        <w:t>.)</w:t>
      </w:r>
      <w:r w:rsidR="007D4455" w:rsidRPr="00847EBE">
        <w:rPr>
          <w:rFonts w:eastAsia="Calibri"/>
          <w:lang w:eastAsia="en-US"/>
        </w:rPr>
        <w:t>.</w:t>
      </w:r>
    </w:p>
    <w:p w:rsidR="00985E06" w:rsidRPr="002C5AC6" w:rsidRDefault="00985E06" w:rsidP="007D4455">
      <w:pPr>
        <w:ind w:firstLine="720"/>
        <w:jc w:val="both"/>
      </w:pPr>
      <w:r w:rsidRPr="002C5AC6">
        <w:t>При изпълне</w:t>
      </w:r>
      <w:r w:rsidR="00345962" w:rsidRPr="002C5AC6">
        <w:t>нието на договорите, сключени след</w:t>
      </w:r>
      <w:r w:rsidRPr="002C5AC6">
        <w:t xml:space="preserve"> проведени обществени поръчки, преди </w:t>
      </w:r>
      <w:r w:rsidR="00F75CD8" w:rsidRPr="002C5AC6">
        <w:t>утвърждаването</w:t>
      </w:r>
      <w:r w:rsidRPr="002C5AC6">
        <w:t xml:space="preserve"> на Вътрешни правила за възлагане на обществени поръчки и управление профила на купувача (ВПВОПУПК</w:t>
      </w:r>
      <w:r w:rsidR="00AA684D" w:rsidRPr="002C5AC6">
        <w:t>)</w:t>
      </w:r>
      <w:r w:rsidRPr="002C5AC6">
        <w:t xml:space="preserve"> в СРС, не са прилагани контролните дейности, предвидени в чл.</w:t>
      </w:r>
      <w:r w:rsidR="00345962" w:rsidRPr="002C5AC6">
        <w:t xml:space="preserve"> </w:t>
      </w:r>
      <w:r w:rsidRPr="002C5AC6">
        <w:t>13, ал.</w:t>
      </w:r>
      <w:r w:rsidR="00345962" w:rsidRPr="002C5AC6">
        <w:t xml:space="preserve"> </w:t>
      </w:r>
      <w:r w:rsidRPr="002C5AC6">
        <w:t>3, т.</w:t>
      </w:r>
      <w:r w:rsidR="00345962" w:rsidRPr="002C5AC6">
        <w:t xml:space="preserve"> </w:t>
      </w:r>
      <w:r w:rsidRPr="002C5AC6">
        <w:t xml:space="preserve">3 и 5 от ЗФУКПС, </w:t>
      </w:r>
      <w:r w:rsidR="008A3AB4" w:rsidRPr="002C5AC6">
        <w:t>чи</w:t>
      </w:r>
      <w:r w:rsidR="00A73868" w:rsidRPr="002C5AC6">
        <w:t>е</w:t>
      </w:r>
      <w:r w:rsidR="008A3AB4" w:rsidRPr="002C5AC6">
        <w:t xml:space="preserve">то </w:t>
      </w:r>
      <w:r w:rsidR="00A73868" w:rsidRPr="002C5AC6">
        <w:t>предназначение</w:t>
      </w:r>
      <w:r w:rsidR="008A3AB4" w:rsidRPr="002C5AC6">
        <w:t xml:space="preserve"> е </w:t>
      </w:r>
      <w:r w:rsidRPr="002C5AC6">
        <w:t>да да</w:t>
      </w:r>
      <w:r w:rsidR="008A3AB4" w:rsidRPr="002C5AC6">
        <w:t>ват</w:t>
      </w:r>
      <w:r w:rsidRPr="002C5AC6">
        <w:t xml:space="preserve"> на ръководителя на организацията разумна увереност, че рисковете са ограничени </w:t>
      </w:r>
      <w:r w:rsidR="00AA684D" w:rsidRPr="002C5AC6">
        <w:t>в</w:t>
      </w:r>
      <w:r w:rsidRPr="002C5AC6">
        <w:t xml:space="preserve"> допустимите граници.</w:t>
      </w:r>
    </w:p>
    <w:p w:rsidR="0026234B" w:rsidRPr="002C5AC6" w:rsidRDefault="00345962" w:rsidP="00A90676">
      <w:pPr>
        <w:ind w:firstLine="709"/>
        <w:jc w:val="both"/>
        <w:rPr>
          <w:rFonts w:eastAsiaTheme="minorHAnsi"/>
          <w:lang w:eastAsia="en-US"/>
        </w:rPr>
      </w:pPr>
      <w:r w:rsidRPr="002C5AC6">
        <w:rPr>
          <w:rFonts w:eastAsiaTheme="minorHAnsi"/>
          <w:lang w:eastAsia="en-US"/>
        </w:rPr>
        <w:t>Липсата на дата на</w:t>
      </w:r>
      <w:r w:rsidR="0026234B" w:rsidRPr="002C5AC6">
        <w:rPr>
          <w:rFonts w:eastAsiaTheme="minorHAnsi"/>
          <w:lang w:eastAsia="en-US"/>
        </w:rPr>
        <w:t xml:space="preserve"> публикуване </w:t>
      </w:r>
      <w:r w:rsidR="007D5978" w:rsidRPr="002C5AC6">
        <w:rPr>
          <w:rFonts w:eastAsiaTheme="minorHAnsi"/>
          <w:lang w:eastAsia="en-US"/>
        </w:rPr>
        <w:t xml:space="preserve">в </w:t>
      </w:r>
      <w:r w:rsidR="002D1484" w:rsidRPr="002C5AC6">
        <w:rPr>
          <w:rFonts w:eastAsiaTheme="minorHAnsi"/>
          <w:lang w:eastAsia="en-US"/>
        </w:rPr>
        <w:t>п</w:t>
      </w:r>
      <w:r w:rsidR="007D5978" w:rsidRPr="002C5AC6">
        <w:rPr>
          <w:rFonts w:eastAsiaTheme="minorHAnsi"/>
          <w:lang w:eastAsia="en-US"/>
        </w:rPr>
        <w:t xml:space="preserve">рофила на купувача </w:t>
      </w:r>
      <w:r w:rsidR="0026234B" w:rsidRPr="002C5AC6">
        <w:rPr>
          <w:rFonts w:eastAsiaTheme="minorHAnsi"/>
          <w:lang w:eastAsia="en-US"/>
        </w:rPr>
        <w:t>на документи, свързани с действия, за извършването на които законът е определил срокове, е пречка за установяване на съответствие</w:t>
      </w:r>
      <w:r w:rsidR="007D5978" w:rsidRPr="002C5AC6">
        <w:rPr>
          <w:rFonts w:eastAsiaTheme="minorHAnsi"/>
          <w:lang w:eastAsia="en-US"/>
        </w:rPr>
        <w:t>то</w:t>
      </w:r>
      <w:r w:rsidR="0026234B" w:rsidRPr="002C5AC6">
        <w:rPr>
          <w:rFonts w:eastAsiaTheme="minorHAnsi"/>
          <w:lang w:eastAsia="en-US"/>
        </w:rPr>
        <w:t xml:space="preserve"> с изискванията на правната рамка. </w:t>
      </w:r>
    </w:p>
    <w:p w:rsidR="00985E06" w:rsidRPr="002C5AC6" w:rsidRDefault="008847D5" w:rsidP="00A90676">
      <w:pPr>
        <w:ind w:firstLine="709"/>
        <w:jc w:val="both"/>
        <w:rPr>
          <w:rFonts w:eastAsiaTheme="minorHAnsi"/>
          <w:lang w:eastAsia="en-US"/>
        </w:rPr>
      </w:pPr>
      <w:r w:rsidRPr="002C5AC6">
        <w:rPr>
          <w:rFonts w:eastAsiaTheme="minorHAnsi"/>
          <w:lang w:eastAsia="en-US"/>
        </w:rPr>
        <w:t>П</w:t>
      </w:r>
      <w:r w:rsidR="00985E06" w:rsidRPr="002C5AC6">
        <w:rPr>
          <w:rFonts w:eastAsiaTheme="minorHAnsi"/>
          <w:lang w:eastAsia="en-US"/>
        </w:rPr>
        <w:t>роцедури</w:t>
      </w:r>
      <w:r w:rsidRPr="002C5AC6">
        <w:rPr>
          <w:rFonts w:eastAsiaTheme="minorHAnsi"/>
          <w:lang w:eastAsia="en-US"/>
        </w:rPr>
        <w:t>те</w:t>
      </w:r>
      <w:r w:rsidR="00985E06" w:rsidRPr="002C5AC6">
        <w:rPr>
          <w:rFonts w:eastAsiaTheme="minorHAnsi"/>
          <w:lang w:eastAsia="en-US"/>
        </w:rPr>
        <w:t xml:space="preserve"> и правила</w:t>
      </w:r>
      <w:r w:rsidRPr="002C5AC6">
        <w:rPr>
          <w:rFonts w:eastAsiaTheme="minorHAnsi"/>
          <w:lang w:eastAsia="en-US"/>
        </w:rPr>
        <w:t>та</w:t>
      </w:r>
      <w:r w:rsidR="001F3B9B" w:rsidRPr="002C5AC6">
        <w:rPr>
          <w:rFonts w:eastAsiaTheme="minorHAnsi"/>
          <w:lang w:eastAsia="en-US"/>
        </w:rPr>
        <w:t xml:space="preserve"> за </w:t>
      </w:r>
      <w:r w:rsidR="00432BD5" w:rsidRPr="002C5AC6">
        <w:rPr>
          <w:rFonts w:eastAsiaTheme="minorHAnsi"/>
          <w:lang w:eastAsia="en-US"/>
        </w:rPr>
        <w:t>работа</w:t>
      </w:r>
      <w:r w:rsidR="00985E06" w:rsidRPr="002C5AC6">
        <w:rPr>
          <w:rFonts w:eastAsiaTheme="minorHAnsi"/>
          <w:lang w:eastAsia="en-US"/>
        </w:rPr>
        <w:t>, както и задължения</w:t>
      </w:r>
      <w:r w:rsidRPr="002C5AC6">
        <w:rPr>
          <w:rFonts w:eastAsiaTheme="minorHAnsi"/>
          <w:lang w:eastAsia="en-US"/>
        </w:rPr>
        <w:t>та</w:t>
      </w:r>
      <w:r w:rsidR="00985E06" w:rsidRPr="002C5AC6">
        <w:rPr>
          <w:rFonts w:eastAsiaTheme="minorHAnsi"/>
          <w:lang w:eastAsia="en-US"/>
        </w:rPr>
        <w:t xml:space="preserve"> и отговорности</w:t>
      </w:r>
      <w:r w:rsidRPr="002C5AC6">
        <w:rPr>
          <w:rFonts w:eastAsiaTheme="minorHAnsi"/>
          <w:lang w:eastAsia="en-US"/>
        </w:rPr>
        <w:t>те</w:t>
      </w:r>
      <w:r w:rsidR="00985E06" w:rsidRPr="002C5AC6">
        <w:rPr>
          <w:rFonts w:eastAsiaTheme="minorHAnsi"/>
          <w:lang w:eastAsia="en-US"/>
        </w:rPr>
        <w:t xml:space="preserve"> на съответните </w:t>
      </w:r>
      <w:r w:rsidR="00432BD5" w:rsidRPr="002C5AC6">
        <w:rPr>
          <w:rFonts w:eastAsiaTheme="minorHAnsi"/>
          <w:lang w:eastAsia="en-US"/>
        </w:rPr>
        <w:t>структурни звена</w:t>
      </w:r>
      <w:r w:rsidR="00985E06" w:rsidRPr="002C5AC6">
        <w:rPr>
          <w:rFonts w:eastAsiaTheme="minorHAnsi"/>
          <w:lang w:eastAsia="en-US"/>
        </w:rPr>
        <w:t xml:space="preserve"> и длъжностни лица</w:t>
      </w:r>
      <w:r w:rsidRPr="002C5AC6">
        <w:rPr>
          <w:rFonts w:eastAsiaTheme="minorHAnsi"/>
          <w:lang w:eastAsia="en-US"/>
        </w:rPr>
        <w:t xml:space="preserve"> са регламентирани в СФУК на СРС, прилагана през одитирания период</w:t>
      </w:r>
      <w:r w:rsidR="00985E06" w:rsidRPr="002C5AC6">
        <w:rPr>
          <w:rFonts w:eastAsiaTheme="minorHAnsi"/>
          <w:lang w:eastAsia="en-US"/>
        </w:rPr>
        <w:t xml:space="preserve">. </w:t>
      </w:r>
      <w:r w:rsidRPr="002C5AC6">
        <w:rPr>
          <w:rFonts w:eastAsiaTheme="minorHAnsi"/>
          <w:lang w:eastAsia="en-US"/>
        </w:rPr>
        <w:t>При одита е установено, че във връзка с промяната на нормативната база и структурата на съда</w:t>
      </w:r>
      <w:r w:rsidRPr="002C5AC6" w:rsidDel="008847D5">
        <w:rPr>
          <w:rFonts w:eastAsiaTheme="minorHAnsi"/>
          <w:lang w:eastAsia="en-US"/>
        </w:rPr>
        <w:t xml:space="preserve"> </w:t>
      </w:r>
      <w:r w:rsidRPr="002C5AC6">
        <w:rPr>
          <w:rFonts w:eastAsiaTheme="minorHAnsi"/>
          <w:lang w:eastAsia="en-US"/>
        </w:rPr>
        <w:t>н</w:t>
      </w:r>
      <w:r w:rsidR="00985E06" w:rsidRPr="002C5AC6">
        <w:rPr>
          <w:rFonts w:eastAsiaTheme="minorHAnsi"/>
          <w:lang w:eastAsia="en-US"/>
        </w:rPr>
        <w:t>е е извършвана актуализация на инструкциите и правилата</w:t>
      </w:r>
      <w:r w:rsidRPr="002C5AC6">
        <w:rPr>
          <w:rFonts w:eastAsiaTheme="minorHAnsi"/>
          <w:lang w:eastAsia="en-US"/>
        </w:rPr>
        <w:t>, които изграждат системата</w:t>
      </w:r>
      <w:r w:rsidR="00432BD5" w:rsidRPr="002C5AC6">
        <w:rPr>
          <w:rFonts w:eastAsiaTheme="minorHAnsi"/>
          <w:lang w:eastAsia="en-US"/>
        </w:rPr>
        <w:t>, с което да се постигне</w:t>
      </w:r>
      <w:r w:rsidR="00985E06" w:rsidRPr="002C5AC6">
        <w:rPr>
          <w:rFonts w:eastAsiaTheme="minorHAnsi"/>
          <w:lang w:eastAsia="en-US"/>
        </w:rPr>
        <w:t xml:space="preserve"> цялостно обхващане на всички дейности и процеси в СРС.</w:t>
      </w:r>
    </w:p>
    <w:p w:rsidR="00FB3DDD" w:rsidRPr="002C5AC6" w:rsidRDefault="00FB3DDD" w:rsidP="00345962">
      <w:pPr>
        <w:spacing w:before="120" w:after="120"/>
        <w:ind w:firstLine="709"/>
        <w:jc w:val="both"/>
        <w:rPr>
          <w:b/>
        </w:rPr>
      </w:pPr>
      <w:r w:rsidRPr="002C5AC6">
        <w:rPr>
          <w:b/>
        </w:rPr>
        <w:t>Част втора</w:t>
      </w:r>
    </w:p>
    <w:p w:rsidR="00FB3DDD" w:rsidRPr="002C5AC6" w:rsidRDefault="00FB3DDD" w:rsidP="00345962">
      <w:pPr>
        <w:spacing w:before="120" w:after="120"/>
        <w:ind w:firstLine="709"/>
        <w:jc w:val="both"/>
        <w:rPr>
          <w:b/>
        </w:rPr>
      </w:pPr>
      <w:r w:rsidRPr="002C5AC6">
        <w:rPr>
          <w:b/>
        </w:rPr>
        <w:t>ВЪВЕДЕНИЕ</w:t>
      </w:r>
    </w:p>
    <w:p w:rsidR="008C36E0" w:rsidRPr="002C5AC6" w:rsidRDefault="002468C6" w:rsidP="00345962">
      <w:pPr>
        <w:spacing w:before="120" w:after="120"/>
        <w:ind w:firstLine="720"/>
        <w:jc w:val="both"/>
        <w:rPr>
          <w:b/>
          <w:lang w:eastAsia="en-US"/>
        </w:rPr>
      </w:pPr>
      <w:r w:rsidRPr="002C5AC6">
        <w:rPr>
          <w:b/>
          <w:lang w:eastAsia="en-US"/>
        </w:rPr>
        <w:t>1</w:t>
      </w:r>
      <w:r w:rsidR="008C36E0" w:rsidRPr="002C5AC6">
        <w:rPr>
          <w:b/>
          <w:lang w:eastAsia="en-US"/>
        </w:rPr>
        <w:t xml:space="preserve">. Основание за извършване на одита </w:t>
      </w:r>
    </w:p>
    <w:p w:rsidR="008C36E0" w:rsidRPr="002C5AC6" w:rsidRDefault="008C36E0" w:rsidP="00AA684D">
      <w:pPr>
        <w:ind w:firstLine="720"/>
        <w:jc w:val="both"/>
        <w:rPr>
          <w:lang w:eastAsia="en-US"/>
        </w:rPr>
      </w:pPr>
      <w:r w:rsidRPr="002C5AC6">
        <w:rPr>
          <w:lang w:eastAsia="en-US"/>
        </w:rPr>
        <w:t xml:space="preserve">Одитът </w:t>
      </w:r>
      <w:r w:rsidR="00345962" w:rsidRPr="002C5AC6">
        <w:rPr>
          <w:lang w:eastAsia="en-US"/>
        </w:rPr>
        <w:t xml:space="preserve">за съответствие на СРС </w:t>
      </w:r>
      <w:r w:rsidRPr="002C5AC6">
        <w:rPr>
          <w:lang w:eastAsia="en-US"/>
        </w:rPr>
        <w:t>е осъществяв</w:t>
      </w:r>
      <w:r w:rsidR="00BC6994" w:rsidRPr="002C5AC6">
        <w:rPr>
          <w:lang w:eastAsia="en-US"/>
        </w:rPr>
        <w:t>ен</w:t>
      </w:r>
      <w:r w:rsidRPr="002C5AC6">
        <w:rPr>
          <w:lang w:eastAsia="en-US"/>
        </w:rPr>
        <w:t xml:space="preserve"> на осн</w:t>
      </w:r>
      <w:r w:rsidR="00345962" w:rsidRPr="002C5AC6">
        <w:rPr>
          <w:lang w:eastAsia="en-US"/>
        </w:rPr>
        <w:t>ование чл. 5, ал. 1, т. 2 и чл. </w:t>
      </w:r>
      <w:r w:rsidRPr="002C5AC6">
        <w:rPr>
          <w:lang w:eastAsia="en-US"/>
        </w:rPr>
        <w:t xml:space="preserve">38, ал. 1 от Закона за Сметната палата, Програмата за одитната дейност на Сметната палата за 2015 г. и в изпълнение на </w:t>
      </w:r>
      <w:r w:rsidR="00BC6994" w:rsidRPr="002C5AC6">
        <w:rPr>
          <w:lang w:eastAsia="en-US"/>
        </w:rPr>
        <w:t>з</w:t>
      </w:r>
      <w:r w:rsidRPr="002C5AC6">
        <w:rPr>
          <w:lang w:eastAsia="en-US"/>
        </w:rPr>
        <w:t>аповед</w:t>
      </w:r>
      <w:r w:rsidR="00BC6994" w:rsidRPr="002C5AC6">
        <w:rPr>
          <w:lang w:eastAsia="en-US"/>
        </w:rPr>
        <w:t>и</w:t>
      </w:r>
      <w:r w:rsidRPr="002C5AC6">
        <w:rPr>
          <w:lang w:eastAsia="en-US"/>
        </w:rPr>
        <w:t xml:space="preserve"> </w:t>
      </w:r>
      <w:r w:rsidR="004C27F3" w:rsidRPr="002C5AC6">
        <w:rPr>
          <w:lang w:eastAsia="en-US"/>
        </w:rPr>
        <w:t>№</w:t>
      </w:r>
      <w:r w:rsidRPr="002C5AC6">
        <w:rPr>
          <w:lang w:eastAsia="en-US"/>
        </w:rPr>
        <w:t>№ ОД-05-01-010 от 08.06.2015 г.</w:t>
      </w:r>
      <w:r w:rsidR="004C27F3" w:rsidRPr="002C5AC6">
        <w:rPr>
          <w:lang w:eastAsia="en-US"/>
        </w:rPr>
        <w:t>, ОД-05-01-023 от 16.10.2015 г. и ОД-05-01-024 от 0</w:t>
      </w:r>
      <w:r w:rsidR="00506C02" w:rsidRPr="002C5AC6">
        <w:rPr>
          <w:lang w:eastAsia="en-US"/>
        </w:rPr>
        <w:t>6</w:t>
      </w:r>
      <w:r w:rsidR="004C27F3" w:rsidRPr="002C5AC6">
        <w:rPr>
          <w:lang w:eastAsia="en-US"/>
        </w:rPr>
        <w:t>.</w:t>
      </w:r>
      <w:r w:rsidR="00506C02" w:rsidRPr="002C5AC6">
        <w:rPr>
          <w:lang w:eastAsia="en-US"/>
        </w:rPr>
        <w:t>11</w:t>
      </w:r>
      <w:r w:rsidR="004C27F3" w:rsidRPr="002C5AC6">
        <w:rPr>
          <w:lang w:eastAsia="en-US"/>
        </w:rPr>
        <w:t>.2015 г.</w:t>
      </w:r>
      <w:r w:rsidRPr="002C5AC6">
        <w:rPr>
          <w:lang w:eastAsia="en-US"/>
        </w:rPr>
        <w:t xml:space="preserve"> на заместник-председател на Сметната палата. </w:t>
      </w:r>
    </w:p>
    <w:p w:rsidR="00E015B8" w:rsidRPr="002C5AC6" w:rsidRDefault="002468C6" w:rsidP="002468C6">
      <w:pPr>
        <w:spacing w:before="120" w:after="120"/>
        <w:ind w:firstLine="720"/>
        <w:jc w:val="both"/>
        <w:rPr>
          <w:b/>
        </w:rPr>
      </w:pPr>
      <w:r w:rsidRPr="002C5AC6">
        <w:rPr>
          <w:b/>
        </w:rPr>
        <w:t>2</w:t>
      </w:r>
      <w:r w:rsidR="008C36E0" w:rsidRPr="002C5AC6">
        <w:rPr>
          <w:b/>
        </w:rPr>
        <w:t>. Информация за одитирания обект</w:t>
      </w:r>
    </w:p>
    <w:p w:rsidR="00E015B8" w:rsidRPr="002C5AC6" w:rsidRDefault="00A74F6C" w:rsidP="00AA684D">
      <w:pPr>
        <w:ind w:firstLine="720"/>
        <w:jc w:val="both"/>
      </w:pPr>
      <w:r w:rsidRPr="002C5AC6">
        <w:t>Софийски</w:t>
      </w:r>
      <w:r w:rsidR="009930BA" w:rsidRPr="002C5AC6">
        <w:t>ят</w:t>
      </w:r>
      <w:r w:rsidRPr="002C5AC6">
        <w:t xml:space="preserve"> районен съд</w:t>
      </w:r>
      <w:r w:rsidR="00B47984" w:rsidRPr="002C5AC6">
        <w:t xml:space="preserve"> </w:t>
      </w:r>
      <w:r w:rsidRPr="002C5AC6">
        <w:t xml:space="preserve">е юридическо лице на бюджетна издръжка, второстепенен разпоредител с бюджет </w:t>
      </w:r>
      <w:r w:rsidR="00463694" w:rsidRPr="002C5AC6">
        <w:t>по бюджета на съдебната власт</w:t>
      </w:r>
      <w:r w:rsidRPr="002C5AC6">
        <w:t>.</w:t>
      </w:r>
    </w:p>
    <w:p w:rsidR="009C69DD" w:rsidRPr="002C5AC6" w:rsidRDefault="00BD5D99" w:rsidP="009C69DD">
      <w:pPr>
        <w:ind w:firstLine="720"/>
        <w:jc w:val="both"/>
        <w:rPr>
          <w:bCs/>
          <w:color w:val="000000"/>
          <w:shd w:val="clear" w:color="auto" w:fill="FFFFFF"/>
          <w:lang w:eastAsia="en-US"/>
        </w:rPr>
      </w:pPr>
      <w:r w:rsidRPr="002C5AC6">
        <w:rPr>
          <w:bCs/>
          <w:color w:val="000000"/>
          <w:shd w:val="clear" w:color="auto" w:fill="FFFFFF"/>
          <w:lang w:eastAsia="en-US"/>
        </w:rPr>
        <w:t>Статут</w:t>
      </w:r>
      <w:r w:rsidR="006B23C7" w:rsidRPr="002C5AC6">
        <w:rPr>
          <w:bCs/>
          <w:color w:val="000000"/>
          <w:shd w:val="clear" w:color="auto" w:fill="FFFFFF"/>
          <w:lang w:eastAsia="en-US"/>
        </w:rPr>
        <w:t>ът</w:t>
      </w:r>
      <w:r w:rsidRPr="002C5AC6">
        <w:rPr>
          <w:bCs/>
          <w:color w:val="000000"/>
          <w:shd w:val="clear" w:color="auto" w:fill="FFFFFF"/>
          <w:lang w:eastAsia="en-US"/>
        </w:rPr>
        <w:t>, функции</w:t>
      </w:r>
      <w:r w:rsidR="009C69DD" w:rsidRPr="002C5AC6">
        <w:rPr>
          <w:bCs/>
          <w:color w:val="000000"/>
          <w:shd w:val="clear" w:color="auto" w:fill="FFFFFF"/>
          <w:lang w:eastAsia="en-US"/>
        </w:rPr>
        <w:t>т</w:t>
      </w:r>
      <w:r w:rsidRPr="002C5AC6">
        <w:rPr>
          <w:bCs/>
          <w:color w:val="000000"/>
          <w:shd w:val="clear" w:color="auto" w:fill="FFFFFF"/>
          <w:lang w:eastAsia="en-US"/>
        </w:rPr>
        <w:t>е, ръководството и правомощията на съда са определени в Закона за съдебната власт, а структурата</w:t>
      </w:r>
      <w:r w:rsidR="009C69DD" w:rsidRPr="002C5AC6">
        <w:rPr>
          <w:bCs/>
          <w:color w:val="000000"/>
          <w:shd w:val="clear" w:color="auto" w:fill="FFFFFF"/>
          <w:lang w:eastAsia="en-US"/>
        </w:rPr>
        <w:t xml:space="preserve"> на администрацията</w:t>
      </w:r>
      <w:r w:rsidRPr="002C5AC6">
        <w:rPr>
          <w:bCs/>
          <w:color w:val="000000"/>
          <w:shd w:val="clear" w:color="auto" w:fill="FFFFFF"/>
          <w:lang w:eastAsia="en-US"/>
        </w:rPr>
        <w:t xml:space="preserve">, </w:t>
      </w:r>
      <w:r w:rsidR="009C69DD" w:rsidRPr="002C5AC6">
        <w:rPr>
          <w:bCs/>
          <w:color w:val="000000"/>
          <w:shd w:val="clear" w:color="auto" w:fill="FFFFFF"/>
          <w:lang w:eastAsia="en-US"/>
        </w:rPr>
        <w:t>функционалните характеристики на звената и организацията на работа в съда</w:t>
      </w:r>
      <w:r w:rsidRPr="002C5AC6">
        <w:rPr>
          <w:bCs/>
          <w:color w:val="000000"/>
          <w:shd w:val="clear" w:color="auto" w:fill="FFFFFF"/>
          <w:lang w:eastAsia="en-US"/>
        </w:rPr>
        <w:t xml:space="preserve"> </w:t>
      </w:r>
      <w:r w:rsidR="009C69DD" w:rsidRPr="002C5AC6">
        <w:rPr>
          <w:bCs/>
          <w:color w:val="000000"/>
          <w:shd w:val="clear" w:color="auto" w:fill="FFFFFF"/>
          <w:lang w:eastAsia="en-US"/>
        </w:rPr>
        <w:t>- в Правилник за администрацията в съдилищата</w:t>
      </w:r>
      <w:r w:rsidR="002468C6" w:rsidRPr="002C5AC6">
        <w:rPr>
          <w:bCs/>
          <w:color w:val="000000"/>
          <w:shd w:val="clear" w:color="auto" w:fill="FFFFFF"/>
          <w:lang w:eastAsia="en-US"/>
        </w:rPr>
        <w:t xml:space="preserve"> (ПАС)</w:t>
      </w:r>
      <w:r w:rsidR="009930BA" w:rsidRPr="002C5AC6">
        <w:rPr>
          <w:rStyle w:val="FootnoteReference"/>
          <w:bCs/>
          <w:color w:val="000000"/>
          <w:shd w:val="clear" w:color="auto" w:fill="FFFFFF"/>
          <w:lang w:eastAsia="en-US"/>
        </w:rPr>
        <w:footnoteReference w:id="12"/>
      </w:r>
      <w:r w:rsidR="009A05D1" w:rsidRPr="002C5AC6">
        <w:rPr>
          <w:bCs/>
          <w:color w:val="000000"/>
          <w:shd w:val="clear" w:color="auto" w:fill="FFFFFF"/>
          <w:lang w:eastAsia="en-US"/>
        </w:rPr>
        <w:t>.</w:t>
      </w:r>
    </w:p>
    <w:p w:rsidR="00E015B8" w:rsidRPr="002C5AC6" w:rsidRDefault="00E015B8" w:rsidP="009C69DD">
      <w:pPr>
        <w:ind w:firstLine="720"/>
        <w:jc w:val="both"/>
        <w:rPr>
          <w:bCs/>
          <w:color w:val="000000"/>
          <w:shd w:val="clear" w:color="auto" w:fill="FFFFFF"/>
          <w:lang w:eastAsia="en-US"/>
        </w:rPr>
      </w:pPr>
      <w:r w:rsidRPr="002C5AC6">
        <w:rPr>
          <w:bCs/>
          <w:color w:val="000000"/>
          <w:shd w:val="clear" w:color="auto" w:fill="FFFFFF"/>
          <w:lang w:eastAsia="en-US"/>
        </w:rPr>
        <w:t xml:space="preserve">СРС е </w:t>
      </w:r>
      <w:r w:rsidR="00464F15" w:rsidRPr="002C5AC6">
        <w:rPr>
          <w:bCs/>
          <w:color w:val="000000"/>
          <w:shd w:val="clear" w:color="auto" w:fill="FFFFFF"/>
          <w:lang w:eastAsia="en-US"/>
        </w:rPr>
        <w:t>най-големия</w:t>
      </w:r>
      <w:r w:rsidR="00741E26" w:rsidRPr="002C5AC6">
        <w:rPr>
          <w:bCs/>
          <w:color w:val="000000"/>
          <w:shd w:val="clear" w:color="auto" w:fill="FFFFFF"/>
          <w:lang w:eastAsia="en-US"/>
        </w:rPr>
        <w:t>т</w:t>
      </w:r>
      <w:r w:rsidR="00464F15" w:rsidRPr="002C5AC6">
        <w:rPr>
          <w:bCs/>
          <w:color w:val="000000"/>
          <w:shd w:val="clear" w:color="auto" w:fill="FFFFFF"/>
          <w:lang w:eastAsia="en-US"/>
        </w:rPr>
        <w:t xml:space="preserve"> </w:t>
      </w:r>
      <w:r w:rsidRPr="002C5AC6">
        <w:rPr>
          <w:bCs/>
          <w:color w:val="000000"/>
          <w:shd w:val="clear" w:color="auto" w:fill="FFFFFF"/>
          <w:lang w:eastAsia="en-US"/>
        </w:rPr>
        <w:t>първоинстанционен съд</w:t>
      </w:r>
      <w:r w:rsidR="00CD6ED2" w:rsidRPr="002C5AC6">
        <w:rPr>
          <w:bCs/>
          <w:color w:val="000000"/>
          <w:shd w:val="clear" w:color="auto" w:fill="FFFFFF"/>
          <w:lang w:eastAsia="en-US"/>
        </w:rPr>
        <w:t xml:space="preserve"> </w:t>
      </w:r>
      <w:r w:rsidR="004917D0" w:rsidRPr="002C5AC6">
        <w:rPr>
          <w:bCs/>
          <w:color w:val="000000"/>
          <w:shd w:val="clear" w:color="auto" w:fill="FFFFFF"/>
          <w:lang w:eastAsia="en-US"/>
        </w:rPr>
        <w:t xml:space="preserve">в съдебната система </w:t>
      </w:r>
      <w:r w:rsidR="00CD6ED2" w:rsidRPr="002C5AC6">
        <w:rPr>
          <w:bCs/>
          <w:color w:val="000000"/>
          <w:shd w:val="clear" w:color="auto" w:fill="FFFFFF"/>
          <w:lang w:eastAsia="en-US"/>
        </w:rPr>
        <w:t>на Република България</w:t>
      </w:r>
      <w:r w:rsidR="006D32F7" w:rsidRPr="002C5AC6">
        <w:rPr>
          <w:bCs/>
          <w:color w:val="000000"/>
          <w:shd w:val="clear" w:color="auto" w:fill="FFFFFF"/>
          <w:lang w:eastAsia="en-US"/>
        </w:rPr>
        <w:t>, който г</w:t>
      </w:r>
      <w:r w:rsidR="00A531EC" w:rsidRPr="002C5AC6">
        <w:rPr>
          <w:bCs/>
          <w:color w:val="000000"/>
          <w:shd w:val="clear" w:color="auto" w:fill="FFFFFF"/>
          <w:lang w:eastAsia="en-US"/>
        </w:rPr>
        <w:t>одишно р</w:t>
      </w:r>
      <w:r w:rsidRPr="002C5AC6">
        <w:rPr>
          <w:bCs/>
          <w:color w:val="000000"/>
          <w:shd w:val="clear" w:color="auto" w:fill="FFFFFF"/>
          <w:lang w:eastAsia="en-US"/>
        </w:rPr>
        <w:t xml:space="preserve">азглежда </w:t>
      </w:r>
      <w:r w:rsidR="00A12F22" w:rsidRPr="002C5AC6">
        <w:rPr>
          <w:bCs/>
          <w:color w:val="000000"/>
          <w:shd w:val="clear" w:color="auto" w:fill="FFFFFF"/>
          <w:lang w:eastAsia="en-US"/>
        </w:rPr>
        <w:t>близо една т</w:t>
      </w:r>
      <w:r w:rsidR="00A531EC" w:rsidRPr="002C5AC6">
        <w:rPr>
          <w:bCs/>
          <w:color w:val="000000"/>
          <w:shd w:val="clear" w:color="auto" w:fill="FFFFFF"/>
          <w:lang w:eastAsia="en-US"/>
        </w:rPr>
        <w:t xml:space="preserve">рета от </w:t>
      </w:r>
      <w:r w:rsidR="00741E26" w:rsidRPr="002C5AC6">
        <w:rPr>
          <w:bCs/>
          <w:color w:val="000000"/>
          <w:shd w:val="clear" w:color="auto" w:fill="FFFFFF"/>
          <w:lang w:eastAsia="en-US"/>
        </w:rPr>
        <w:t xml:space="preserve">всички </w:t>
      </w:r>
      <w:r w:rsidR="00A531EC" w:rsidRPr="002C5AC6">
        <w:rPr>
          <w:bCs/>
          <w:color w:val="000000"/>
          <w:shd w:val="clear" w:color="auto" w:fill="FFFFFF"/>
          <w:lang w:eastAsia="en-US"/>
        </w:rPr>
        <w:t xml:space="preserve">дела на районно ниво, в т.ч.: </w:t>
      </w:r>
      <w:r w:rsidRPr="002C5AC6">
        <w:rPr>
          <w:bCs/>
          <w:color w:val="000000"/>
          <w:shd w:val="clear" w:color="auto" w:fill="FFFFFF"/>
          <w:lang w:eastAsia="en-US"/>
        </w:rPr>
        <w:t>граждански</w:t>
      </w:r>
      <w:r w:rsidR="00394160" w:rsidRPr="002C5AC6">
        <w:rPr>
          <w:rStyle w:val="FootnoteReference"/>
          <w:bCs/>
          <w:color w:val="000000"/>
          <w:shd w:val="clear" w:color="auto" w:fill="FFFFFF"/>
          <w:lang w:eastAsia="en-US"/>
        </w:rPr>
        <w:footnoteReference w:id="13"/>
      </w:r>
      <w:r w:rsidRPr="002C5AC6">
        <w:rPr>
          <w:bCs/>
          <w:color w:val="000000"/>
          <w:shd w:val="clear" w:color="auto" w:fill="FFFFFF"/>
          <w:lang w:eastAsia="en-US"/>
        </w:rPr>
        <w:t>, наказателни</w:t>
      </w:r>
      <w:r w:rsidR="00DC019C" w:rsidRPr="002C5AC6">
        <w:rPr>
          <w:rStyle w:val="FootnoteReference"/>
          <w:bCs/>
          <w:color w:val="000000"/>
          <w:shd w:val="clear" w:color="auto" w:fill="FFFFFF"/>
          <w:lang w:eastAsia="en-US"/>
        </w:rPr>
        <w:footnoteReference w:id="14"/>
      </w:r>
      <w:r w:rsidR="00CD6ED2" w:rsidRPr="002C5AC6">
        <w:rPr>
          <w:bCs/>
          <w:color w:val="000000"/>
          <w:shd w:val="clear" w:color="auto" w:fill="FFFFFF"/>
          <w:lang w:eastAsia="en-US"/>
        </w:rPr>
        <w:t>,</w:t>
      </w:r>
      <w:r w:rsidR="00E5137E" w:rsidRPr="002C5AC6">
        <w:rPr>
          <w:bCs/>
          <w:color w:val="000000"/>
          <w:shd w:val="clear" w:color="auto" w:fill="FFFFFF"/>
          <w:lang w:eastAsia="en-US"/>
        </w:rPr>
        <w:t xml:space="preserve"> </w:t>
      </w:r>
      <w:r w:rsidRPr="002C5AC6">
        <w:rPr>
          <w:bCs/>
          <w:color w:val="000000"/>
          <w:shd w:val="clear" w:color="auto" w:fill="FFFFFF"/>
          <w:lang w:eastAsia="en-US"/>
        </w:rPr>
        <w:t>административно-наказателни</w:t>
      </w:r>
      <w:r w:rsidR="00DC019C" w:rsidRPr="002C5AC6">
        <w:rPr>
          <w:rStyle w:val="FootnoteReference"/>
          <w:bCs/>
          <w:color w:val="000000"/>
          <w:shd w:val="clear" w:color="auto" w:fill="FFFFFF"/>
          <w:lang w:eastAsia="en-US"/>
        </w:rPr>
        <w:footnoteReference w:id="15"/>
      </w:r>
      <w:r w:rsidR="00A531EC" w:rsidRPr="002C5AC6">
        <w:rPr>
          <w:bCs/>
          <w:color w:val="000000"/>
          <w:shd w:val="clear" w:color="auto" w:fill="FFFFFF"/>
          <w:lang w:eastAsia="en-US"/>
        </w:rPr>
        <w:t xml:space="preserve"> </w:t>
      </w:r>
      <w:r w:rsidR="00CD6ED2" w:rsidRPr="002C5AC6">
        <w:rPr>
          <w:bCs/>
          <w:color w:val="000000"/>
          <w:shd w:val="clear" w:color="auto" w:fill="FFFFFF"/>
          <w:lang w:eastAsia="en-US"/>
        </w:rPr>
        <w:t>и административни дела</w:t>
      </w:r>
      <w:r w:rsidR="006B632D" w:rsidRPr="002C5AC6">
        <w:rPr>
          <w:rStyle w:val="FootnoteReference"/>
          <w:bCs/>
          <w:color w:val="000000"/>
          <w:shd w:val="clear" w:color="auto" w:fill="FFFFFF"/>
          <w:lang w:eastAsia="en-US"/>
        </w:rPr>
        <w:footnoteReference w:id="16"/>
      </w:r>
      <w:r w:rsidRPr="002C5AC6">
        <w:rPr>
          <w:bCs/>
          <w:color w:val="000000"/>
          <w:shd w:val="clear" w:color="auto" w:fill="FFFFFF"/>
          <w:lang w:eastAsia="en-US"/>
        </w:rPr>
        <w:t xml:space="preserve">. </w:t>
      </w:r>
    </w:p>
    <w:p w:rsidR="00E015B8" w:rsidRPr="002C5AC6" w:rsidRDefault="00E015B8" w:rsidP="00AA684D">
      <w:pPr>
        <w:ind w:firstLine="720"/>
        <w:jc w:val="both"/>
      </w:pPr>
      <w:r w:rsidRPr="002C5AC6">
        <w:rPr>
          <w:bCs/>
        </w:rPr>
        <w:lastRenderedPageBreak/>
        <w:t xml:space="preserve">На СРС са подсъдни </w:t>
      </w:r>
      <w:r w:rsidRPr="002C5AC6">
        <w:t xml:space="preserve">всички първоинстанционни граждански и наказателни дела, освен тези, които със закон са </w:t>
      </w:r>
      <w:r w:rsidR="00DC019C" w:rsidRPr="002C5AC6">
        <w:t>подсъдни</w:t>
      </w:r>
      <w:r w:rsidRPr="002C5AC6">
        <w:t xml:space="preserve"> на друг съд. Съдът разглежда и административни дела, както и дела по жалби или протести срещу актове на особени юрисдикции и други органи. СРС разглежда като първа инстанция дела за </w:t>
      </w:r>
      <w:r w:rsidR="001D58AE" w:rsidRPr="002C5AC6">
        <w:t>съдебен район,</w:t>
      </w:r>
      <w:r w:rsidR="00CD6ED2" w:rsidRPr="002C5AC6">
        <w:t xml:space="preserve"> определен от ВСС, </w:t>
      </w:r>
      <w:r w:rsidR="001D58AE" w:rsidRPr="002C5AC6">
        <w:t xml:space="preserve"> включващ </w:t>
      </w:r>
      <w:r w:rsidRPr="002C5AC6">
        <w:t xml:space="preserve">територията на гр. София и присъединените квартали и села, в състав от съдия и двама съдебни заседатели, а в предвидените </w:t>
      </w:r>
      <w:r w:rsidR="0033455A" w:rsidRPr="002C5AC6">
        <w:t xml:space="preserve">от закона случаи </w:t>
      </w:r>
      <w:r w:rsidR="00675480" w:rsidRPr="002C5AC6">
        <w:t xml:space="preserve">- </w:t>
      </w:r>
      <w:r w:rsidR="0033455A" w:rsidRPr="002C5AC6">
        <w:t>от един съдия.</w:t>
      </w:r>
      <w:r w:rsidRPr="002C5AC6">
        <w:t xml:space="preserve"> Състои се от съдии и се ръководи от председател. Председателят на СРС </w:t>
      </w:r>
      <w:r w:rsidR="00954441" w:rsidRPr="002C5AC6">
        <w:t>о</w:t>
      </w:r>
      <w:r w:rsidRPr="002C5AC6">
        <w:t xml:space="preserve">съществява общото ръководство, отговаря за дейността </w:t>
      </w:r>
      <w:r w:rsidR="00954441" w:rsidRPr="002C5AC6">
        <w:t xml:space="preserve">на съда </w:t>
      </w:r>
      <w:r w:rsidRPr="002C5AC6">
        <w:t xml:space="preserve">и </w:t>
      </w:r>
      <w:r w:rsidR="00954441" w:rsidRPr="002C5AC6">
        <w:t xml:space="preserve">го </w:t>
      </w:r>
      <w:r w:rsidRPr="002C5AC6">
        <w:t>представлява, ръководи и контрол</w:t>
      </w:r>
      <w:r w:rsidR="008C5624" w:rsidRPr="002C5AC6">
        <w:t xml:space="preserve">ира работата на държавните съдебни </w:t>
      </w:r>
      <w:r w:rsidRPr="002C5AC6">
        <w:t>изп</w:t>
      </w:r>
      <w:r w:rsidR="00954441" w:rsidRPr="002C5AC6">
        <w:t xml:space="preserve">ълнители, бюрото за съдимост, </w:t>
      </w:r>
      <w:r w:rsidRPr="002C5AC6">
        <w:t xml:space="preserve">съдиите и </w:t>
      </w:r>
      <w:r w:rsidR="00954441" w:rsidRPr="002C5AC6">
        <w:t xml:space="preserve">на </w:t>
      </w:r>
      <w:r w:rsidRPr="002C5AC6">
        <w:t xml:space="preserve">отделните служби, назначава и освобождава от длъжност </w:t>
      </w:r>
      <w:r w:rsidR="00954441" w:rsidRPr="002C5AC6">
        <w:t xml:space="preserve">съдебните </w:t>
      </w:r>
      <w:r w:rsidRPr="002C5AC6">
        <w:t xml:space="preserve">служители. </w:t>
      </w:r>
      <w:r w:rsidR="004C3683" w:rsidRPr="002C5AC6">
        <w:t>През одитирания период председ</w:t>
      </w:r>
      <w:r w:rsidR="00463694" w:rsidRPr="002C5AC6">
        <w:t>а</w:t>
      </w:r>
      <w:r w:rsidR="004C3683" w:rsidRPr="002C5AC6">
        <w:t>тел на СРС</w:t>
      </w:r>
      <w:r w:rsidR="009A05D1" w:rsidRPr="002C5AC6">
        <w:rPr>
          <w:rStyle w:val="FootnoteReference"/>
        </w:rPr>
        <w:footnoteReference w:id="17"/>
      </w:r>
      <w:r w:rsidR="004C3683" w:rsidRPr="002C5AC6">
        <w:t xml:space="preserve"> и носител на управленската отговорност по смисъла на чл.</w:t>
      </w:r>
      <w:r w:rsidR="00741E26" w:rsidRPr="002C5AC6">
        <w:t xml:space="preserve"> </w:t>
      </w:r>
      <w:r w:rsidR="004C3683" w:rsidRPr="002C5AC6">
        <w:t>6, ал.</w:t>
      </w:r>
      <w:r w:rsidR="00C87DD0">
        <w:t> </w:t>
      </w:r>
      <w:r w:rsidR="004C3683" w:rsidRPr="002C5AC6">
        <w:t xml:space="preserve">1 от ЗФУКПС е </w:t>
      </w:r>
      <w:r w:rsidR="009A05D1" w:rsidRPr="002C5AC6">
        <w:t xml:space="preserve">Методи </w:t>
      </w:r>
      <w:r w:rsidR="002964B8" w:rsidRPr="002C5AC6">
        <w:t xml:space="preserve">Орлинов </w:t>
      </w:r>
      <w:r w:rsidR="0078150F" w:rsidRPr="002C5AC6">
        <w:t>Лалов</w:t>
      </w:r>
      <w:r w:rsidR="004C3683" w:rsidRPr="002C5AC6">
        <w:t xml:space="preserve">. </w:t>
      </w:r>
      <w:r w:rsidRPr="002C5AC6">
        <w:t>Председателят изготвя годишен доклад за дейността на съда и го представя до 31 януари на председателя на окръжния съд.</w:t>
      </w:r>
      <w:r w:rsidR="00BC6453" w:rsidRPr="002C5AC6">
        <w:t xml:space="preserve"> Докладът</w:t>
      </w:r>
      <w:r w:rsidR="0018781F" w:rsidRPr="002C5AC6">
        <w:t xml:space="preserve"> </w:t>
      </w:r>
      <w:r w:rsidR="00570A81" w:rsidRPr="002C5AC6">
        <w:t>се</w:t>
      </w:r>
      <w:r w:rsidR="0018781F" w:rsidRPr="002C5AC6">
        <w:t xml:space="preserve"> публикува на </w:t>
      </w:r>
      <w:r w:rsidR="002468C6" w:rsidRPr="002C5AC6">
        <w:t xml:space="preserve">интернет страницата </w:t>
      </w:r>
      <w:r w:rsidR="00570A81" w:rsidRPr="002C5AC6">
        <w:t>на СРС</w:t>
      </w:r>
      <w:r w:rsidR="0018781F" w:rsidRPr="002C5AC6">
        <w:t>.</w:t>
      </w:r>
      <w:r w:rsidR="00570A81" w:rsidRPr="002C5AC6">
        <w:t xml:space="preserve"> Ръководството на</w:t>
      </w:r>
      <w:r w:rsidR="0018781F" w:rsidRPr="002C5AC6">
        <w:rPr>
          <w:rStyle w:val="FootnoteReference"/>
        </w:rPr>
        <w:t xml:space="preserve"> </w:t>
      </w:r>
      <w:r w:rsidRPr="002C5AC6">
        <w:t xml:space="preserve"> СРС </w:t>
      </w:r>
      <w:r w:rsidR="00570A81" w:rsidRPr="002C5AC6">
        <w:t xml:space="preserve">включва и </w:t>
      </w:r>
      <w:r w:rsidRPr="002C5AC6">
        <w:t>четир</w:t>
      </w:r>
      <w:r w:rsidR="00E265F3" w:rsidRPr="002C5AC6">
        <w:t>има</w:t>
      </w:r>
      <w:r w:rsidR="00954441" w:rsidRPr="002C5AC6">
        <w:t xml:space="preserve"> </w:t>
      </w:r>
      <w:r w:rsidRPr="002C5AC6">
        <w:t xml:space="preserve">заместник-председатели </w:t>
      </w:r>
      <w:r w:rsidR="00BC6453" w:rsidRPr="002C5AC6">
        <w:t xml:space="preserve">- </w:t>
      </w:r>
      <w:r w:rsidRPr="002C5AC6">
        <w:t>на трите граждански отделения и на наказател</w:t>
      </w:r>
      <w:r w:rsidR="00B47984" w:rsidRPr="002C5AC6">
        <w:t xml:space="preserve">ното отделение, </w:t>
      </w:r>
      <w:r w:rsidR="00FC04B6" w:rsidRPr="002C5AC6">
        <w:t xml:space="preserve">както и </w:t>
      </w:r>
      <w:r w:rsidR="00B47984" w:rsidRPr="002C5AC6">
        <w:t>ръководител</w:t>
      </w:r>
      <w:r w:rsidR="00926B2F" w:rsidRPr="002C5AC6">
        <w:t>ите</w:t>
      </w:r>
      <w:r w:rsidR="00B47984" w:rsidRPr="002C5AC6">
        <w:t xml:space="preserve"> на </w:t>
      </w:r>
      <w:r w:rsidRPr="002C5AC6">
        <w:t>държавни</w:t>
      </w:r>
      <w:r w:rsidR="00B41C52" w:rsidRPr="002C5AC6">
        <w:t>те</w:t>
      </w:r>
      <w:r w:rsidRPr="002C5AC6">
        <w:t xml:space="preserve"> съдебни изпълнители</w:t>
      </w:r>
      <w:r w:rsidR="00926B2F" w:rsidRPr="002C5AC6">
        <w:t xml:space="preserve"> и</w:t>
      </w:r>
      <w:r w:rsidRPr="002C5AC6">
        <w:t xml:space="preserve"> на съдии</w:t>
      </w:r>
      <w:r w:rsidR="00B41C52" w:rsidRPr="002C5AC6">
        <w:t>те</w:t>
      </w:r>
      <w:r w:rsidRPr="002C5AC6">
        <w:t xml:space="preserve"> по вписванията.</w:t>
      </w:r>
    </w:p>
    <w:p w:rsidR="00C7545B" w:rsidRPr="002C5AC6" w:rsidRDefault="00233D27" w:rsidP="00AA684D">
      <w:pPr>
        <w:ind w:firstLine="720"/>
        <w:jc w:val="both"/>
        <w:rPr>
          <w:bCs/>
          <w:color w:val="000000"/>
          <w:shd w:val="clear" w:color="auto" w:fill="FFFFFF"/>
          <w:lang w:eastAsia="en-US"/>
        </w:rPr>
      </w:pPr>
      <w:r w:rsidRPr="002C5AC6">
        <w:rPr>
          <w:lang w:eastAsia="en-US"/>
        </w:rPr>
        <w:t xml:space="preserve">Звената на администрацията, функционалните им характеристики, организацията на работата, длъжностното разписание, типовите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 </w:t>
      </w:r>
      <w:r w:rsidR="00E322D9" w:rsidRPr="002C5AC6">
        <w:rPr>
          <w:lang w:eastAsia="en-US"/>
        </w:rPr>
        <w:t>са определени в Правилник за администрацията в съдилищата</w:t>
      </w:r>
      <w:r w:rsidR="00EE2D6C" w:rsidRPr="002C5AC6">
        <w:rPr>
          <w:rStyle w:val="FootnoteReference"/>
          <w:bCs/>
          <w:color w:val="000000"/>
          <w:shd w:val="clear" w:color="auto" w:fill="FFFFFF"/>
          <w:lang w:eastAsia="en-US"/>
        </w:rPr>
        <w:footnoteReference w:id="18"/>
      </w:r>
      <w:r w:rsidR="00E322D9" w:rsidRPr="002C5AC6">
        <w:rPr>
          <w:lang w:eastAsia="en-US"/>
        </w:rPr>
        <w:t>. Съдебният администратор р</w:t>
      </w:r>
      <w:r w:rsidR="00B41C52" w:rsidRPr="002C5AC6">
        <w:rPr>
          <w:lang w:eastAsia="en-US"/>
        </w:rPr>
        <w:t xml:space="preserve">ъководи администрацията на съда </w:t>
      </w:r>
      <w:r w:rsidR="00E322D9" w:rsidRPr="002C5AC6">
        <w:rPr>
          <w:lang w:eastAsia="en-US"/>
        </w:rPr>
        <w:t xml:space="preserve">като планира, организира и ръководи съдебните служители, организира разпределението на дейностите между отделните звена, осигурява организационната връзка </w:t>
      </w:r>
      <w:r w:rsidR="00C87DD0">
        <w:rPr>
          <w:lang w:eastAsia="en-US"/>
        </w:rPr>
        <w:t>на</w:t>
      </w:r>
      <w:r w:rsidR="00E322D9" w:rsidRPr="002C5AC6">
        <w:rPr>
          <w:lang w:eastAsia="en-US"/>
        </w:rPr>
        <w:t xml:space="preserve"> председателя и съдиите с администрацията на съда</w:t>
      </w:r>
      <w:r w:rsidR="009C66C2" w:rsidRPr="002C5AC6">
        <w:rPr>
          <w:lang w:eastAsia="en-US"/>
        </w:rPr>
        <w:t>, както и други функции, определени в чл. 5 от ПАС</w:t>
      </w:r>
      <w:r w:rsidR="00E322D9" w:rsidRPr="002C5AC6">
        <w:rPr>
          <w:lang w:eastAsia="en-US"/>
        </w:rPr>
        <w:t xml:space="preserve">. Административният секретар подпомага </w:t>
      </w:r>
      <w:r w:rsidR="009C66C2" w:rsidRPr="002C5AC6">
        <w:rPr>
          <w:lang w:eastAsia="en-US"/>
        </w:rPr>
        <w:t xml:space="preserve">административния ръководител и </w:t>
      </w:r>
      <w:r w:rsidR="00E322D9" w:rsidRPr="002C5AC6">
        <w:rPr>
          <w:lang w:eastAsia="en-US"/>
        </w:rPr>
        <w:t>съдебния администратор</w:t>
      </w:r>
      <w:r w:rsidR="009C66C2" w:rsidRPr="002C5AC6">
        <w:rPr>
          <w:lang w:eastAsia="en-US"/>
        </w:rPr>
        <w:t xml:space="preserve"> </w:t>
      </w:r>
      <w:r w:rsidR="00E322D9" w:rsidRPr="002C5AC6">
        <w:rPr>
          <w:lang w:eastAsia="en-US"/>
        </w:rPr>
        <w:t xml:space="preserve">, изпълнява функциите, посочени в </w:t>
      </w:r>
      <w:r w:rsidR="007F7198" w:rsidRPr="002C5AC6">
        <w:rPr>
          <w:lang w:eastAsia="en-US"/>
        </w:rPr>
        <w:t xml:space="preserve">чл. 10 от </w:t>
      </w:r>
      <w:r w:rsidR="00E322D9" w:rsidRPr="002C5AC6">
        <w:rPr>
          <w:lang w:eastAsia="en-US"/>
        </w:rPr>
        <w:t>П</w:t>
      </w:r>
      <w:r w:rsidR="00BC6453" w:rsidRPr="002C5AC6">
        <w:rPr>
          <w:lang w:eastAsia="en-US"/>
        </w:rPr>
        <w:t>АС</w:t>
      </w:r>
      <w:r w:rsidR="00E322D9" w:rsidRPr="002C5AC6">
        <w:rPr>
          <w:lang w:eastAsia="en-US"/>
        </w:rPr>
        <w:t xml:space="preserve"> и има задължения, свързани с документооборота и административното обслужване, възложени му от председателя на съда или съдебния администратор.</w:t>
      </w:r>
    </w:p>
    <w:p w:rsidR="00C7545B" w:rsidRPr="002C5AC6" w:rsidRDefault="00E322D9" w:rsidP="00AA684D">
      <w:pPr>
        <w:ind w:firstLine="720"/>
        <w:jc w:val="both"/>
        <w:rPr>
          <w:lang w:eastAsia="en-US"/>
        </w:rPr>
      </w:pPr>
      <w:r w:rsidRPr="002C5AC6">
        <w:t>Администрацията на съда е обща и специализирана</w:t>
      </w:r>
      <w:r w:rsidR="00B41C52" w:rsidRPr="002C5AC6">
        <w:t>,</w:t>
      </w:r>
      <w:r w:rsidRPr="002C5AC6">
        <w:t xml:space="preserve"> съобразн</w:t>
      </w:r>
      <w:r w:rsidR="00B41C52" w:rsidRPr="002C5AC6">
        <w:t xml:space="preserve">о класификатора на длъжностите </w:t>
      </w:r>
      <w:r w:rsidRPr="002C5AC6">
        <w:t>за съдебни служители. Общата администрация подпомага дейността на административния ръководител на съда, съдебния администратор, административния секретар и специализираната администрация.</w:t>
      </w:r>
      <w:r w:rsidRPr="002C5AC6">
        <w:rPr>
          <w:bCs/>
          <w:color w:val="000000"/>
          <w:shd w:val="clear" w:color="auto" w:fill="FFFFFF"/>
          <w:lang w:eastAsia="en-US"/>
        </w:rPr>
        <w:t xml:space="preserve">  </w:t>
      </w:r>
    </w:p>
    <w:p w:rsidR="00E015B8" w:rsidRPr="002C5AC6" w:rsidRDefault="00E015B8" w:rsidP="00AA684D">
      <w:pPr>
        <w:ind w:firstLine="720"/>
        <w:jc w:val="both"/>
        <w:rPr>
          <w:i/>
          <w:lang w:eastAsia="en-US"/>
        </w:rPr>
      </w:pPr>
      <w:r w:rsidRPr="002C5AC6">
        <w:rPr>
          <w:lang w:eastAsia="en-US"/>
        </w:rPr>
        <w:t>Общат</w:t>
      </w:r>
      <w:r w:rsidR="00B41C52" w:rsidRPr="002C5AC6">
        <w:rPr>
          <w:lang w:eastAsia="en-US"/>
        </w:rPr>
        <w:t>а администрация включва отдел</w:t>
      </w:r>
      <w:r w:rsidR="00A5765F" w:rsidRPr="002C5AC6">
        <w:rPr>
          <w:lang w:eastAsia="en-US"/>
        </w:rPr>
        <w:t>ите</w:t>
      </w:r>
      <w:r w:rsidR="00B41C52" w:rsidRPr="002C5AC6">
        <w:rPr>
          <w:lang w:eastAsia="en-US"/>
        </w:rPr>
        <w:t xml:space="preserve"> </w:t>
      </w:r>
      <w:r w:rsidRPr="002C5AC6">
        <w:rPr>
          <w:lang w:eastAsia="en-US"/>
        </w:rPr>
        <w:t>„Информация“</w:t>
      </w:r>
      <w:r w:rsidR="00B41C52" w:rsidRPr="002C5AC6">
        <w:rPr>
          <w:lang w:eastAsia="en-US"/>
        </w:rPr>
        <w:t xml:space="preserve"> </w:t>
      </w:r>
      <w:r w:rsidRPr="002C5AC6">
        <w:rPr>
          <w:lang w:eastAsia="en-US"/>
        </w:rPr>
        <w:t>и</w:t>
      </w:r>
      <w:r w:rsidR="00B201D8" w:rsidRPr="002C5AC6">
        <w:rPr>
          <w:lang w:eastAsia="en-US"/>
        </w:rPr>
        <w:t xml:space="preserve"> „Финанси, имущество и чов</w:t>
      </w:r>
      <w:r w:rsidRPr="002C5AC6">
        <w:rPr>
          <w:lang w:eastAsia="en-US"/>
        </w:rPr>
        <w:t>ешки ресурси“</w:t>
      </w:r>
      <w:r w:rsidR="00B00EE8" w:rsidRPr="002C5AC6">
        <w:rPr>
          <w:lang w:eastAsia="en-US"/>
        </w:rPr>
        <w:t>.</w:t>
      </w:r>
      <w:r w:rsidRPr="002C5AC6">
        <w:rPr>
          <w:lang w:eastAsia="en-US"/>
        </w:rPr>
        <w:t xml:space="preserve"> Специализираната администрация включва: служб</w:t>
      </w:r>
      <w:r w:rsidR="00AB65EB" w:rsidRPr="002C5AC6">
        <w:rPr>
          <w:lang w:eastAsia="en-US"/>
        </w:rPr>
        <w:t>ите</w:t>
      </w:r>
      <w:r w:rsidRPr="002C5AC6">
        <w:rPr>
          <w:lang w:eastAsia="en-US"/>
        </w:rPr>
        <w:t xml:space="preserve"> „Регистратура“, „Съдебно деловодство“, „Съдебни секретари“, „Архив“, </w:t>
      </w:r>
      <w:r w:rsidR="00AB65EB" w:rsidRPr="002C5AC6">
        <w:rPr>
          <w:lang w:eastAsia="en-US"/>
        </w:rPr>
        <w:t>„В</w:t>
      </w:r>
      <w:r w:rsidRPr="002C5AC6">
        <w:rPr>
          <w:lang w:eastAsia="en-US"/>
        </w:rPr>
        <w:t>ръчване на призовки и съдебни книжа</w:t>
      </w:r>
      <w:r w:rsidR="00AB65EB" w:rsidRPr="002C5AC6">
        <w:rPr>
          <w:lang w:eastAsia="en-US"/>
        </w:rPr>
        <w:t>“</w:t>
      </w:r>
      <w:r w:rsidRPr="002C5AC6">
        <w:rPr>
          <w:lang w:eastAsia="en-US"/>
        </w:rPr>
        <w:t>, „Куриерска поща и спешни призовки“</w:t>
      </w:r>
      <w:r w:rsidR="00BC6453" w:rsidRPr="002C5AC6">
        <w:rPr>
          <w:lang w:eastAsia="en-US"/>
        </w:rPr>
        <w:t xml:space="preserve"> и</w:t>
      </w:r>
      <w:r w:rsidRPr="002C5AC6">
        <w:rPr>
          <w:lang w:eastAsia="en-US"/>
        </w:rPr>
        <w:t xml:space="preserve"> бюро </w:t>
      </w:r>
      <w:r w:rsidR="00BC6453" w:rsidRPr="002C5AC6">
        <w:rPr>
          <w:lang w:eastAsia="en-US"/>
        </w:rPr>
        <w:t>„</w:t>
      </w:r>
      <w:r w:rsidRPr="002C5AC6">
        <w:rPr>
          <w:lang w:eastAsia="en-US"/>
        </w:rPr>
        <w:t>Съдимост“.</w:t>
      </w:r>
      <w:r w:rsidR="00E322D9" w:rsidRPr="002C5AC6">
        <w:rPr>
          <w:lang w:eastAsia="en-US"/>
        </w:rPr>
        <w:t xml:space="preserve"> </w:t>
      </w:r>
    </w:p>
    <w:p w:rsidR="00E015B8" w:rsidRPr="002C5AC6" w:rsidRDefault="00B41C52" w:rsidP="00AA684D">
      <w:pPr>
        <w:ind w:firstLine="720"/>
        <w:jc w:val="both"/>
      </w:pPr>
      <w:r w:rsidRPr="002C5AC6">
        <w:t>Отдел „Финанси, имущество и</w:t>
      </w:r>
      <w:r w:rsidR="00E015B8" w:rsidRPr="002C5AC6">
        <w:t xml:space="preserve"> човешки ресурси“</w:t>
      </w:r>
      <w:r w:rsidR="00FE5388" w:rsidRPr="002C5AC6">
        <w:t xml:space="preserve"> </w:t>
      </w:r>
      <w:r w:rsidR="00E015B8" w:rsidRPr="002C5AC6">
        <w:t xml:space="preserve">подпомага председателя на съда и съдебния администратор за правилното и законосъобразно използване на финансовите ресурси, паричните средства и стоково-материалните ценности, осъществява финансово-счетоводното обслужване на съда </w:t>
      </w:r>
      <w:r w:rsidR="00D4525D" w:rsidRPr="002C5AC6">
        <w:t>в</w:t>
      </w:r>
      <w:r w:rsidR="00E015B8" w:rsidRPr="002C5AC6">
        <w:t xml:space="preserve"> съответствие със ЗСч</w:t>
      </w:r>
      <w:r w:rsidR="00AC0865" w:rsidRPr="002C5AC6">
        <w:t xml:space="preserve"> (отм</w:t>
      </w:r>
      <w:r w:rsidR="0038528E" w:rsidRPr="002C5AC6">
        <w:t>.</w:t>
      </w:r>
      <w:r w:rsidR="00AC0865" w:rsidRPr="002C5AC6">
        <w:t>)</w:t>
      </w:r>
      <w:r w:rsidR="00E015B8" w:rsidRPr="002C5AC6">
        <w:t>, събира и отчита по</w:t>
      </w:r>
      <w:r w:rsidR="00D4525D" w:rsidRPr="002C5AC6">
        <w:t xml:space="preserve">стъпленията от държавните такси </w:t>
      </w:r>
      <w:r w:rsidR="00E015B8" w:rsidRPr="002C5AC6">
        <w:t xml:space="preserve">и другите постъпления, приема и обработва постъпилите счетоводни документи, изготвя и съхранява счетоводните регистри и документи. </w:t>
      </w:r>
    </w:p>
    <w:p w:rsidR="00D57054" w:rsidRDefault="00D57054" w:rsidP="002468C6">
      <w:pPr>
        <w:spacing w:before="120" w:after="120"/>
        <w:ind w:firstLine="720"/>
        <w:jc w:val="both"/>
        <w:rPr>
          <w:b/>
          <w:lang w:val="en-US"/>
        </w:rPr>
      </w:pPr>
    </w:p>
    <w:p w:rsidR="00E015B8" w:rsidRPr="002C5AC6" w:rsidRDefault="002468C6" w:rsidP="002468C6">
      <w:pPr>
        <w:spacing w:before="120" w:after="120"/>
        <w:ind w:firstLine="720"/>
        <w:jc w:val="both"/>
        <w:rPr>
          <w:b/>
        </w:rPr>
      </w:pPr>
      <w:r w:rsidRPr="002C5AC6">
        <w:rPr>
          <w:b/>
        </w:rPr>
        <w:lastRenderedPageBreak/>
        <w:t>3</w:t>
      </w:r>
      <w:r w:rsidR="00E015B8" w:rsidRPr="002C5AC6">
        <w:rPr>
          <w:b/>
        </w:rPr>
        <w:t xml:space="preserve">. Цели на одита </w:t>
      </w:r>
    </w:p>
    <w:p w:rsidR="00FC12EB" w:rsidRPr="00FC12EB" w:rsidRDefault="00FC12EB" w:rsidP="00FC12EB">
      <w:pPr>
        <w:tabs>
          <w:tab w:val="left" w:pos="1276"/>
        </w:tabs>
        <w:ind w:firstLine="720"/>
        <w:jc w:val="both"/>
        <w:rPr>
          <w:lang w:eastAsia="en-US"/>
        </w:rPr>
      </w:pPr>
      <w:r>
        <w:rPr>
          <w:lang w:eastAsia="en-US"/>
        </w:rPr>
        <w:t xml:space="preserve">3.1. </w:t>
      </w:r>
      <w:r w:rsidR="002468C6" w:rsidRPr="00FC12EB">
        <w:rPr>
          <w:lang w:eastAsia="en-US"/>
        </w:rPr>
        <w:t>Да се установи съответствието с изискванията на нормативните актове, вътрешните актове и договорите в областите на изследване:</w:t>
      </w:r>
      <w:r w:rsidR="00D74305" w:rsidRPr="00FC12EB">
        <w:t xml:space="preserve"> </w:t>
      </w:r>
      <w:r w:rsidR="00D74305" w:rsidRPr="00FC12EB">
        <w:rPr>
          <w:lang w:eastAsia="en-US"/>
        </w:rPr>
        <w:t xml:space="preserve">„Приходи от съдебни такси“; „Разходи за заплати, възнаграждения и други плащания за персонала“; „Разходи за вещи лица“ </w:t>
      </w:r>
      <w:r w:rsidR="007B2BA2" w:rsidRPr="00FC12EB">
        <w:rPr>
          <w:lang w:eastAsia="en-US"/>
        </w:rPr>
        <w:t xml:space="preserve">и </w:t>
      </w:r>
      <w:r w:rsidR="00D74305" w:rsidRPr="00FC12EB">
        <w:rPr>
          <w:lang w:eastAsia="en-US"/>
        </w:rPr>
        <w:t>„Възлагане на обществени поръчки и изпълнение на договори за обществени поръчки“</w:t>
      </w:r>
      <w:r w:rsidR="002468C6" w:rsidRPr="00FC12EB">
        <w:rPr>
          <w:lang w:eastAsia="en-US"/>
        </w:rPr>
        <w:t>.</w:t>
      </w:r>
    </w:p>
    <w:p w:rsidR="002468C6" w:rsidRPr="00FC12EB" w:rsidRDefault="00FC12EB" w:rsidP="00FC12EB">
      <w:pPr>
        <w:tabs>
          <w:tab w:val="left" w:pos="1276"/>
        </w:tabs>
        <w:ind w:firstLine="720"/>
        <w:jc w:val="both"/>
        <w:rPr>
          <w:lang w:eastAsia="en-US"/>
        </w:rPr>
      </w:pPr>
      <w:r>
        <w:rPr>
          <w:lang w:eastAsia="en-US"/>
        </w:rPr>
        <w:t xml:space="preserve">3.2. </w:t>
      </w:r>
      <w:r w:rsidR="002468C6" w:rsidRPr="00FC12EB">
        <w:rPr>
          <w:lang w:eastAsia="en-US"/>
        </w:rPr>
        <w:t>Да се установи състоянието на системата за финансово управление и контрол в определените области на изследване.</w:t>
      </w:r>
    </w:p>
    <w:p w:rsidR="00741A75" w:rsidRPr="002C5AC6" w:rsidRDefault="002468C6" w:rsidP="002468C6">
      <w:pPr>
        <w:spacing w:before="120" w:after="120"/>
        <w:ind w:firstLine="709"/>
        <w:jc w:val="both"/>
        <w:rPr>
          <w:b/>
          <w:lang w:eastAsia="en-US"/>
        </w:rPr>
      </w:pPr>
      <w:r w:rsidRPr="002C5AC6">
        <w:rPr>
          <w:b/>
          <w:lang w:eastAsia="en-US"/>
        </w:rPr>
        <w:t>4</w:t>
      </w:r>
      <w:r w:rsidR="00741A75" w:rsidRPr="002C5AC6">
        <w:rPr>
          <w:b/>
          <w:lang w:eastAsia="en-US"/>
        </w:rPr>
        <w:t>. Обхват на одита</w:t>
      </w:r>
    </w:p>
    <w:p w:rsidR="00A5348A" w:rsidRPr="0090277B" w:rsidRDefault="0090277B" w:rsidP="001D03E8">
      <w:pPr>
        <w:ind w:firstLine="720"/>
        <w:jc w:val="both"/>
        <w:rPr>
          <w:b/>
          <w:lang w:eastAsia="en-US"/>
        </w:rPr>
      </w:pPr>
      <w:r w:rsidRPr="0090277B">
        <w:rPr>
          <w:b/>
          <w:lang w:eastAsia="en-US"/>
        </w:rPr>
        <w:t xml:space="preserve">4.1. </w:t>
      </w:r>
      <w:r w:rsidR="00741A75" w:rsidRPr="0090277B">
        <w:rPr>
          <w:b/>
          <w:lang w:eastAsia="en-US"/>
        </w:rPr>
        <w:t>Одитната задача обхваща</w:t>
      </w:r>
      <w:r w:rsidR="000B4075" w:rsidRPr="0090277B">
        <w:rPr>
          <w:b/>
          <w:lang w:eastAsia="en-US"/>
        </w:rPr>
        <w:t xml:space="preserve"> следните области на изследване</w:t>
      </w:r>
      <w:r w:rsidR="00741A75" w:rsidRPr="0090277B">
        <w:rPr>
          <w:b/>
          <w:lang w:eastAsia="en-US"/>
        </w:rPr>
        <w:t>:</w:t>
      </w:r>
    </w:p>
    <w:p w:rsidR="00741A75" w:rsidRPr="002C5AC6" w:rsidRDefault="0090277B" w:rsidP="00BE6681">
      <w:pPr>
        <w:ind w:firstLine="720"/>
        <w:jc w:val="both"/>
        <w:rPr>
          <w:lang w:eastAsia="en-US"/>
        </w:rPr>
      </w:pPr>
      <w:r>
        <w:rPr>
          <w:lang w:eastAsia="en-US"/>
        </w:rPr>
        <w:t>4</w:t>
      </w:r>
      <w:r w:rsidR="00741A75" w:rsidRPr="002C5AC6">
        <w:rPr>
          <w:lang w:eastAsia="en-US"/>
        </w:rPr>
        <w:t>.</w:t>
      </w:r>
      <w:r w:rsidR="00143372" w:rsidRPr="002C5AC6">
        <w:rPr>
          <w:lang w:eastAsia="en-US"/>
        </w:rPr>
        <w:t>1</w:t>
      </w:r>
      <w:r>
        <w:rPr>
          <w:lang w:eastAsia="en-US"/>
        </w:rPr>
        <w:t>.1.</w:t>
      </w:r>
      <w:r w:rsidR="00143372" w:rsidRPr="002C5AC6">
        <w:rPr>
          <w:lang w:eastAsia="en-US"/>
        </w:rPr>
        <w:t xml:space="preserve"> </w:t>
      </w:r>
      <w:r w:rsidR="00741A75" w:rsidRPr="002C5AC6">
        <w:rPr>
          <w:lang w:eastAsia="en-US"/>
        </w:rPr>
        <w:t>Приходи от съдебни такси</w:t>
      </w:r>
      <w:r>
        <w:rPr>
          <w:lang w:eastAsia="en-US"/>
        </w:rPr>
        <w:t>. Областта е</w:t>
      </w:r>
      <w:r w:rsidR="000B4075" w:rsidRPr="002C5AC6">
        <w:rPr>
          <w:lang w:eastAsia="en-US"/>
        </w:rPr>
        <w:t xml:space="preserve"> определена като съществена по стойност;</w:t>
      </w:r>
    </w:p>
    <w:p w:rsidR="00741A75" w:rsidRPr="002C5AC6" w:rsidRDefault="0090277B" w:rsidP="000B4075">
      <w:pPr>
        <w:ind w:firstLine="720"/>
        <w:jc w:val="both"/>
        <w:rPr>
          <w:lang w:eastAsia="en-US"/>
        </w:rPr>
      </w:pPr>
      <w:r>
        <w:rPr>
          <w:lang w:eastAsia="en-US"/>
        </w:rPr>
        <w:t>4</w:t>
      </w:r>
      <w:r w:rsidR="00741A75" w:rsidRPr="002C5AC6">
        <w:rPr>
          <w:lang w:eastAsia="en-US"/>
        </w:rPr>
        <w:t>.</w:t>
      </w:r>
      <w:r>
        <w:rPr>
          <w:lang w:eastAsia="en-US"/>
        </w:rPr>
        <w:t>1.</w:t>
      </w:r>
      <w:r w:rsidR="000B4075" w:rsidRPr="002C5AC6">
        <w:rPr>
          <w:lang w:eastAsia="en-US"/>
        </w:rPr>
        <w:t xml:space="preserve">2. </w:t>
      </w:r>
      <w:r w:rsidR="00741A75" w:rsidRPr="002C5AC6">
        <w:rPr>
          <w:lang w:eastAsia="en-US"/>
        </w:rPr>
        <w:t xml:space="preserve">Разходи за заплати, възнаграждения и </w:t>
      </w:r>
      <w:r w:rsidR="000B4075" w:rsidRPr="002C5AC6">
        <w:rPr>
          <w:lang w:eastAsia="en-US"/>
        </w:rPr>
        <w:t xml:space="preserve">други </w:t>
      </w:r>
      <w:r w:rsidR="00741A75" w:rsidRPr="002C5AC6">
        <w:rPr>
          <w:lang w:eastAsia="en-US"/>
        </w:rPr>
        <w:t>плащания за персонала</w:t>
      </w:r>
      <w:r w:rsidR="000B4075" w:rsidRPr="002C5AC6">
        <w:rPr>
          <w:lang w:eastAsia="en-US"/>
        </w:rPr>
        <w:t>. Областта е определена като съществена по стойност</w:t>
      </w:r>
      <w:r w:rsidR="00741A75" w:rsidRPr="002C5AC6">
        <w:rPr>
          <w:lang w:eastAsia="en-US"/>
        </w:rPr>
        <w:t>;</w:t>
      </w:r>
    </w:p>
    <w:p w:rsidR="00741A75" w:rsidRPr="002C5AC6" w:rsidRDefault="0090277B" w:rsidP="00241485">
      <w:pPr>
        <w:ind w:firstLine="720"/>
        <w:jc w:val="both"/>
        <w:rPr>
          <w:lang w:eastAsia="en-US"/>
        </w:rPr>
      </w:pPr>
      <w:r>
        <w:rPr>
          <w:lang w:eastAsia="en-US"/>
        </w:rPr>
        <w:t>4</w:t>
      </w:r>
      <w:r w:rsidR="00143372" w:rsidRPr="002C5AC6">
        <w:rPr>
          <w:lang w:eastAsia="en-US"/>
        </w:rPr>
        <w:t>.</w:t>
      </w:r>
      <w:r>
        <w:rPr>
          <w:lang w:eastAsia="en-US"/>
        </w:rPr>
        <w:t>1.</w:t>
      </w:r>
      <w:r w:rsidR="000B4075" w:rsidRPr="002C5AC6">
        <w:rPr>
          <w:lang w:eastAsia="en-US"/>
        </w:rPr>
        <w:t>3</w:t>
      </w:r>
      <w:r w:rsidR="00143372" w:rsidRPr="002C5AC6">
        <w:rPr>
          <w:lang w:eastAsia="en-US"/>
        </w:rPr>
        <w:t>. Разходи за вещи лица</w:t>
      </w:r>
      <w:r w:rsidR="000B4075" w:rsidRPr="002C5AC6">
        <w:rPr>
          <w:lang w:eastAsia="en-US"/>
        </w:rPr>
        <w:t>. Областта е определена като съществена по естество (характер);</w:t>
      </w:r>
    </w:p>
    <w:p w:rsidR="00741A75" w:rsidRPr="002C5AC6" w:rsidRDefault="0090277B" w:rsidP="00A90676">
      <w:pPr>
        <w:ind w:firstLine="709"/>
        <w:jc w:val="both"/>
        <w:rPr>
          <w:i/>
          <w:lang w:eastAsia="en-US"/>
        </w:rPr>
      </w:pPr>
      <w:r>
        <w:rPr>
          <w:lang w:eastAsia="en-US"/>
        </w:rPr>
        <w:t>4</w:t>
      </w:r>
      <w:r w:rsidR="000B4075" w:rsidRPr="002C5AC6">
        <w:rPr>
          <w:lang w:eastAsia="en-US"/>
        </w:rPr>
        <w:t>.</w:t>
      </w:r>
      <w:r>
        <w:rPr>
          <w:lang w:eastAsia="en-US"/>
        </w:rPr>
        <w:t>1.</w:t>
      </w:r>
      <w:r w:rsidR="00143372" w:rsidRPr="002C5AC6">
        <w:rPr>
          <w:lang w:eastAsia="en-US"/>
        </w:rPr>
        <w:t>4</w:t>
      </w:r>
      <w:r w:rsidR="00741A75" w:rsidRPr="002C5AC6">
        <w:rPr>
          <w:lang w:eastAsia="en-US"/>
        </w:rPr>
        <w:t>. Възлагане на обществени поръчки и изпълнение на договорите за обществени поръчки</w:t>
      </w:r>
      <w:r w:rsidR="000B4075" w:rsidRPr="002C5AC6">
        <w:rPr>
          <w:lang w:eastAsia="en-US"/>
        </w:rPr>
        <w:t xml:space="preserve"> – съществена по </w:t>
      </w:r>
      <w:r>
        <w:rPr>
          <w:lang w:eastAsia="en-US"/>
        </w:rPr>
        <w:t>естество (</w:t>
      </w:r>
      <w:r w:rsidR="000B4075" w:rsidRPr="002C5AC6">
        <w:rPr>
          <w:lang w:eastAsia="en-US"/>
        </w:rPr>
        <w:t>характер</w:t>
      </w:r>
      <w:r>
        <w:rPr>
          <w:lang w:eastAsia="en-US"/>
        </w:rPr>
        <w:t>)</w:t>
      </w:r>
      <w:r w:rsidR="00741A75" w:rsidRPr="002C5AC6">
        <w:rPr>
          <w:lang w:eastAsia="en-US"/>
        </w:rPr>
        <w:t>.</w:t>
      </w:r>
      <w:r w:rsidR="00741A75" w:rsidRPr="002C5AC6">
        <w:rPr>
          <w:i/>
          <w:lang w:eastAsia="en-US"/>
        </w:rPr>
        <w:t xml:space="preserve"> </w:t>
      </w:r>
    </w:p>
    <w:p w:rsidR="008442AA" w:rsidRPr="002C5AC6" w:rsidRDefault="009F51F1" w:rsidP="00A90676">
      <w:pPr>
        <w:tabs>
          <w:tab w:val="left" w:pos="0"/>
        </w:tabs>
        <w:ind w:firstLine="720"/>
        <w:jc w:val="both"/>
        <w:rPr>
          <w:i/>
          <w:lang w:eastAsia="en-US"/>
        </w:rPr>
      </w:pPr>
      <w:r w:rsidRPr="002C5AC6">
        <w:t>За целите на одита е използван нестатистически метод за формиране на одитни извадки по области и процеси на изследване</w:t>
      </w:r>
      <w:r w:rsidR="00D74305" w:rsidRPr="002C5AC6">
        <w:t>, с изключение на област „</w:t>
      </w:r>
      <w:r w:rsidR="00D74305" w:rsidRPr="002C5AC6">
        <w:rPr>
          <w:lang w:eastAsia="en-US"/>
        </w:rPr>
        <w:t>Възлагане на обществени поръчки и изпълнение на договорите за обществени поръчки“, за която не е прилагана извадка</w:t>
      </w:r>
      <w:r w:rsidRPr="002C5AC6">
        <w:t>.</w:t>
      </w:r>
    </w:p>
    <w:p w:rsidR="008442AA" w:rsidRPr="002C5AC6" w:rsidRDefault="0090277B" w:rsidP="00D74305">
      <w:pPr>
        <w:spacing w:before="120" w:after="120"/>
        <w:ind w:firstLine="720"/>
        <w:jc w:val="both"/>
        <w:rPr>
          <w:b/>
          <w:lang w:eastAsia="en-US"/>
        </w:rPr>
      </w:pPr>
      <w:r>
        <w:rPr>
          <w:b/>
          <w:lang w:eastAsia="en-US"/>
        </w:rPr>
        <w:t>4.</w:t>
      </w:r>
      <w:r w:rsidR="002318C5" w:rsidRPr="002C5AC6">
        <w:rPr>
          <w:b/>
          <w:lang w:eastAsia="en-US"/>
        </w:rPr>
        <w:t>2. Ограничения в обхвата на одита</w:t>
      </w:r>
    </w:p>
    <w:p w:rsidR="002318C5" w:rsidRPr="002C5AC6" w:rsidRDefault="008442AA" w:rsidP="00241485">
      <w:pPr>
        <w:ind w:firstLine="720"/>
        <w:jc w:val="both"/>
        <w:rPr>
          <w:b/>
          <w:lang w:eastAsia="en-US"/>
        </w:rPr>
      </w:pPr>
      <w:r w:rsidRPr="002C5AC6">
        <w:t>При изпълнението на одитната задача не са идентифицирани ограничения в обхвата на одита.</w:t>
      </w:r>
    </w:p>
    <w:p w:rsidR="00CB39B9" w:rsidRPr="002C5AC6" w:rsidRDefault="00D74305" w:rsidP="00D74305">
      <w:pPr>
        <w:spacing w:before="120" w:after="120"/>
        <w:ind w:firstLine="709"/>
        <w:jc w:val="both"/>
        <w:rPr>
          <w:b/>
          <w:lang w:eastAsia="en-US"/>
        </w:rPr>
      </w:pPr>
      <w:r w:rsidRPr="002C5AC6">
        <w:rPr>
          <w:b/>
          <w:lang w:eastAsia="en-US"/>
        </w:rPr>
        <w:t>5</w:t>
      </w:r>
      <w:r w:rsidR="00DE35E3" w:rsidRPr="002C5AC6">
        <w:rPr>
          <w:b/>
          <w:lang w:eastAsia="en-US"/>
        </w:rPr>
        <w:t>. Критерии за оценка</w:t>
      </w:r>
    </w:p>
    <w:p w:rsidR="00DE35E3" w:rsidRPr="002C5AC6" w:rsidRDefault="00DE35E3" w:rsidP="00241485">
      <w:pPr>
        <w:ind w:firstLine="720"/>
        <w:jc w:val="both"/>
        <w:rPr>
          <w:lang w:eastAsia="en-US"/>
        </w:rPr>
      </w:pPr>
      <w:r w:rsidRPr="002C5AC6">
        <w:rPr>
          <w:lang w:eastAsia="en-US"/>
        </w:rPr>
        <w:t xml:space="preserve">При одита за съответствие на СРС за периода от 01.01.2014 г. до 31.12.2014 г. </w:t>
      </w:r>
      <w:r w:rsidR="005408F8" w:rsidRPr="002C5AC6">
        <w:rPr>
          <w:lang w:eastAsia="en-US"/>
        </w:rPr>
        <w:t xml:space="preserve">са </w:t>
      </w:r>
      <w:r w:rsidRPr="002C5AC6">
        <w:rPr>
          <w:lang w:eastAsia="en-US"/>
        </w:rPr>
        <w:t>прилож</w:t>
      </w:r>
      <w:r w:rsidR="005408F8" w:rsidRPr="002C5AC6">
        <w:rPr>
          <w:lang w:eastAsia="en-US"/>
        </w:rPr>
        <w:t>ени</w:t>
      </w:r>
      <w:r w:rsidRPr="002C5AC6">
        <w:rPr>
          <w:lang w:eastAsia="en-US"/>
        </w:rPr>
        <w:t xml:space="preserve"> следните критерии за оценка</w:t>
      </w:r>
      <w:r w:rsidR="009F51F1" w:rsidRPr="002C5AC6">
        <w:rPr>
          <w:lang w:eastAsia="en-US"/>
        </w:rPr>
        <w:t xml:space="preserve"> по области на изследване</w:t>
      </w:r>
      <w:r w:rsidRPr="002C5AC6">
        <w:rPr>
          <w:lang w:eastAsia="en-US"/>
        </w:rPr>
        <w:t>:</w:t>
      </w:r>
    </w:p>
    <w:p w:rsidR="000B4914" w:rsidRPr="002C5AC6" w:rsidRDefault="00FC12EB" w:rsidP="00241485">
      <w:pPr>
        <w:ind w:firstLine="720"/>
        <w:jc w:val="both"/>
        <w:rPr>
          <w:lang w:eastAsia="en-US"/>
        </w:rPr>
      </w:pPr>
      <w:r>
        <w:rPr>
          <w:lang w:eastAsia="en-US"/>
        </w:rPr>
        <w:t>5.1</w:t>
      </w:r>
      <w:r w:rsidR="000B4914" w:rsidRPr="002C5AC6">
        <w:rPr>
          <w:lang w:eastAsia="en-US"/>
        </w:rPr>
        <w:t>.</w:t>
      </w:r>
      <w:r w:rsidR="00FD4A38" w:rsidRPr="002C5AC6">
        <w:rPr>
          <w:lang w:eastAsia="en-US"/>
        </w:rPr>
        <w:t xml:space="preserve"> </w:t>
      </w:r>
      <w:r w:rsidR="009F51F1" w:rsidRPr="002C5AC6">
        <w:rPr>
          <w:spacing w:val="-4"/>
          <w:shd w:val="clear" w:color="auto" w:fill="FFFFFF"/>
        </w:rPr>
        <w:t xml:space="preserve">Приходи от съдебни такси - </w:t>
      </w:r>
      <w:r w:rsidR="00D74305" w:rsidRPr="002C5AC6">
        <w:t>ЗПФ</w:t>
      </w:r>
      <w:r w:rsidR="00D877BA" w:rsidRPr="002C5AC6">
        <w:t>, З</w:t>
      </w:r>
      <w:r w:rsidR="00D74305" w:rsidRPr="002C5AC6">
        <w:t>СВ</w:t>
      </w:r>
      <w:r w:rsidR="00D877BA" w:rsidRPr="002C5AC6">
        <w:t>, З</w:t>
      </w:r>
      <w:r w:rsidR="00D74305" w:rsidRPr="002C5AC6">
        <w:t>ДТ</w:t>
      </w:r>
      <w:r w:rsidR="00D877BA" w:rsidRPr="002C5AC6">
        <w:t xml:space="preserve"> и Тарифа № 1 към него за таксите, събирани от съдилищата, прокуратурата, следствените служби и</w:t>
      </w:r>
      <w:r w:rsidR="0042669B" w:rsidRPr="002C5AC6">
        <w:t xml:space="preserve"> Министерството на правосъдието</w:t>
      </w:r>
      <w:r w:rsidR="00D877BA" w:rsidRPr="002C5AC6">
        <w:t>, Тарифата за държавните такси, които се събират от съдилищата по реда на Г</w:t>
      </w:r>
      <w:r w:rsidR="00D74305" w:rsidRPr="002C5AC6">
        <w:t>ПК</w:t>
      </w:r>
      <w:r w:rsidR="00D877BA" w:rsidRPr="002C5AC6">
        <w:t>;</w:t>
      </w:r>
      <w:r w:rsidR="00D74305" w:rsidRPr="002C5AC6">
        <w:t xml:space="preserve"> НПК, </w:t>
      </w:r>
      <w:r w:rsidR="00D877BA" w:rsidRPr="002C5AC6">
        <w:t>Правилник за администрацията в съдил</w:t>
      </w:r>
      <w:r w:rsidR="0090277B">
        <w:t>ищата, вътрешни</w:t>
      </w:r>
      <w:r w:rsidR="00D74305" w:rsidRPr="002C5AC6">
        <w:t xml:space="preserve"> актове на СРС</w:t>
      </w:r>
      <w:r w:rsidR="00D877BA" w:rsidRPr="002C5AC6">
        <w:t xml:space="preserve"> и други</w:t>
      </w:r>
      <w:r w:rsidR="00C1789E" w:rsidRPr="002C5AC6">
        <w:rPr>
          <w:spacing w:val="-4"/>
          <w:shd w:val="clear" w:color="auto" w:fill="FFFFFF"/>
        </w:rPr>
        <w:t>.</w:t>
      </w:r>
    </w:p>
    <w:p w:rsidR="00D74305" w:rsidRPr="002C5AC6" w:rsidRDefault="00FC12EB" w:rsidP="0091334D">
      <w:pPr>
        <w:ind w:firstLine="720"/>
        <w:jc w:val="both"/>
      </w:pPr>
      <w:r>
        <w:rPr>
          <w:lang w:eastAsia="en-US"/>
        </w:rPr>
        <w:t>5.</w:t>
      </w:r>
      <w:r w:rsidR="000B4914" w:rsidRPr="002C5AC6">
        <w:rPr>
          <w:lang w:eastAsia="en-US"/>
        </w:rPr>
        <w:t>2</w:t>
      </w:r>
      <w:r w:rsidR="00DE35E3" w:rsidRPr="002C5AC6">
        <w:rPr>
          <w:lang w:eastAsia="en-US"/>
        </w:rPr>
        <w:t>.</w:t>
      </w:r>
      <w:r w:rsidR="007B4030" w:rsidRPr="002C5AC6">
        <w:rPr>
          <w:lang w:eastAsia="en-US"/>
        </w:rPr>
        <w:t xml:space="preserve"> Разходи за заплати, възнаграждения и други плащания за персонала -</w:t>
      </w:r>
      <w:r w:rsidR="007B4030" w:rsidRPr="002C5AC6">
        <w:t xml:space="preserve"> З</w:t>
      </w:r>
      <w:r w:rsidR="00D74305" w:rsidRPr="002C5AC6">
        <w:t>СВ</w:t>
      </w:r>
      <w:r w:rsidR="007B4030" w:rsidRPr="002C5AC6">
        <w:t xml:space="preserve">, </w:t>
      </w:r>
      <w:r w:rsidR="0090277B">
        <w:t xml:space="preserve">КТ, </w:t>
      </w:r>
      <w:r w:rsidR="007B4030" w:rsidRPr="002C5AC6">
        <w:rPr>
          <w:lang w:eastAsia="en-US"/>
        </w:rPr>
        <w:t>Наредба за прилагане класификатора н</w:t>
      </w:r>
      <w:r w:rsidR="0042669B" w:rsidRPr="002C5AC6">
        <w:rPr>
          <w:lang w:eastAsia="en-US"/>
        </w:rPr>
        <w:t>а длъжностите в администрацията</w:t>
      </w:r>
      <w:r w:rsidR="007B4030" w:rsidRPr="002C5AC6">
        <w:t>, Правила за определяне и изплащане на средства за допъ</w:t>
      </w:r>
      <w:r w:rsidR="0042669B" w:rsidRPr="002C5AC6">
        <w:t>лнителни трудови възнаграждения</w:t>
      </w:r>
      <w:r w:rsidR="007B4030" w:rsidRPr="002C5AC6">
        <w:t>, Правилник за администрацията в съдилищата, вътрешни актове на СРС, сключени договори и други.</w:t>
      </w:r>
    </w:p>
    <w:p w:rsidR="0091334D" w:rsidRPr="002C5AC6" w:rsidRDefault="00FC12EB" w:rsidP="0091334D">
      <w:pPr>
        <w:ind w:firstLine="720"/>
        <w:jc w:val="both"/>
      </w:pPr>
      <w:r>
        <w:rPr>
          <w:lang w:eastAsia="en-US"/>
        </w:rPr>
        <w:t>5.</w:t>
      </w:r>
      <w:r w:rsidR="000B4914" w:rsidRPr="002C5AC6">
        <w:rPr>
          <w:lang w:eastAsia="en-US"/>
        </w:rPr>
        <w:t>3</w:t>
      </w:r>
      <w:r w:rsidR="00DE35E3" w:rsidRPr="002C5AC6">
        <w:rPr>
          <w:lang w:eastAsia="en-US"/>
        </w:rPr>
        <w:t xml:space="preserve">. </w:t>
      </w:r>
      <w:r w:rsidR="007B4030" w:rsidRPr="002C5AC6">
        <w:rPr>
          <w:lang w:eastAsia="en-US"/>
        </w:rPr>
        <w:t xml:space="preserve">Разходи за вещи лица </w:t>
      </w:r>
      <w:r w:rsidR="0091334D" w:rsidRPr="002C5AC6">
        <w:rPr>
          <w:lang w:eastAsia="en-US"/>
        </w:rPr>
        <w:t xml:space="preserve">- </w:t>
      </w:r>
      <w:r w:rsidR="0091334D" w:rsidRPr="002C5AC6">
        <w:t>З</w:t>
      </w:r>
      <w:r w:rsidR="00D74305" w:rsidRPr="002C5AC6">
        <w:t>СВ</w:t>
      </w:r>
      <w:r w:rsidR="0091334D" w:rsidRPr="002C5AC6">
        <w:t>, Наредба № 3 от 30.11.2012 г. за вписването, квалификацията и възнагражденията на вещите лица (отм.),</w:t>
      </w:r>
      <w:r w:rsidR="00593616" w:rsidRPr="002C5AC6">
        <w:t xml:space="preserve"> </w:t>
      </w:r>
      <w:r w:rsidR="0091334D" w:rsidRPr="002C5AC6">
        <w:t>Правилник за администрацията в съдилищата, вътрешни актове на СРС и други.</w:t>
      </w:r>
    </w:p>
    <w:p w:rsidR="00DE35E3" w:rsidRPr="002C5AC6" w:rsidRDefault="00FC12EB" w:rsidP="00241485">
      <w:pPr>
        <w:ind w:firstLine="720"/>
        <w:jc w:val="both"/>
        <w:rPr>
          <w:lang w:eastAsia="en-US"/>
        </w:rPr>
      </w:pPr>
      <w:r>
        <w:rPr>
          <w:lang w:eastAsia="en-US"/>
        </w:rPr>
        <w:t>5.</w:t>
      </w:r>
      <w:r w:rsidR="000B4914" w:rsidRPr="002C5AC6">
        <w:rPr>
          <w:lang w:eastAsia="en-US"/>
        </w:rPr>
        <w:t>4</w:t>
      </w:r>
      <w:r w:rsidR="00DE35E3" w:rsidRPr="002C5AC6">
        <w:rPr>
          <w:lang w:eastAsia="en-US"/>
        </w:rPr>
        <w:t xml:space="preserve">. </w:t>
      </w:r>
      <w:r w:rsidR="007B4030" w:rsidRPr="002C5AC6">
        <w:rPr>
          <w:lang w:eastAsia="en-US"/>
        </w:rPr>
        <w:t>Възлагане на обществени поръчки и изпълнение на договорите за обществени поръчки</w:t>
      </w:r>
      <w:r w:rsidR="0091334D" w:rsidRPr="002C5AC6">
        <w:t xml:space="preserve"> - З</w:t>
      </w:r>
      <w:r w:rsidR="00D74305" w:rsidRPr="002C5AC6">
        <w:t>ОП</w:t>
      </w:r>
      <w:r w:rsidR="0091334D" w:rsidRPr="002C5AC6">
        <w:t xml:space="preserve"> (отм.) и правилника за неговото прилагане, вътрешните актове на СРС</w:t>
      </w:r>
      <w:r w:rsidR="00593616" w:rsidRPr="002C5AC6">
        <w:t xml:space="preserve"> и</w:t>
      </w:r>
      <w:r w:rsidR="0091334D" w:rsidRPr="002C5AC6">
        <w:t xml:space="preserve"> сключените договори </w:t>
      </w:r>
      <w:r w:rsidR="00872010" w:rsidRPr="002C5AC6">
        <w:t>с изпълнители на обществени поръчки</w:t>
      </w:r>
      <w:r w:rsidR="0091334D" w:rsidRPr="002C5AC6">
        <w:t>.</w:t>
      </w:r>
    </w:p>
    <w:p w:rsidR="00AF0EC5" w:rsidRDefault="00AF0EC5" w:rsidP="00D74305">
      <w:pPr>
        <w:spacing w:before="120" w:after="120"/>
        <w:ind w:firstLine="720"/>
        <w:jc w:val="both"/>
        <w:rPr>
          <w:b/>
          <w:lang w:val="en-US" w:eastAsia="en-US"/>
        </w:rPr>
      </w:pPr>
    </w:p>
    <w:p w:rsidR="00AF0EC5" w:rsidRDefault="00AF0EC5" w:rsidP="00D74305">
      <w:pPr>
        <w:spacing w:before="120" w:after="120"/>
        <w:ind w:firstLine="720"/>
        <w:jc w:val="both"/>
        <w:rPr>
          <w:b/>
          <w:lang w:val="en-US" w:eastAsia="en-US"/>
        </w:rPr>
      </w:pPr>
    </w:p>
    <w:p w:rsidR="00AF0EC5" w:rsidRDefault="00AF0EC5" w:rsidP="00D74305">
      <w:pPr>
        <w:spacing w:before="120" w:after="120"/>
        <w:ind w:firstLine="720"/>
        <w:jc w:val="both"/>
        <w:rPr>
          <w:b/>
          <w:lang w:val="en-US" w:eastAsia="en-US"/>
        </w:rPr>
      </w:pPr>
    </w:p>
    <w:p w:rsidR="0034514F" w:rsidRPr="002C5AC6" w:rsidRDefault="00D74305" w:rsidP="00D74305">
      <w:pPr>
        <w:spacing w:before="120" w:after="120"/>
        <w:ind w:firstLine="720"/>
        <w:jc w:val="both"/>
        <w:rPr>
          <w:b/>
          <w:lang w:eastAsia="en-US"/>
        </w:rPr>
      </w:pPr>
      <w:r w:rsidRPr="002C5AC6">
        <w:rPr>
          <w:b/>
          <w:lang w:eastAsia="en-US"/>
        </w:rPr>
        <w:lastRenderedPageBreak/>
        <w:t>6</w:t>
      </w:r>
      <w:r w:rsidR="000B4914" w:rsidRPr="002C5AC6">
        <w:rPr>
          <w:b/>
          <w:lang w:eastAsia="en-US"/>
        </w:rPr>
        <w:t>.</w:t>
      </w:r>
      <w:r w:rsidR="005B26A1" w:rsidRPr="002C5AC6">
        <w:rPr>
          <w:b/>
          <w:lang w:eastAsia="en-US"/>
        </w:rPr>
        <w:t xml:space="preserve"> Одитни стандарти, които са приложени при одита</w:t>
      </w:r>
    </w:p>
    <w:p w:rsidR="00447A78" w:rsidRPr="002C5AC6" w:rsidRDefault="005B26A1" w:rsidP="00241485">
      <w:pPr>
        <w:ind w:firstLine="720"/>
        <w:jc w:val="both"/>
      </w:pPr>
      <w:r w:rsidRPr="002C5AC6">
        <w:rPr>
          <w:lang w:eastAsia="en-US"/>
        </w:rPr>
        <w:t>Одитът е изпълнен в съответствие с М</w:t>
      </w:r>
      <w:r w:rsidR="00351090" w:rsidRPr="002C5AC6">
        <w:rPr>
          <w:lang w:eastAsia="en-US"/>
        </w:rPr>
        <w:t>еждунаводните стандарти на Върховните одитни институции (М</w:t>
      </w:r>
      <w:r w:rsidRPr="002C5AC6">
        <w:rPr>
          <w:lang w:eastAsia="en-US"/>
        </w:rPr>
        <w:t>СВОИ</w:t>
      </w:r>
      <w:r w:rsidR="00351090" w:rsidRPr="002C5AC6">
        <w:rPr>
          <w:lang w:eastAsia="en-US"/>
        </w:rPr>
        <w:t>)</w:t>
      </w:r>
      <w:r w:rsidRPr="002C5AC6">
        <w:rPr>
          <w:lang w:eastAsia="en-US"/>
        </w:rPr>
        <w:t xml:space="preserve"> 100 Основни принципи на одита в публичния сектор, МСВОИ 400 Основни принципи за одита на съответствие  и МСВО</w:t>
      </w:r>
      <w:r w:rsidR="0090277B">
        <w:rPr>
          <w:lang w:eastAsia="en-US"/>
        </w:rPr>
        <w:t>И 4100 Указания за съответствие</w:t>
      </w:r>
      <w:r w:rsidRPr="002C5AC6">
        <w:rPr>
          <w:lang w:eastAsia="en-US"/>
        </w:rPr>
        <w:t xml:space="preserve"> - за одити</w:t>
      </w:r>
      <w:r w:rsidR="0034514F" w:rsidRPr="002C5AC6">
        <w:rPr>
          <w:lang w:eastAsia="en-US"/>
        </w:rPr>
        <w:t>, извърш</w:t>
      </w:r>
      <w:r w:rsidR="00A14C37" w:rsidRPr="002C5AC6">
        <w:rPr>
          <w:lang w:eastAsia="en-US"/>
        </w:rPr>
        <w:t>ени отделно от одити на финансо</w:t>
      </w:r>
      <w:r w:rsidR="0034514F" w:rsidRPr="002C5AC6">
        <w:rPr>
          <w:lang w:eastAsia="en-US"/>
        </w:rPr>
        <w:t>вите отчети.</w:t>
      </w:r>
    </w:p>
    <w:p w:rsidR="00FB3DDD" w:rsidRPr="002C5AC6" w:rsidRDefault="00FB3DDD" w:rsidP="00D74305">
      <w:pPr>
        <w:spacing w:before="120" w:after="120"/>
        <w:ind w:firstLine="709"/>
        <w:jc w:val="both"/>
        <w:rPr>
          <w:b/>
        </w:rPr>
      </w:pPr>
      <w:r w:rsidRPr="002C5AC6">
        <w:rPr>
          <w:b/>
        </w:rPr>
        <w:t>Част трета</w:t>
      </w:r>
    </w:p>
    <w:p w:rsidR="00FB3DDD" w:rsidRPr="002C5AC6" w:rsidRDefault="00FB3DDD" w:rsidP="00D74305">
      <w:pPr>
        <w:spacing w:before="120" w:after="120"/>
        <w:ind w:firstLine="709"/>
        <w:jc w:val="both"/>
        <w:rPr>
          <w:b/>
        </w:rPr>
      </w:pPr>
      <w:r w:rsidRPr="002C5AC6">
        <w:rPr>
          <w:b/>
        </w:rPr>
        <w:t>КОНСТАТАЦИИ</w:t>
      </w:r>
    </w:p>
    <w:p w:rsidR="00347CB1" w:rsidRPr="002C5AC6" w:rsidRDefault="00347CB1" w:rsidP="00D74305">
      <w:pPr>
        <w:spacing w:before="120" w:after="120"/>
        <w:ind w:firstLine="709"/>
        <w:jc w:val="both"/>
        <w:rPr>
          <w:rFonts w:eastAsiaTheme="minorHAnsi"/>
          <w:b/>
          <w:lang w:eastAsia="en-US"/>
        </w:rPr>
      </w:pPr>
      <w:r w:rsidRPr="002C5AC6">
        <w:rPr>
          <w:rFonts w:eastAsiaTheme="minorHAnsi"/>
          <w:b/>
          <w:lang w:eastAsia="en-US"/>
        </w:rPr>
        <w:t>I.</w:t>
      </w:r>
      <w:r w:rsidR="00351090" w:rsidRPr="002C5AC6">
        <w:rPr>
          <w:b/>
          <w:bCs/>
        </w:rPr>
        <w:t xml:space="preserve"> Обща информация за </w:t>
      </w:r>
      <w:r w:rsidR="004951C3" w:rsidRPr="002C5AC6">
        <w:rPr>
          <w:b/>
          <w:bCs/>
        </w:rPr>
        <w:t xml:space="preserve">организацията на бюджетния процес и </w:t>
      </w:r>
      <w:r w:rsidR="006B23C7" w:rsidRPr="002C5AC6">
        <w:rPr>
          <w:b/>
          <w:bCs/>
        </w:rPr>
        <w:t xml:space="preserve">състоянието на </w:t>
      </w:r>
      <w:r w:rsidR="004951C3" w:rsidRPr="002C5AC6">
        <w:rPr>
          <w:rFonts w:eastAsiaTheme="minorHAnsi"/>
          <w:b/>
          <w:lang w:eastAsia="en-US"/>
        </w:rPr>
        <w:t>в</w:t>
      </w:r>
      <w:r w:rsidRPr="002C5AC6">
        <w:rPr>
          <w:rFonts w:eastAsiaTheme="minorHAnsi"/>
          <w:b/>
          <w:lang w:eastAsia="en-US"/>
        </w:rPr>
        <w:t>ътрешн</w:t>
      </w:r>
      <w:r w:rsidR="004951C3" w:rsidRPr="002C5AC6">
        <w:rPr>
          <w:rFonts w:eastAsiaTheme="minorHAnsi"/>
          <w:b/>
          <w:lang w:eastAsia="en-US"/>
        </w:rPr>
        <w:t>ия</w:t>
      </w:r>
      <w:r w:rsidRPr="002C5AC6">
        <w:rPr>
          <w:rFonts w:eastAsiaTheme="minorHAnsi"/>
          <w:b/>
          <w:lang w:eastAsia="en-US"/>
        </w:rPr>
        <w:t xml:space="preserve"> контрол</w:t>
      </w:r>
      <w:r w:rsidR="004951C3" w:rsidRPr="002C5AC6">
        <w:rPr>
          <w:b/>
          <w:bCs/>
        </w:rPr>
        <w:t xml:space="preserve"> в СРС</w:t>
      </w:r>
    </w:p>
    <w:p w:rsidR="00E81249" w:rsidRPr="002C5AC6" w:rsidRDefault="009F74B4" w:rsidP="00D74305">
      <w:pPr>
        <w:spacing w:before="120" w:after="120"/>
        <w:ind w:firstLine="709"/>
        <w:jc w:val="both"/>
        <w:rPr>
          <w:rFonts w:eastAsia="Calibri"/>
          <w:spacing w:val="-4"/>
          <w:lang w:eastAsia="en-US"/>
        </w:rPr>
      </w:pPr>
      <w:r w:rsidRPr="002C5AC6">
        <w:rPr>
          <w:rFonts w:eastAsia="Calibri"/>
          <w:b/>
          <w:spacing w:val="-4"/>
          <w:lang w:eastAsia="en-US"/>
        </w:rPr>
        <w:t>1</w:t>
      </w:r>
      <w:r w:rsidR="00E81249" w:rsidRPr="002C5AC6">
        <w:rPr>
          <w:rFonts w:eastAsia="Calibri"/>
          <w:b/>
          <w:spacing w:val="-4"/>
          <w:lang w:eastAsia="en-US"/>
        </w:rPr>
        <w:t>.</w:t>
      </w:r>
      <w:r w:rsidR="00C62DD0" w:rsidRPr="002C5AC6">
        <w:rPr>
          <w:rFonts w:eastAsia="Calibri"/>
          <w:b/>
          <w:spacing w:val="-4"/>
          <w:lang w:eastAsia="en-US"/>
        </w:rPr>
        <w:t xml:space="preserve"> </w:t>
      </w:r>
      <w:r w:rsidR="00E81249" w:rsidRPr="002C5AC6">
        <w:rPr>
          <w:rFonts w:eastAsia="Calibri"/>
          <w:b/>
          <w:spacing w:val="-4"/>
          <w:lang w:eastAsia="en-US"/>
        </w:rPr>
        <w:t xml:space="preserve">Тригодишна бюджетна прогноза за 2014 г. </w:t>
      </w:r>
      <w:r w:rsidR="005645A6" w:rsidRPr="002C5AC6">
        <w:rPr>
          <w:rFonts w:eastAsia="Calibri"/>
          <w:b/>
          <w:spacing w:val="-4"/>
          <w:lang w:eastAsia="en-US"/>
        </w:rPr>
        <w:t>-2016 г</w:t>
      </w:r>
      <w:r w:rsidR="005645A6" w:rsidRPr="002C5AC6">
        <w:rPr>
          <w:rFonts w:eastAsia="Calibri"/>
          <w:spacing w:val="-4"/>
          <w:lang w:eastAsia="en-US"/>
        </w:rPr>
        <w:t>.</w:t>
      </w:r>
    </w:p>
    <w:p w:rsidR="00CB39B9" w:rsidRPr="002C5AC6" w:rsidRDefault="00763F6A" w:rsidP="00D74305">
      <w:pPr>
        <w:ind w:firstLine="709"/>
        <w:jc w:val="both"/>
        <w:rPr>
          <w:rFonts w:eastAsia="Calibri"/>
          <w:spacing w:val="-4"/>
          <w:lang w:eastAsia="en-US"/>
        </w:rPr>
      </w:pPr>
      <w:r w:rsidRPr="002C5AC6">
        <w:rPr>
          <w:rFonts w:eastAsia="Calibri"/>
          <w:spacing w:val="-4"/>
          <w:lang w:eastAsia="en-US"/>
        </w:rPr>
        <w:t>Тригодишна бюджетна прогноза за 2014 г. -</w:t>
      </w:r>
      <w:r w:rsidR="001A34F9">
        <w:rPr>
          <w:rFonts w:eastAsia="Calibri"/>
          <w:spacing w:val="-4"/>
          <w:lang w:eastAsia="en-US"/>
        </w:rPr>
        <w:t xml:space="preserve"> </w:t>
      </w:r>
      <w:r w:rsidRPr="002C5AC6">
        <w:rPr>
          <w:rFonts w:eastAsia="Calibri"/>
          <w:spacing w:val="-4"/>
          <w:lang w:eastAsia="en-US"/>
        </w:rPr>
        <w:t>2016 г.</w:t>
      </w:r>
      <w:r w:rsidR="001A34F9" w:rsidRPr="002C5AC6">
        <w:rPr>
          <w:rFonts w:eastAsia="Calibri"/>
          <w:spacing w:val="-4"/>
          <w:vertAlign w:val="superscript"/>
          <w:lang w:eastAsia="en-US"/>
        </w:rPr>
        <w:footnoteReference w:id="19"/>
      </w:r>
      <w:r w:rsidRPr="002C5AC6">
        <w:rPr>
          <w:rFonts w:eastAsia="Calibri"/>
          <w:spacing w:val="-4"/>
          <w:lang w:eastAsia="en-US"/>
        </w:rPr>
        <w:t xml:space="preserve"> е </w:t>
      </w:r>
      <w:r w:rsidR="00263585" w:rsidRPr="002C5AC6">
        <w:rPr>
          <w:rFonts w:eastAsia="Calibri"/>
          <w:spacing w:val="-4"/>
          <w:lang w:eastAsia="en-US"/>
        </w:rPr>
        <w:t>изготвена</w:t>
      </w:r>
      <w:r w:rsidRPr="002C5AC6">
        <w:rPr>
          <w:rFonts w:eastAsia="Calibri"/>
          <w:spacing w:val="-4"/>
          <w:lang w:eastAsia="en-US"/>
        </w:rPr>
        <w:t xml:space="preserve"> при спазване</w:t>
      </w:r>
      <w:r w:rsidR="00E81249" w:rsidRPr="002C5AC6">
        <w:rPr>
          <w:rFonts w:eastAsia="Calibri"/>
          <w:spacing w:val="-4"/>
          <w:lang w:eastAsia="en-US"/>
        </w:rPr>
        <w:t xml:space="preserve"> на бюджетните насоки на МФ</w:t>
      </w:r>
      <w:r w:rsidR="00C12D89" w:rsidRPr="002C5AC6">
        <w:rPr>
          <w:rFonts w:eastAsia="Calibri"/>
          <w:spacing w:val="-4"/>
          <w:lang w:eastAsia="en-US"/>
        </w:rPr>
        <w:t>,</w:t>
      </w:r>
      <w:r w:rsidR="00E81249" w:rsidRPr="002C5AC6">
        <w:rPr>
          <w:rFonts w:eastAsia="Calibri"/>
          <w:spacing w:val="-4"/>
          <w:lang w:eastAsia="en-US"/>
        </w:rPr>
        <w:t xml:space="preserve"> дадени с БЮ № 1 от 01.02.2013 г.</w:t>
      </w:r>
      <w:r w:rsidRPr="002C5AC6">
        <w:rPr>
          <w:rStyle w:val="FootnoteReference"/>
          <w:rFonts w:eastAsia="Calibri"/>
          <w:spacing w:val="-4"/>
          <w:lang w:eastAsia="en-US"/>
        </w:rPr>
        <w:footnoteReference w:id="20"/>
      </w:r>
      <w:r w:rsidR="00263585" w:rsidRPr="002C5AC6">
        <w:rPr>
          <w:rFonts w:eastAsia="Calibri"/>
          <w:spacing w:val="-4"/>
          <w:lang w:eastAsia="en-US"/>
        </w:rPr>
        <w:t>,</w:t>
      </w:r>
      <w:r w:rsidR="00593616" w:rsidRPr="002C5AC6">
        <w:rPr>
          <w:rFonts w:eastAsia="Calibri"/>
          <w:spacing w:val="-4"/>
          <w:lang w:eastAsia="en-US"/>
        </w:rPr>
        <w:t xml:space="preserve"> </w:t>
      </w:r>
      <w:r w:rsidR="00E81249" w:rsidRPr="002C5AC6">
        <w:rPr>
          <w:rFonts w:eastAsia="Calibri"/>
          <w:spacing w:val="-4"/>
          <w:lang w:eastAsia="en-US"/>
        </w:rPr>
        <w:t>БЮ № 4 от 02.09.2013 г.</w:t>
      </w:r>
      <w:r w:rsidRPr="002C5AC6">
        <w:rPr>
          <w:rStyle w:val="FootnoteReference"/>
          <w:rFonts w:eastAsia="Calibri"/>
          <w:spacing w:val="-4"/>
          <w:lang w:eastAsia="en-US"/>
        </w:rPr>
        <w:footnoteReference w:id="21"/>
      </w:r>
      <w:r w:rsidR="00E81249" w:rsidRPr="002C5AC6">
        <w:rPr>
          <w:rFonts w:eastAsia="Calibri"/>
          <w:spacing w:val="-4"/>
          <w:lang w:eastAsia="en-US"/>
        </w:rPr>
        <w:t xml:space="preserve"> </w:t>
      </w:r>
      <w:r w:rsidR="00263585" w:rsidRPr="002C5AC6">
        <w:rPr>
          <w:rFonts w:eastAsia="Calibri"/>
          <w:spacing w:val="-4"/>
          <w:lang w:eastAsia="en-US"/>
        </w:rPr>
        <w:t xml:space="preserve">и </w:t>
      </w:r>
      <w:r w:rsidR="00E81249" w:rsidRPr="002C5AC6">
        <w:rPr>
          <w:rFonts w:eastAsia="Calibri"/>
          <w:spacing w:val="-4"/>
          <w:lang w:eastAsia="en-US"/>
        </w:rPr>
        <w:t>указанията на ВСС до второстепенните разпоредители</w:t>
      </w:r>
      <w:r w:rsidR="00593616" w:rsidRPr="002C5AC6">
        <w:rPr>
          <w:rFonts w:eastAsia="Calibri"/>
          <w:spacing w:val="-4"/>
          <w:lang w:eastAsia="en-US"/>
        </w:rPr>
        <w:t xml:space="preserve"> с бюджет</w:t>
      </w:r>
      <w:r w:rsidR="00263585" w:rsidRPr="002C5AC6">
        <w:rPr>
          <w:rFonts w:eastAsia="Calibri"/>
          <w:spacing w:val="-4"/>
          <w:lang w:eastAsia="en-US"/>
        </w:rPr>
        <w:t xml:space="preserve">. Прогнозата е съобразена с </w:t>
      </w:r>
      <w:r w:rsidR="00E81249" w:rsidRPr="002C5AC6">
        <w:rPr>
          <w:rFonts w:eastAsia="Calibri"/>
          <w:spacing w:val="-4"/>
          <w:lang w:eastAsia="en-US"/>
        </w:rPr>
        <w:t>определените разходни тавани, с промените в законите и подзаконовите нормативни актове</w:t>
      </w:r>
      <w:r w:rsidR="00263585" w:rsidRPr="002C5AC6">
        <w:rPr>
          <w:rFonts w:eastAsia="Calibri"/>
          <w:spacing w:val="-4"/>
          <w:lang w:eastAsia="en-US"/>
        </w:rPr>
        <w:t>, засягащи дейността на съда</w:t>
      </w:r>
      <w:r w:rsidR="00263585" w:rsidRPr="002C5AC6">
        <w:rPr>
          <w:rStyle w:val="FootnoteReference"/>
          <w:rFonts w:eastAsia="Calibri"/>
          <w:spacing w:val="-4"/>
          <w:lang w:eastAsia="en-US"/>
        </w:rPr>
        <w:footnoteReference w:id="22"/>
      </w:r>
      <w:r w:rsidR="00E81249" w:rsidRPr="002C5AC6">
        <w:rPr>
          <w:rFonts w:eastAsia="Calibri"/>
          <w:spacing w:val="-4"/>
          <w:lang w:eastAsia="en-US"/>
        </w:rPr>
        <w:t xml:space="preserve">, Стратегията за реформа в българската съдебна система (одобрена с Решение </w:t>
      </w:r>
      <w:r w:rsidR="009F4213" w:rsidRPr="002C5AC6">
        <w:rPr>
          <w:rFonts w:eastAsia="Calibri"/>
          <w:spacing w:val="-4"/>
          <w:lang w:eastAsia="en-US"/>
        </w:rPr>
        <w:t xml:space="preserve">на Министерския съвет </w:t>
      </w:r>
      <w:r w:rsidR="00E81249" w:rsidRPr="002C5AC6">
        <w:rPr>
          <w:rFonts w:eastAsia="Calibri"/>
          <w:spacing w:val="-4"/>
          <w:lang w:eastAsia="en-US"/>
        </w:rPr>
        <w:t>№ 672/01.10.2001 г.) и Актуализираната програма за изпълнение на стратегията от 2003 г. Размерът на предвидените разходи за</w:t>
      </w:r>
      <w:r w:rsidR="009F74B4" w:rsidRPr="002C5AC6">
        <w:rPr>
          <w:rFonts w:eastAsia="Calibri"/>
          <w:spacing w:val="-4"/>
          <w:lang w:eastAsia="en-US"/>
        </w:rPr>
        <w:t xml:space="preserve"> </w:t>
      </w:r>
      <w:r w:rsidR="00E81249" w:rsidRPr="002C5AC6">
        <w:rPr>
          <w:rFonts w:eastAsia="Calibri"/>
          <w:spacing w:val="-4"/>
          <w:lang w:eastAsia="en-US"/>
        </w:rPr>
        <w:t>2014 г. е 36 725 </w:t>
      </w:r>
      <w:r w:rsidR="009F4213" w:rsidRPr="002C5AC6">
        <w:rPr>
          <w:rFonts w:eastAsia="Calibri"/>
          <w:spacing w:val="-4"/>
          <w:lang w:eastAsia="en-US"/>
        </w:rPr>
        <w:t>395 </w:t>
      </w:r>
      <w:r w:rsidR="00E81249" w:rsidRPr="002C5AC6">
        <w:rPr>
          <w:rFonts w:eastAsia="Calibri"/>
          <w:spacing w:val="-4"/>
          <w:lang w:eastAsia="en-US"/>
        </w:rPr>
        <w:t>лв.</w:t>
      </w:r>
      <w:r w:rsidR="009F74B4" w:rsidRPr="002C5AC6">
        <w:rPr>
          <w:rFonts w:eastAsia="Calibri"/>
          <w:spacing w:val="-4"/>
          <w:lang w:eastAsia="en-US"/>
        </w:rPr>
        <w:t>, като</w:t>
      </w:r>
      <w:r w:rsidR="00E81249" w:rsidRPr="002C5AC6">
        <w:rPr>
          <w:rFonts w:eastAsia="Calibri"/>
          <w:spacing w:val="-4"/>
          <w:lang w:eastAsia="en-US"/>
        </w:rPr>
        <w:t xml:space="preserve"> с най – голям относителен дял са </w:t>
      </w:r>
      <w:r w:rsidR="009F74B4" w:rsidRPr="002C5AC6">
        <w:rPr>
          <w:rFonts w:eastAsia="Calibri"/>
          <w:spacing w:val="-4"/>
          <w:lang w:eastAsia="en-US"/>
        </w:rPr>
        <w:t xml:space="preserve">разходите </w:t>
      </w:r>
      <w:r w:rsidR="00E81249" w:rsidRPr="002C5AC6">
        <w:rPr>
          <w:rFonts w:eastAsia="Calibri"/>
          <w:spacing w:val="-4"/>
          <w:lang w:eastAsia="en-US"/>
        </w:rPr>
        <w:t>за заплати – 49</w:t>
      </w:r>
      <w:r w:rsidR="00593616" w:rsidRPr="002C5AC6">
        <w:rPr>
          <w:rFonts w:eastAsia="Calibri"/>
          <w:spacing w:val="-4"/>
          <w:lang w:eastAsia="en-US"/>
        </w:rPr>
        <w:t xml:space="preserve"> на сто</w:t>
      </w:r>
      <w:r w:rsidR="00E81249" w:rsidRPr="002C5AC6">
        <w:rPr>
          <w:rFonts w:eastAsia="Calibri"/>
          <w:spacing w:val="-4"/>
          <w:lang w:eastAsia="en-US"/>
        </w:rPr>
        <w:t xml:space="preserve">, капиталови разходи – 13 </w:t>
      </w:r>
      <w:r w:rsidR="00593616" w:rsidRPr="002C5AC6">
        <w:rPr>
          <w:rFonts w:eastAsia="Calibri"/>
          <w:spacing w:val="-4"/>
          <w:lang w:eastAsia="en-US"/>
        </w:rPr>
        <w:t xml:space="preserve">на сто </w:t>
      </w:r>
      <w:r w:rsidR="00E81249" w:rsidRPr="002C5AC6">
        <w:rPr>
          <w:rFonts w:eastAsia="Calibri"/>
          <w:spacing w:val="-4"/>
          <w:lang w:eastAsia="en-US"/>
        </w:rPr>
        <w:t>и издръжка – 7</w:t>
      </w:r>
      <w:r w:rsidR="009F4213" w:rsidRPr="002C5AC6">
        <w:rPr>
          <w:rFonts w:eastAsia="Calibri"/>
          <w:spacing w:val="-4"/>
          <w:lang w:eastAsia="en-US"/>
        </w:rPr>
        <w:t xml:space="preserve"> </w:t>
      </w:r>
      <w:r w:rsidR="00593616" w:rsidRPr="002C5AC6">
        <w:rPr>
          <w:rFonts w:eastAsia="Calibri"/>
          <w:spacing w:val="-4"/>
          <w:lang w:eastAsia="en-US"/>
        </w:rPr>
        <w:t>на сто</w:t>
      </w:r>
      <w:r w:rsidR="00F537B3" w:rsidRPr="002C5AC6">
        <w:rPr>
          <w:rStyle w:val="FootnoteReference"/>
          <w:rFonts w:eastAsia="Calibri"/>
          <w:spacing w:val="-4"/>
          <w:lang w:eastAsia="en-US"/>
        </w:rPr>
        <w:footnoteReference w:id="23"/>
      </w:r>
      <w:r w:rsidR="009F74B4" w:rsidRPr="002C5AC6">
        <w:rPr>
          <w:rFonts w:eastAsia="Calibri"/>
          <w:spacing w:val="-4"/>
          <w:lang w:eastAsia="en-US"/>
        </w:rPr>
        <w:t>.</w:t>
      </w:r>
    </w:p>
    <w:p w:rsidR="000821CC" w:rsidRPr="002C5AC6" w:rsidRDefault="009F74B4" w:rsidP="00D74305">
      <w:pPr>
        <w:spacing w:before="120" w:after="120"/>
        <w:ind w:firstLine="709"/>
        <w:jc w:val="both"/>
        <w:rPr>
          <w:rFonts w:eastAsia="Calibri"/>
          <w:b/>
          <w:spacing w:val="-4"/>
          <w:lang w:eastAsia="en-US"/>
        </w:rPr>
      </w:pPr>
      <w:r w:rsidRPr="002C5AC6">
        <w:rPr>
          <w:rFonts w:eastAsia="Calibri"/>
          <w:b/>
          <w:spacing w:val="-4"/>
          <w:lang w:eastAsia="en-US"/>
        </w:rPr>
        <w:t>2</w:t>
      </w:r>
      <w:r w:rsidR="000821CC" w:rsidRPr="002C5AC6">
        <w:rPr>
          <w:rFonts w:eastAsia="Calibri"/>
          <w:b/>
          <w:spacing w:val="-4"/>
          <w:lang w:eastAsia="en-US"/>
        </w:rPr>
        <w:t>.</w:t>
      </w:r>
      <w:r w:rsidR="004732B4" w:rsidRPr="002C5AC6">
        <w:rPr>
          <w:rFonts w:eastAsia="Calibri"/>
          <w:b/>
          <w:spacing w:val="-4"/>
          <w:lang w:eastAsia="en-US"/>
        </w:rPr>
        <w:t xml:space="preserve"> </w:t>
      </w:r>
      <w:r w:rsidRPr="002C5AC6">
        <w:rPr>
          <w:rFonts w:eastAsia="Calibri"/>
          <w:b/>
          <w:spacing w:val="-4"/>
          <w:lang w:eastAsia="en-US"/>
        </w:rPr>
        <w:t>Б</w:t>
      </w:r>
      <w:r w:rsidR="00E81249" w:rsidRPr="002C5AC6">
        <w:rPr>
          <w:rFonts w:eastAsia="Calibri"/>
          <w:b/>
          <w:spacing w:val="-4"/>
          <w:lang w:eastAsia="en-US"/>
        </w:rPr>
        <w:t>юджет на СРС за 2014 г.</w:t>
      </w:r>
    </w:p>
    <w:p w:rsidR="00E81249" w:rsidRPr="002C5AC6" w:rsidRDefault="00E81249" w:rsidP="007A632F">
      <w:pPr>
        <w:ind w:firstLine="709"/>
        <w:jc w:val="both"/>
        <w:rPr>
          <w:rFonts w:eastAsia="Calibri"/>
          <w:spacing w:val="-4"/>
          <w:lang w:eastAsia="en-US"/>
        </w:rPr>
      </w:pPr>
      <w:r w:rsidRPr="002C5AC6">
        <w:rPr>
          <w:rFonts w:eastAsia="Calibri"/>
          <w:spacing w:val="-4"/>
          <w:lang w:eastAsia="en-US"/>
        </w:rPr>
        <w:t>Проект</w:t>
      </w:r>
      <w:r w:rsidR="00B07A56" w:rsidRPr="002C5AC6">
        <w:rPr>
          <w:rFonts w:eastAsia="Calibri"/>
          <w:spacing w:val="-4"/>
          <w:lang w:eastAsia="en-US"/>
        </w:rPr>
        <w:t>ът</w:t>
      </w:r>
      <w:r w:rsidRPr="002C5AC6">
        <w:rPr>
          <w:rFonts w:eastAsia="Calibri"/>
          <w:spacing w:val="-4"/>
          <w:lang w:eastAsia="en-US"/>
        </w:rPr>
        <w:t xml:space="preserve"> на бюджет на СРС </w:t>
      </w:r>
      <w:r w:rsidR="00BA7F61" w:rsidRPr="002C5AC6">
        <w:rPr>
          <w:rFonts w:eastAsia="Calibri"/>
          <w:spacing w:val="-4"/>
          <w:lang w:eastAsia="en-US"/>
        </w:rPr>
        <w:t xml:space="preserve">за 2014 г. </w:t>
      </w:r>
      <w:r w:rsidRPr="002C5AC6">
        <w:rPr>
          <w:rFonts w:eastAsia="Calibri"/>
          <w:spacing w:val="-4"/>
          <w:lang w:eastAsia="en-US"/>
        </w:rPr>
        <w:t>е изготвен в съответствие с Инструкция 01-01 „Разработване на проектобюджета и бюджета на СРС“</w:t>
      </w:r>
      <w:r w:rsidR="009F74B4" w:rsidRPr="002C5AC6">
        <w:rPr>
          <w:rFonts w:eastAsia="Calibri"/>
          <w:spacing w:val="-4"/>
          <w:lang w:eastAsia="en-US"/>
        </w:rPr>
        <w:t xml:space="preserve"> и указанията на първостепенния разпоредител</w:t>
      </w:r>
      <w:r w:rsidRPr="002C5AC6">
        <w:rPr>
          <w:rFonts w:eastAsia="Calibri"/>
          <w:spacing w:val="-4"/>
          <w:lang w:eastAsia="en-US"/>
        </w:rPr>
        <w:t xml:space="preserve">. </w:t>
      </w:r>
    </w:p>
    <w:p w:rsidR="00E25DB3" w:rsidRPr="002C5AC6" w:rsidRDefault="00E25DB3" w:rsidP="005E7944">
      <w:pPr>
        <w:ind w:firstLine="720"/>
        <w:jc w:val="both"/>
        <w:rPr>
          <w:lang w:eastAsia="en-US"/>
        </w:rPr>
      </w:pPr>
      <w:r w:rsidRPr="002C5AC6">
        <w:rPr>
          <w:lang w:eastAsia="en-US"/>
        </w:rPr>
        <w:t>Съгласно разпоредбите на чл. 2, ал. 7 от Закона за държавния бюджет на Република България за 2014 г.</w:t>
      </w:r>
      <w:r w:rsidR="003F57F3" w:rsidRPr="002C5AC6">
        <w:rPr>
          <w:lang w:eastAsia="en-US"/>
        </w:rPr>
        <w:t xml:space="preserve">, </w:t>
      </w:r>
      <w:r w:rsidRPr="002C5AC6">
        <w:rPr>
          <w:lang w:eastAsia="en-US"/>
        </w:rPr>
        <w:t xml:space="preserve">с протокол № 6 от 06.02.2014 г. </w:t>
      </w:r>
      <w:r w:rsidR="00061AA3" w:rsidRPr="002C5AC6">
        <w:rPr>
          <w:lang w:eastAsia="en-US"/>
        </w:rPr>
        <w:t xml:space="preserve">на ВСС </w:t>
      </w:r>
      <w:r w:rsidRPr="002C5AC6">
        <w:rPr>
          <w:lang w:eastAsia="en-US"/>
        </w:rPr>
        <w:t>бюджетите на органите на съдебната власт</w:t>
      </w:r>
      <w:r w:rsidR="004D0B2B" w:rsidRPr="002C5AC6">
        <w:rPr>
          <w:lang w:eastAsia="en-US"/>
        </w:rPr>
        <w:t xml:space="preserve"> са одобрени от ВСС</w:t>
      </w:r>
      <w:r w:rsidRPr="002C5AC6">
        <w:rPr>
          <w:lang w:eastAsia="en-US"/>
        </w:rPr>
        <w:t xml:space="preserve">. С протокол № 8 от 20.02.2014 г. на ВСС </w:t>
      </w:r>
      <w:r w:rsidR="004D0B2B" w:rsidRPr="002C5AC6">
        <w:rPr>
          <w:lang w:eastAsia="en-US"/>
        </w:rPr>
        <w:t xml:space="preserve">на СРС </w:t>
      </w:r>
      <w:r w:rsidRPr="002C5AC6">
        <w:rPr>
          <w:lang w:eastAsia="en-US"/>
        </w:rPr>
        <w:t>е утвърден бюджет в размер 16 375 201 лв., в т.ч.: заплати и възнаграждения за персонала – 10</w:t>
      </w:r>
      <w:r w:rsidR="003F57F3" w:rsidRPr="002C5AC6">
        <w:rPr>
          <w:lang w:eastAsia="en-US"/>
        </w:rPr>
        <w:t> </w:t>
      </w:r>
      <w:r w:rsidRPr="002C5AC6">
        <w:rPr>
          <w:lang w:eastAsia="en-US"/>
        </w:rPr>
        <w:t>753</w:t>
      </w:r>
      <w:r w:rsidR="003F57F3" w:rsidRPr="002C5AC6">
        <w:rPr>
          <w:lang w:eastAsia="en-US"/>
        </w:rPr>
        <w:t> </w:t>
      </w:r>
      <w:r w:rsidRPr="002C5AC6">
        <w:rPr>
          <w:lang w:eastAsia="en-US"/>
        </w:rPr>
        <w:t>440</w:t>
      </w:r>
      <w:r w:rsidR="003F57F3" w:rsidRPr="002C5AC6">
        <w:rPr>
          <w:lang w:eastAsia="en-US"/>
        </w:rPr>
        <w:t> </w:t>
      </w:r>
      <w:r w:rsidRPr="002C5AC6">
        <w:rPr>
          <w:lang w:eastAsia="en-US"/>
        </w:rPr>
        <w:t xml:space="preserve">лв.; други възнаграждения и плащания за персонала – 1 296 043 лв.; </w:t>
      </w:r>
      <w:r w:rsidR="004D0B2B" w:rsidRPr="002C5AC6">
        <w:rPr>
          <w:lang w:eastAsia="en-US"/>
        </w:rPr>
        <w:t>о</w:t>
      </w:r>
      <w:r w:rsidRPr="002C5AC6">
        <w:rPr>
          <w:lang w:eastAsia="en-US"/>
        </w:rPr>
        <w:t>сигурителни вноски – 3 118 498 лв.</w:t>
      </w:r>
      <w:r w:rsidR="004D0B2B" w:rsidRPr="002C5AC6">
        <w:rPr>
          <w:lang w:eastAsia="en-US"/>
        </w:rPr>
        <w:t xml:space="preserve"> и</w:t>
      </w:r>
      <w:r w:rsidRPr="002C5AC6">
        <w:rPr>
          <w:lang w:eastAsia="en-US"/>
        </w:rPr>
        <w:t xml:space="preserve"> издръжка – 1 207 153 лв. </w:t>
      </w:r>
      <w:r w:rsidR="004D0B2B" w:rsidRPr="002C5AC6">
        <w:rPr>
          <w:lang w:eastAsia="en-US"/>
        </w:rPr>
        <w:t xml:space="preserve"> </w:t>
      </w:r>
    </w:p>
    <w:p w:rsidR="00E25DB3" w:rsidRPr="002C5AC6" w:rsidRDefault="00E25DB3" w:rsidP="00241485">
      <w:pPr>
        <w:ind w:firstLine="720"/>
        <w:jc w:val="both"/>
        <w:rPr>
          <w:rFonts w:eastAsia="Calibri"/>
          <w:i/>
          <w:spacing w:val="-4"/>
          <w:highlight w:val="yellow"/>
          <w:shd w:val="clear" w:color="auto" w:fill="FFFFFF"/>
        </w:rPr>
      </w:pPr>
      <w:r w:rsidRPr="002C5AC6">
        <w:rPr>
          <w:rFonts w:eastAsia="Calibri"/>
          <w:i/>
          <w:spacing w:val="-4"/>
          <w:shd w:val="clear" w:color="auto" w:fill="FFFFFF"/>
        </w:rPr>
        <w:t>Извършените дейности по планиране и утвърждаване на бюджет</w:t>
      </w:r>
      <w:r w:rsidR="00006A41" w:rsidRPr="002C5AC6">
        <w:rPr>
          <w:rFonts w:eastAsia="Calibri"/>
          <w:i/>
          <w:spacing w:val="-4"/>
          <w:shd w:val="clear" w:color="auto" w:fill="FFFFFF"/>
        </w:rPr>
        <w:t>а, необходим</w:t>
      </w:r>
      <w:r w:rsidRPr="002C5AC6">
        <w:rPr>
          <w:rFonts w:eastAsia="Calibri"/>
          <w:i/>
          <w:spacing w:val="-4"/>
          <w:shd w:val="clear" w:color="auto" w:fill="FFFFFF"/>
        </w:rPr>
        <w:t xml:space="preserve"> за осъществяване на дейността на СРС за 2014 г.</w:t>
      </w:r>
      <w:r w:rsidR="0018781F" w:rsidRPr="002C5AC6">
        <w:rPr>
          <w:rFonts w:eastAsia="Calibri"/>
          <w:i/>
          <w:spacing w:val="-4"/>
          <w:shd w:val="clear" w:color="auto" w:fill="FFFFFF"/>
        </w:rPr>
        <w:t>,</w:t>
      </w:r>
      <w:r w:rsidRPr="002C5AC6">
        <w:rPr>
          <w:rFonts w:eastAsia="Calibri"/>
          <w:i/>
          <w:spacing w:val="-4"/>
          <w:shd w:val="clear" w:color="auto" w:fill="FFFFFF"/>
        </w:rPr>
        <w:t xml:space="preserve"> са в съответствие със З</w:t>
      </w:r>
      <w:r w:rsidR="000649E6">
        <w:rPr>
          <w:rFonts w:eastAsia="Calibri"/>
          <w:i/>
          <w:spacing w:val="-4"/>
          <w:shd w:val="clear" w:color="auto" w:fill="FFFFFF"/>
        </w:rPr>
        <w:t>акона за държавния бюджет на Република България</w:t>
      </w:r>
      <w:r w:rsidRPr="002C5AC6">
        <w:rPr>
          <w:rFonts w:eastAsia="Calibri"/>
          <w:i/>
          <w:spacing w:val="-4"/>
          <w:shd w:val="clear" w:color="auto" w:fill="FFFFFF"/>
        </w:rPr>
        <w:t xml:space="preserve"> за 2014 г.</w:t>
      </w:r>
      <w:r w:rsidR="008E0440" w:rsidRPr="002C5AC6">
        <w:rPr>
          <w:rFonts w:eastAsia="Calibri"/>
          <w:i/>
          <w:spacing w:val="-4"/>
          <w:shd w:val="clear" w:color="auto" w:fill="FFFFFF"/>
        </w:rPr>
        <w:t>,</w:t>
      </w:r>
      <w:r w:rsidRPr="002C5AC6">
        <w:rPr>
          <w:rFonts w:eastAsia="Calibri"/>
          <w:i/>
          <w:spacing w:val="-4"/>
          <w:shd w:val="clear" w:color="auto" w:fill="FFFFFF"/>
        </w:rPr>
        <w:t xml:space="preserve"> </w:t>
      </w:r>
      <w:r w:rsidR="00C05109" w:rsidRPr="002C5AC6">
        <w:rPr>
          <w:rFonts w:eastAsia="Calibri"/>
          <w:i/>
          <w:spacing w:val="-4"/>
          <w:shd w:val="clear" w:color="auto" w:fill="FFFFFF"/>
        </w:rPr>
        <w:t>ПМС № 3</w:t>
      </w:r>
      <w:r w:rsidRPr="002C5AC6">
        <w:rPr>
          <w:rFonts w:eastAsia="Calibri"/>
          <w:i/>
          <w:spacing w:val="-4"/>
          <w:shd w:val="clear" w:color="auto" w:fill="FFFFFF"/>
        </w:rPr>
        <w:t xml:space="preserve"> </w:t>
      </w:r>
      <w:r w:rsidR="00C05109" w:rsidRPr="002C5AC6">
        <w:rPr>
          <w:rFonts w:eastAsia="Calibri"/>
          <w:i/>
          <w:spacing w:val="-4"/>
          <w:shd w:val="clear" w:color="auto" w:fill="FFFFFF"/>
        </w:rPr>
        <w:t>от 2014 г.</w:t>
      </w:r>
      <w:r w:rsidR="000649E6">
        <w:rPr>
          <w:rFonts w:eastAsia="Calibri"/>
          <w:i/>
          <w:spacing w:val="-4"/>
          <w:shd w:val="clear" w:color="auto" w:fill="FFFFFF"/>
        </w:rPr>
        <w:t xml:space="preserve"> за изпълнение на бюджета за 2014 г.</w:t>
      </w:r>
      <w:r w:rsidR="003F57F3" w:rsidRPr="002C5AC6">
        <w:rPr>
          <w:rFonts w:eastAsia="Calibri"/>
          <w:i/>
          <w:spacing w:val="-4"/>
          <w:shd w:val="clear" w:color="auto" w:fill="FFFFFF"/>
        </w:rPr>
        <w:t>,</w:t>
      </w:r>
      <w:r w:rsidRPr="002C5AC6">
        <w:rPr>
          <w:rFonts w:eastAsia="Calibri"/>
          <w:i/>
          <w:spacing w:val="-4"/>
          <w:shd w:val="clear" w:color="auto" w:fill="FFFFFF"/>
        </w:rPr>
        <w:t xml:space="preserve"> указанията на М</w:t>
      </w:r>
      <w:r w:rsidR="003F57F3" w:rsidRPr="002C5AC6">
        <w:rPr>
          <w:rFonts w:eastAsia="Calibri"/>
          <w:i/>
          <w:spacing w:val="-4"/>
          <w:shd w:val="clear" w:color="auto" w:fill="FFFFFF"/>
        </w:rPr>
        <w:t>Ф и</w:t>
      </w:r>
      <w:r w:rsidR="00C05109" w:rsidRPr="002C5AC6">
        <w:rPr>
          <w:rFonts w:eastAsia="Calibri"/>
          <w:i/>
          <w:spacing w:val="-4"/>
          <w:shd w:val="clear" w:color="auto" w:fill="FFFFFF"/>
        </w:rPr>
        <w:t xml:space="preserve"> ВСС</w:t>
      </w:r>
      <w:r w:rsidRPr="002C5AC6">
        <w:rPr>
          <w:rFonts w:eastAsia="Calibri"/>
          <w:i/>
          <w:spacing w:val="-4"/>
          <w:shd w:val="clear" w:color="auto" w:fill="FFFFFF"/>
        </w:rPr>
        <w:t>. Създадена е организация за законосъобразното протичане на бюджетния процес.</w:t>
      </w:r>
    </w:p>
    <w:p w:rsidR="00AF0EC5" w:rsidRDefault="00AF0EC5" w:rsidP="00D74305">
      <w:pPr>
        <w:spacing w:before="120" w:after="120"/>
        <w:ind w:firstLine="720"/>
        <w:jc w:val="both"/>
        <w:rPr>
          <w:rFonts w:eastAsia="Calibri"/>
          <w:b/>
          <w:spacing w:val="-4"/>
          <w:shd w:val="clear" w:color="auto" w:fill="FFFFFF"/>
          <w:lang w:val="en-US"/>
        </w:rPr>
      </w:pPr>
    </w:p>
    <w:p w:rsidR="00AF0EC5" w:rsidRDefault="00AF0EC5" w:rsidP="00D74305">
      <w:pPr>
        <w:spacing w:before="120" w:after="120"/>
        <w:ind w:firstLine="720"/>
        <w:jc w:val="both"/>
        <w:rPr>
          <w:rFonts w:eastAsia="Calibri"/>
          <w:b/>
          <w:spacing w:val="-4"/>
          <w:shd w:val="clear" w:color="auto" w:fill="FFFFFF"/>
          <w:lang w:val="en-US"/>
        </w:rPr>
      </w:pPr>
    </w:p>
    <w:p w:rsidR="00AF0EC5" w:rsidRDefault="00AF0EC5" w:rsidP="00D74305">
      <w:pPr>
        <w:spacing w:before="120" w:after="120"/>
        <w:ind w:firstLine="720"/>
        <w:jc w:val="both"/>
        <w:rPr>
          <w:rFonts w:eastAsia="Calibri"/>
          <w:b/>
          <w:spacing w:val="-4"/>
          <w:shd w:val="clear" w:color="auto" w:fill="FFFFFF"/>
          <w:lang w:val="en-US"/>
        </w:rPr>
      </w:pPr>
    </w:p>
    <w:p w:rsidR="00E25DB3" w:rsidRPr="002C5AC6" w:rsidRDefault="00F1484D" w:rsidP="00D74305">
      <w:pPr>
        <w:spacing w:before="120" w:after="120"/>
        <w:ind w:firstLine="720"/>
        <w:jc w:val="both"/>
        <w:rPr>
          <w:rFonts w:eastAsia="Calibri"/>
          <w:b/>
          <w:spacing w:val="-4"/>
          <w:shd w:val="clear" w:color="auto" w:fill="FFFFFF"/>
        </w:rPr>
      </w:pPr>
      <w:r w:rsidRPr="002C5AC6">
        <w:rPr>
          <w:rFonts w:eastAsia="Calibri"/>
          <w:b/>
          <w:spacing w:val="-4"/>
          <w:shd w:val="clear" w:color="auto" w:fill="FFFFFF"/>
        </w:rPr>
        <w:lastRenderedPageBreak/>
        <w:t>3.</w:t>
      </w:r>
      <w:r w:rsidR="004D7E82" w:rsidRPr="002C5AC6">
        <w:rPr>
          <w:rFonts w:eastAsia="Calibri"/>
          <w:b/>
          <w:spacing w:val="-4"/>
          <w:shd w:val="clear" w:color="auto" w:fill="FFFFFF"/>
        </w:rPr>
        <w:t xml:space="preserve"> </w:t>
      </w:r>
      <w:r w:rsidR="00E25DB3" w:rsidRPr="002C5AC6">
        <w:rPr>
          <w:rFonts w:eastAsia="Calibri"/>
          <w:b/>
          <w:spacing w:val="-4"/>
          <w:shd w:val="clear" w:color="auto" w:fill="FFFFFF"/>
        </w:rPr>
        <w:t>Месечно разпределение</w:t>
      </w:r>
    </w:p>
    <w:p w:rsidR="00F84E1F" w:rsidRPr="002C5AC6" w:rsidRDefault="00C2051C" w:rsidP="00313CB9">
      <w:pPr>
        <w:ind w:firstLine="720"/>
        <w:jc w:val="both"/>
        <w:rPr>
          <w:spacing w:val="-4"/>
          <w:shd w:val="clear" w:color="auto" w:fill="FFFFFF"/>
        </w:rPr>
      </w:pPr>
      <w:r w:rsidRPr="002C5AC6">
        <w:rPr>
          <w:spacing w:val="-4"/>
          <w:shd w:val="clear" w:color="auto" w:fill="FFFFFF"/>
        </w:rPr>
        <w:t>В съответствие с изискванията на чл. 108, ал. 1 от Закона за публичните финанси</w:t>
      </w:r>
      <w:r w:rsidR="00006A41" w:rsidRPr="002C5AC6">
        <w:rPr>
          <w:spacing w:val="-4"/>
          <w:shd w:val="clear" w:color="auto" w:fill="FFFFFF"/>
        </w:rPr>
        <w:t xml:space="preserve">, ПМС </w:t>
      </w:r>
      <w:r w:rsidR="000649E6">
        <w:rPr>
          <w:spacing w:val="-4"/>
          <w:shd w:val="clear" w:color="auto" w:fill="FFFFFF"/>
        </w:rPr>
        <w:t>№ </w:t>
      </w:r>
      <w:r w:rsidRPr="002C5AC6">
        <w:rPr>
          <w:spacing w:val="-4"/>
          <w:shd w:val="clear" w:color="auto" w:fill="FFFFFF"/>
        </w:rPr>
        <w:t>3 от 2014 г.</w:t>
      </w:r>
      <w:r w:rsidR="00F1484D" w:rsidRPr="002C5AC6">
        <w:rPr>
          <w:spacing w:val="-4"/>
          <w:shd w:val="clear" w:color="auto" w:fill="FFFFFF"/>
        </w:rPr>
        <w:t>,</w:t>
      </w:r>
      <w:r w:rsidRPr="002C5AC6">
        <w:rPr>
          <w:spacing w:val="-4"/>
          <w:shd w:val="clear" w:color="auto" w:fill="FFFFFF"/>
        </w:rPr>
        <w:t xml:space="preserve"> </w:t>
      </w:r>
      <w:r w:rsidR="00F1484D" w:rsidRPr="002C5AC6">
        <w:rPr>
          <w:spacing w:val="-4"/>
          <w:shd w:val="clear" w:color="auto" w:fill="FFFFFF"/>
        </w:rPr>
        <w:t xml:space="preserve">указанията на МФ, дадени с писмо </w:t>
      </w:r>
      <w:r w:rsidRPr="002C5AC6">
        <w:rPr>
          <w:spacing w:val="-4"/>
          <w:shd w:val="clear" w:color="auto" w:fill="FFFFFF"/>
        </w:rPr>
        <w:t xml:space="preserve">ДР-2/2014 г. и в съответствие с Указанията относно изпълнението на бюджета на съдебната власт за 2014 г., </w:t>
      </w:r>
      <w:r w:rsidR="000649E6">
        <w:rPr>
          <w:spacing w:val="-4"/>
          <w:shd w:val="clear" w:color="auto" w:fill="FFFFFF"/>
        </w:rPr>
        <w:t xml:space="preserve">от </w:t>
      </w:r>
      <w:r w:rsidRPr="002C5AC6">
        <w:rPr>
          <w:spacing w:val="-4"/>
          <w:shd w:val="clear" w:color="auto" w:fill="FFFFFF"/>
        </w:rPr>
        <w:t xml:space="preserve">СРС </w:t>
      </w:r>
      <w:r w:rsidR="000649E6">
        <w:rPr>
          <w:spacing w:val="-4"/>
          <w:shd w:val="clear" w:color="auto" w:fill="FFFFFF"/>
        </w:rPr>
        <w:t>е изго</w:t>
      </w:r>
      <w:r w:rsidR="00AA5965" w:rsidRPr="002C5AC6">
        <w:rPr>
          <w:spacing w:val="-4"/>
          <w:shd w:val="clear" w:color="auto" w:fill="FFFFFF"/>
        </w:rPr>
        <w:t>изготв</w:t>
      </w:r>
      <w:r w:rsidR="000649E6">
        <w:rPr>
          <w:spacing w:val="-4"/>
          <w:shd w:val="clear" w:color="auto" w:fill="FFFFFF"/>
        </w:rPr>
        <w:t>ено</w:t>
      </w:r>
      <w:r w:rsidR="00AA5965" w:rsidRPr="002C5AC6">
        <w:rPr>
          <w:spacing w:val="-4"/>
          <w:shd w:val="clear" w:color="auto" w:fill="FFFFFF"/>
        </w:rPr>
        <w:t xml:space="preserve"> и </w:t>
      </w:r>
      <w:r w:rsidRPr="002C5AC6">
        <w:rPr>
          <w:spacing w:val="-4"/>
          <w:shd w:val="clear" w:color="auto" w:fill="FFFFFF"/>
        </w:rPr>
        <w:t>изпра</w:t>
      </w:r>
      <w:r w:rsidR="000649E6">
        <w:rPr>
          <w:spacing w:val="-4"/>
          <w:shd w:val="clear" w:color="auto" w:fill="FFFFFF"/>
        </w:rPr>
        <w:t>тено</w:t>
      </w:r>
      <w:r w:rsidRPr="002C5AC6">
        <w:rPr>
          <w:spacing w:val="-4"/>
          <w:shd w:val="clear" w:color="auto" w:fill="FFFFFF"/>
        </w:rPr>
        <w:t xml:space="preserve"> </w:t>
      </w:r>
      <w:r w:rsidR="005B5E39" w:rsidRPr="002C5AC6">
        <w:rPr>
          <w:spacing w:val="-4"/>
          <w:shd w:val="clear" w:color="auto" w:fill="FFFFFF"/>
        </w:rPr>
        <w:t xml:space="preserve">на ВСС </w:t>
      </w:r>
      <w:r w:rsidRPr="002C5AC6">
        <w:rPr>
          <w:spacing w:val="-4"/>
          <w:shd w:val="clear" w:color="auto" w:fill="FFFFFF"/>
        </w:rPr>
        <w:t>за одобрение месечно разпределение на утвърдените годишни размери на приходите, разходите, трансферите, субсидиите, бюджетното салдо и финансирането</w:t>
      </w:r>
      <w:r w:rsidR="00F1484D" w:rsidRPr="002C5AC6">
        <w:rPr>
          <w:spacing w:val="-4"/>
          <w:shd w:val="clear" w:color="auto" w:fill="FFFFFF"/>
        </w:rPr>
        <w:t xml:space="preserve"> по параграфи на</w:t>
      </w:r>
      <w:r w:rsidRPr="002C5AC6">
        <w:rPr>
          <w:spacing w:val="-4"/>
          <w:shd w:val="clear" w:color="auto" w:fill="FFFFFF"/>
        </w:rPr>
        <w:t xml:space="preserve"> ЕБК, както и разшифровка на капиталовите разходи и трансфери</w:t>
      </w:r>
      <w:r w:rsidR="001C751D" w:rsidRPr="002C5AC6">
        <w:rPr>
          <w:spacing w:val="-4"/>
          <w:shd w:val="clear" w:color="auto" w:fill="FFFFFF"/>
        </w:rPr>
        <w:t>.</w:t>
      </w:r>
    </w:p>
    <w:p w:rsidR="00A00DAD" w:rsidRPr="002C5AC6" w:rsidRDefault="00F1484D" w:rsidP="00D74305">
      <w:pPr>
        <w:spacing w:before="120" w:after="120"/>
        <w:ind w:firstLine="720"/>
        <w:jc w:val="both"/>
        <w:rPr>
          <w:b/>
          <w:spacing w:val="-4"/>
          <w:shd w:val="clear" w:color="auto" w:fill="FFFFFF"/>
        </w:rPr>
      </w:pPr>
      <w:r w:rsidRPr="002C5AC6">
        <w:rPr>
          <w:rFonts w:eastAsia="Calibri"/>
          <w:b/>
          <w:spacing w:val="-4"/>
          <w:shd w:val="clear" w:color="auto" w:fill="FFFFFF"/>
        </w:rPr>
        <w:t>4.</w:t>
      </w:r>
      <w:r w:rsidR="004732B4" w:rsidRPr="002C5AC6">
        <w:rPr>
          <w:b/>
          <w:spacing w:val="-4"/>
          <w:shd w:val="clear" w:color="auto" w:fill="FFFFFF"/>
        </w:rPr>
        <w:t xml:space="preserve"> </w:t>
      </w:r>
      <w:r w:rsidR="00F84E1F" w:rsidRPr="002C5AC6">
        <w:rPr>
          <w:b/>
          <w:spacing w:val="-4"/>
          <w:shd w:val="clear" w:color="auto" w:fill="FFFFFF"/>
        </w:rPr>
        <w:t xml:space="preserve">Корекции по бюджета </w:t>
      </w:r>
    </w:p>
    <w:p w:rsidR="00F84E1F" w:rsidRPr="002C5AC6" w:rsidRDefault="005D3FC4" w:rsidP="007E5014">
      <w:pPr>
        <w:ind w:firstLine="709"/>
        <w:jc w:val="both"/>
        <w:rPr>
          <w:spacing w:val="-4"/>
          <w:shd w:val="clear" w:color="auto" w:fill="FFFFFF"/>
        </w:rPr>
      </w:pPr>
      <w:r w:rsidRPr="002C5AC6">
        <w:rPr>
          <w:spacing w:val="-4"/>
          <w:shd w:val="clear" w:color="auto" w:fill="FFFFFF"/>
        </w:rPr>
        <w:t xml:space="preserve">Във </w:t>
      </w:r>
      <w:r w:rsidR="00F84E1F" w:rsidRPr="002C5AC6">
        <w:rPr>
          <w:spacing w:val="-4"/>
          <w:shd w:val="clear" w:color="auto" w:fill="FFFFFF"/>
        </w:rPr>
        <w:t>връзка с осигуряване на средства за закупуване на оборудването на сградата на СРС на бул. „Цар Борис III“ № 54</w:t>
      </w:r>
      <w:r w:rsidRPr="002C5AC6">
        <w:rPr>
          <w:spacing w:val="-4"/>
          <w:shd w:val="clear" w:color="auto" w:fill="FFFFFF"/>
        </w:rPr>
        <w:t>,</w:t>
      </w:r>
      <w:r w:rsidR="00F84E1F" w:rsidRPr="002C5AC6">
        <w:rPr>
          <w:spacing w:val="-4"/>
          <w:shd w:val="clear" w:color="auto" w:fill="FFFFFF"/>
        </w:rPr>
        <w:t xml:space="preserve"> </w:t>
      </w:r>
      <w:r w:rsidR="004D7E82" w:rsidRPr="002C5AC6">
        <w:rPr>
          <w:spacing w:val="-4"/>
          <w:shd w:val="clear" w:color="auto" w:fill="FFFFFF"/>
        </w:rPr>
        <w:t>на основание постановления на Министерски съвет</w:t>
      </w:r>
      <w:r w:rsidR="004D7E82" w:rsidRPr="002C5AC6" w:rsidDel="004D7E82">
        <w:rPr>
          <w:spacing w:val="-4"/>
          <w:shd w:val="clear" w:color="auto" w:fill="FFFFFF"/>
        </w:rPr>
        <w:t xml:space="preserve"> </w:t>
      </w:r>
      <w:r w:rsidR="00F84E1F" w:rsidRPr="002C5AC6">
        <w:rPr>
          <w:spacing w:val="-4"/>
          <w:shd w:val="clear" w:color="auto" w:fill="FFFFFF"/>
        </w:rPr>
        <w:t xml:space="preserve">по бюджета на съдебната власт </w:t>
      </w:r>
      <w:r w:rsidR="004D7E82" w:rsidRPr="002C5AC6">
        <w:rPr>
          <w:spacing w:val="-4"/>
          <w:shd w:val="clear" w:color="auto" w:fill="FFFFFF"/>
        </w:rPr>
        <w:t xml:space="preserve">са извършени корекции </w:t>
      </w:r>
      <w:r w:rsidR="00F84E1F" w:rsidRPr="002C5AC6">
        <w:rPr>
          <w:spacing w:val="-4"/>
          <w:shd w:val="clear" w:color="auto" w:fill="FFFFFF"/>
        </w:rPr>
        <w:t>в общ размер 5 050 000 лв.</w:t>
      </w:r>
      <w:r w:rsidR="000649E6">
        <w:rPr>
          <w:spacing w:val="-4"/>
          <w:shd w:val="clear" w:color="auto" w:fill="FFFFFF"/>
        </w:rPr>
        <w:t>, в т.</w:t>
      </w:r>
      <w:r w:rsidR="00CA1A79" w:rsidRPr="002C5AC6">
        <w:rPr>
          <w:spacing w:val="-4"/>
          <w:shd w:val="clear" w:color="auto" w:fill="FFFFFF"/>
        </w:rPr>
        <w:t>ч</w:t>
      </w:r>
      <w:r w:rsidR="00F84E1F" w:rsidRPr="002C5AC6">
        <w:rPr>
          <w:spacing w:val="-4"/>
          <w:shd w:val="clear" w:color="auto" w:fill="FFFFFF"/>
        </w:rPr>
        <w:t xml:space="preserve">: </w:t>
      </w:r>
    </w:p>
    <w:p w:rsidR="00F84E1F" w:rsidRPr="002C5AC6" w:rsidRDefault="007E5014" w:rsidP="007E5014">
      <w:pPr>
        <w:ind w:firstLine="709"/>
        <w:jc w:val="both"/>
        <w:rPr>
          <w:rFonts w:eastAsia="Calibri"/>
          <w:shd w:val="clear" w:color="auto" w:fill="FFFFFF"/>
        </w:rPr>
      </w:pPr>
      <w:r w:rsidRPr="002C5AC6">
        <w:rPr>
          <w:rFonts w:eastAsia="Calibri"/>
          <w:shd w:val="clear" w:color="auto" w:fill="FFFFFF"/>
        </w:rPr>
        <w:t>а) с</w:t>
      </w:r>
      <w:r w:rsidR="00F84E1F" w:rsidRPr="002C5AC6">
        <w:rPr>
          <w:rFonts w:eastAsia="Calibri"/>
          <w:shd w:val="clear" w:color="auto" w:fill="FFFFFF"/>
        </w:rPr>
        <w:t xml:space="preserve"> ПМС № 146 от 11.07.2013 г. са одобрени допълнителни разходи в размер </w:t>
      </w:r>
      <w:r w:rsidR="006F0B10" w:rsidRPr="002C5AC6">
        <w:rPr>
          <w:rFonts w:eastAsia="Calibri"/>
          <w:shd w:val="clear" w:color="auto" w:fill="FFFFFF"/>
        </w:rPr>
        <w:t>3 000 000 </w:t>
      </w:r>
      <w:r w:rsidR="00F84E1F" w:rsidRPr="002C5AC6">
        <w:rPr>
          <w:rFonts w:eastAsia="Calibri"/>
          <w:shd w:val="clear" w:color="auto" w:fill="FFFFFF"/>
        </w:rPr>
        <w:t>лв. за обзавеждане и оборудване на сграда</w:t>
      </w:r>
      <w:r w:rsidRPr="002C5AC6">
        <w:rPr>
          <w:rFonts w:eastAsia="Calibri"/>
          <w:shd w:val="clear" w:color="auto" w:fill="FFFFFF"/>
        </w:rPr>
        <w:t>та</w:t>
      </w:r>
      <w:r w:rsidR="00F84E1F" w:rsidRPr="002C5AC6">
        <w:rPr>
          <w:rFonts w:eastAsia="Calibri"/>
          <w:shd w:val="clear" w:color="auto" w:fill="FFFFFF"/>
        </w:rPr>
        <w:t xml:space="preserve">. Средствата не са използвани до края на 2013 г. и с решение по т. 51 </w:t>
      </w:r>
      <w:r w:rsidR="00AF5B0D" w:rsidRPr="002C5AC6">
        <w:rPr>
          <w:rFonts w:eastAsia="Calibri"/>
          <w:shd w:val="clear" w:color="auto" w:fill="FFFFFF"/>
        </w:rPr>
        <w:t>от</w:t>
      </w:r>
      <w:r w:rsidR="00F84E1F" w:rsidRPr="002C5AC6">
        <w:rPr>
          <w:rFonts w:eastAsia="Calibri"/>
          <w:shd w:val="clear" w:color="auto" w:fill="FFFFFF"/>
        </w:rPr>
        <w:t xml:space="preserve"> протокол № 9 от заседание на ВСС</w:t>
      </w:r>
      <w:r w:rsidR="00844B49" w:rsidRPr="002C5AC6">
        <w:rPr>
          <w:rFonts w:eastAsia="Calibri"/>
          <w:shd w:val="clear" w:color="auto" w:fill="FFFFFF"/>
        </w:rPr>
        <w:t xml:space="preserve"> от</w:t>
      </w:r>
      <w:r w:rsidR="00F84E1F" w:rsidRPr="002C5AC6">
        <w:rPr>
          <w:rFonts w:eastAsia="Calibri"/>
          <w:shd w:val="clear" w:color="auto" w:fill="FFFFFF"/>
        </w:rPr>
        <w:t xml:space="preserve"> 27.02.2014 г. </w:t>
      </w:r>
      <w:r w:rsidR="00F370A4" w:rsidRPr="002C5AC6">
        <w:rPr>
          <w:rFonts w:eastAsia="Calibri"/>
          <w:shd w:val="clear" w:color="auto" w:fill="FFFFFF"/>
        </w:rPr>
        <w:t xml:space="preserve">със сумата </w:t>
      </w:r>
      <w:r w:rsidR="00F84E1F" w:rsidRPr="002C5AC6">
        <w:rPr>
          <w:rFonts w:eastAsia="Calibri"/>
          <w:shd w:val="clear" w:color="auto" w:fill="FFFFFF"/>
        </w:rPr>
        <w:t xml:space="preserve">е увеличена бюджетната сметка на СРС за 2014 </w:t>
      </w:r>
      <w:r w:rsidR="000649E6">
        <w:rPr>
          <w:rFonts w:eastAsia="Calibri"/>
          <w:shd w:val="clear" w:color="auto" w:fill="FFFFFF"/>
        </w:rPr>
        <w:t xml:space="preserve">г. </w:t>
      </w:r>
      <w:r w:rsidR="00F84E1F" w:rsidRPr="002C5AC6">
        <w:rPr>
          <w:rFonts w:eastAsia="Calibri"/>
          <w:shd w:val="clear" w:color="auto" w:fill="FFFFFF"/>
        </w:rPr>
        <w:t>по параграф 52-00 „Придобиване на ДМА“ с цел осигуряване на средства за обзавеждане и оборудване</w:t>
      </w:r>
      <w:r w:rsidRPr="002C5AC6">
        <w:rPr>
          <w:rFonts w:eastAsia="Calibri"/>
          <w:shd w:val="clear" w:color="auto" w:fill="FFFFFF"/>
        </w:rPr>
        <w:t>;</w:t>
      </w:r>
      <w:r w:rsidR="00F84E1F" w:rsidRPr="002C5AC6">
        <w:rPr>
          <w:rFonts w:eastAsia="Calibri"/>
          <w:shd w:val="clear" w:color="auto" w:fill="FFFFFF"/>
        </w:rPr>
        <w:t xml:space="preserve"> </w:t>
      </w:r>
    </w:p>
    <w:p w:rsidR="00F84E1F" w:rsidRPr="002C5AC6" w:rsidRDefault="007E5014" w:rsidP="007E5014">
      <w:pPr>
        <w:ind w:firstLine="709"/>
        <w:jc w:val="both"/>
        <w:rPr>
          <w:rFonts w:eastAsia="Calibri"/>
          <w:shd w:val="clear" w:color="auto" w:fill="FFFFFF"/>
        </w:rPr>
      </w:pPr>
      <w:r w:rsidRPr="002C5AC6">
        <w:rPr>
          <w:rFonts w:eastAsia="Calibri"/>
          <w:shd w:val="clear" w:color="auto" w:fill="FFFFFF"/>
        </w:rPr>
        <w:t>б) с</w:t>
      </w:r>
      <w:r w:rsidR="00F84E1F" w:rsidRPr="002C5AC6">
        <w:rPr>
          <w:rFonts w:eastAsia="Calibri"/>
          <w:shd w:val="clear" w:color="auto" w:fill="FFFFFF"/>
        </w:rPr>
        <w:t xml:space="preserve"> ПМС № 121 от 20.05.2014 г. са одобрени допълнителни разходи по бюджета на съдебната власт за 2014 г. за СРС в размер 1 825</w:t>
      </w:r>
      <w:r w:rsidR="005B4077" w:rsidRPr="002C5AC6">
        <w:rPr>
          <w:rFonts w:eastAsia="Calibri"/>
          <w:shd w:val="clear" w:color="auto" w:fill="FFFFFF"/>
        </w:rPr>
        <w:t> </w:t>
      </w:r>
      <w:r w:rsidR="00F84E1F" w:rsidRPr="002C5AC6">
        <w:rPr>
          <w:rFonts w:eastAsia="Calibri"/>
          <w:shd w:val="clear" w:color="auto" w:fill="FFFFFF"/>
        </w:rPr>
        <w:t>000</w:t>
      </w:r>
      <w:r w:rsidR="005B4077" w:rsidRPr="002C5AC6">
        <w:rPr>
          <w:rFonts w:eastAsia="Calibri"/>
          <w:shd w:val="clear" w:color="auto" w:fill="FFFFFF"/>
        </w:rPr>
        <w:t xml:space="preserve"> лв.</w:t>
      </w:r>
      <w:r w:rsidR="00F84E1F" w:rsidRPr="002C5AC6">
        <w:rPr>
          <w:rFonts w:eastAsia="Calibri"/>
          <w:shd w:val="clear" w:color="auto" w:fill="FFFFFF"/>
        </w:rPr>
        <w:t>, предназначен</w:t>
      </w:r>
      <w:r w:rsidR="005B4077" w:rsidRPr="002C5AC6">
        <w:rPr>
          <w:rFonts w:eastAsia="Calibri"/>
          <w:shd w:val="clear" w:color="auto" w:fill="FFFFFF"/>
        </w:rPr>
        <w:t>и</w:t>
      </w:r>
      <w:r w:rsidR="00F84E1F" w:rsidRPr="002C5AC6">
        <w:rPr>
          <w:rFonts w:eastAsia="Calibri"/>
          <w:shd w:val="clear" w:color="auto" w:fill="FFFFFF"/>
        </w:rPr>
        <w:t xml:space="preserve"> за оборудване с компютърна и звукозаписна техника, автоматизирани точки за достъп и комуникационно </w:t>
      </w:r>
      <w:r w:rsidR="000649E6">
        <w:rPr>
          <w:rFonts w:eastAsia="Calibri"/>
          <w:shd w:val="clear" w:color="auto" w:fill="FFFFFF"/>
        </w:rPr>
        <w:t xml:space="preserve">оборудване. С решение по т. 18 </w:t>
      </w:r>
      <w:r w:rsidR="00F84E1F" w:rsidRPr="002C5AC6">
        <w:rPr>
          <w:rFonts w:eastAsia="Calibri"/>
          <w:shd w:val="clear" w:color="auto" w:fill="FFFFFF"/>
        </w:rPr>
        <w:t>о</w:t>
      </w:r>
      <w:r w:rsidR="000649E6">
        <w:rPr>
          <w:rFonts w:eastAsia="Calibri"/>
          <w:shd w:val="clear" w:color="auto" w:fill="FFFFFF"/>
        </w:rPr>
        <w:t>т</w:t>
      </w:r>
      <w:r w:rsidR="00F84E1F" w:rsidRPr="002C5AC6">
        <w:rPr>
          <w:rFonts w:eastAsia="Calibri"/>
          <w:shd w:val="clear" w:color="auto" w:fill="FFFFFF"/>
        </w:rPr>
        <w:t xml:space="preserve"> протокол № 22 от заседание на ВСС</w:t>
      </w:r>
      <w:r w:rsidR="00844B49" w:rsidRPr="002C5AC6">
        <w:rPr>
          <w:rFonts w:eastAsia="Calibri"/>
          <w:shd w:val="clear" w:color="auto" w:fill="FFFFFF"/>
        </w:rPr>
        <w:t xml:space="preserve"> от</w:t>
      </w:r>
      <w:r w:rsidR="00F84E1F" w:rsidRPr="002C5AC6">
        <w:rPr>
          <w:rFonts w:eastAsia="Calibri"/>
          <w:shd w:val="clear" w:color="auto" w:fill="FFFFFF"/>
        </w:rPr>
        <w:t xml:space="preserve"> 29.05.2014 г. е увеличен бюджет</w:t>
      </w:r>
      <w:r w:rsidR="00844B49" w:rsidRPr="002C5AC6">
        <w:rPr>
          <w:rFonts w:eastAsia="Calibri"/>
          <w:shd w:val="clear" w:color="auto" w:fill="FFFFFF"/>
        </w:rPr>
        <w:t>ът</w:t>
      </w:r>
      <w:r w:rsidR="00F84E1F" w:rsidRPr="002C5AC6">
        <w:rPr>
          <w:rFonts w:eastAsia="Calibri"/>
          <w:shd w:val="clear" w:color="auto" w:fill="FFFFFF"/>
        </w:rPr>
        <w:t xml:space="preserve"> на СРС по параграф 52-00 „Придобиване на ДМА“ с 1 8</w:t>
      </w:r>
      <w:r w:rsidR="00E427FD" w:rsidRPr="002C5AC6">
        <w:rPr>
          <w:rFonts w:eastAsia="Calibri"/>
          <w:shd w:val="clear" w:color="auto" w:fill="FFFFFF"/>
        </w:rPr>
        <w:t>2</w:t>
      </w:r>
      <w:r w:rsidR="00F84E1F" w:rsidRPr="002C5AC6">
        <w:rPr>
          <w:rFonts w:eastAsia="Calibri"/>
          <w:shd w:val="clear" w:color="auto" w:fill="FFFFFF"/>
        </w:rPr>
        <w:t>5 000 лв.</w:t>
      </w:r>
      <w:r w:rsidR="00F370A4" w:rsidRPr="002C5AC6">
        <w:rPr>
          <w:rFonts w:eastAsia="Calibri"/>
          <w:shd w:val="clear" w:color="auto" w:fill="FFFFFF"/>
        </w:rPr>
        <w:t>;</w:t>
      </w:r>
      <w:r w:rsidR="00F84E1F" w:rsidRPr="002C5AC6">
        <w:rPr>
          <w:rFonts w:eastAsia="Calibri"/>
          <w:shd w:val="clear" w:color="auto" w:fill="FFFFFF"/>
        </w:rPr>
        <w:t xml:space="preserve"> </w:t>
      </w:r>
    </w:p>
    <w:p w:rsidR="00F84E1F" w:rsidRPr="002C5AC6" w:rsidRDefault="00F370A4" w:rsidP="007E5014">
      <w:pPr>
        <w:ind w:firstLine="709"/>
        <w:jc w:val="both"/>
        <w:rPr>
          <w:rFonts w:eastAsia="Calibri"/>
          <w:shd w:val="clear" w:color="auto" w:fill="FFFFFF"/>
        </w:rPr>
      </w:pPr>
      <w:r w:rsidRPr="002C5AC6">
        <w:rPr>
          <w:rFonts w:eastAsia="Calibri"/>
          <w:shd w:val="clear" w:color="auto" w:fill="FFFFFF"/>
        </w:rPr>
        <w:t>в) с</w:t>
      </w:r>
      <w:r w:rsidR="00F84E1F" w:rsidRPr="002C5AC6">
        <w:rPr>
          <w:rFonts w:eastAsia="Calibri"/>
          <w:shd w:val="clear" w:color="auto" w:fill="FFFFFF"/>
        </w:rPr>
        <w:t xml:space="preserve"> ПМС № 286 от 12.09.2014 г. са одобрени допълнителни разходи по бюджета на съдебната власт за 2014 г. в размер 225 000 лв. С решение </w:t>
      </w:r>
      <w:r w:rsidR="000649E6">
        <w:rPr>
          <w:rFonts w:eastAsia="Calibri"/>
          <w:shd w:val="clear" w:color="auto" w:fill="FFFFFF"/>
        </w:rPr>
        <w:t xml:space="preserve">по т. 5.1 </w:t>
      </w:r>
      <w:r w:rsidR="00F84E1F" w:rsidRPr="002C5AC6">
        <w:rPr>
          <w:rFonts w:eastAsia="Calibri"/>
          <w:shd w:val="clear" w:color="auto" w:fill="FFFFFF"/>
        </w:rPr>
        <w:t>о</w:t>
      </w:r>
      <w:r w:rsidR="000649E6">
        <w:rPr>
          <w:rFonts w:eastAsia="Calibri"/>
          <w:shd w:val="clear" w:color="auto" w:fill="FFFFFF"/>
        </w:rPr>
        <w:t>т</w:t>
      </w:r>
      <w:r w:rsidR="00F84E1F" w:rsidRPr="002C5AC6">
        <w:rPr>
          <w:rFonts w:eastAsia="Calibri"/>
          <w:shd w:val="clear" w:color="auto" w:fill="FFFFFF"/>
        </w:rPr>
        <w:t xml:space="preserve"> протокол № 40 от заседание на ВСС</w:t>
      </w:r>
      <w:r w:rsidR="00844B49" w:rsidRPr="002C5AC6">
        <w:rPr>
          <w:rFonts w:eastAsia="Calibri"/>
          <w:shd w:val="clear" w:color="auto" w:fill="FFFFFF"/>
        </w:rPr>
        <w:t xml:space="preserve"> от</w:t>
      </w:r>
      <w:r w:rsidR="00F84E1F" w:rsidRPr="002C5AC6">
        <w:rPr>
          <w:rFonts w:eastAsia="Calibri"/>
          <w:shd w:val="clear" w:color="auto" w:fill="FFFFFF"/>
        </w:rPr>
        <w:t xml:space="preserve"> 18.09.2014 г. са увеличени разходите</w:t>
      </w:r>
      <w:r w:rsidR="000649E6">
        <w:rPr>
          <w:rFonts w:eastAsia="Calibri"/>
          <w:shd w:val="clear" w:color="auto" w:fill="FFFFFF"/>
        </w:rPr>
        <w:t xml:space="preserve"> на СРС</w:t>
      </w:r>
      <w:r w:rsidR="00F84E1F" w:rsidRPr="002C5AC6">
        <w:rPr>
          <w:rFonts w:eastAsia="Calibri"/>
          <w:shd w:val="clear" w:color="auto" w:fill="FFFFFF"/>
        </w:rPr>
        <w:t xml:space="preserve"> по параграф 52-0</w:t>
      </w:r>
      <w:r w:rsidR="00605EEB" w:rsidRPr="002C5AC6">
        <w:rPr>
          <w:rFonts w:eastAsia="Calibri"/>
          <w:shd w:val="clear" w:color="auto" w:fill="FFFFFF"/>
        </w:rPr>
        <w:t xml:space="preserve">0 „Придобиване на ДМА“ с 225 000 </w:t>
      </w:r>
      <w:r w:rsidR="00F84E1F" w:rsidRPr="002C5AC6">
        <w:rPr>
          <w:rFonts w:eastAsia="Calibri"/>
          <w:shd w:val="clear" w:color="auto" w:fill="FFFFFF"/>
        </w:rPr>
        <w:t xml:space="preserve">лв. </w:t>
      </w:r>
    </w:p>
    <w:p w:rsidR="00F84E1F" w:rsidRPr="002C5AC6" w:rsidRDefault="00E22502" w:rsidP="007E5014">
      <w:pPr>
        <w:ind w:firstLine="709"/>
        <w:jc w:val="both"/>
        <w:rPr>
          <w:shd w:val="clear" w:color="auto" w:fill="FFFFFF"/>
        </w:rPr>
      </w:pPr>
      <w:r w:rsidRPr="002C5AC6">
        <w:rPr>
          <w:shd w:val="clear" w:color="auto" w:fill="FFFFFF"/>
        </w:rPr>
        <w:t xml:space="preserve">През 2014 г. са изразходвани за обзавеждане и оборудване на сградата на СРС </w:t>
      </w:r>
      <w:r w:rsidR="00F84E1F" w:rsidRPr="002C5AC6">
        <w:rPr>
          <w:shd w:val="clear" w:color="auto" w:fill="FFFFFF"/>
        </w:rPr>
        <w:t>целеви средства, осигурени с ПМС № 146 от 2013 г., ПМС № 121 от 2014 г. и ПМС № 286 от 2014 г. в размер 5 041 785 лв., т.е. с</w:t>
      </w:r>
      <w:r w:rsidR="005D3FC4" w:rsidRPr="002C5AC6">
        <w:rPr>
          <w:shd w:val="clear" w:color="auto" w:fill="FFFFFF"/>
        </w:rPr>
        <w:t xml:space="preserve"> 8 21</w:t>
      </w:r>
      <w:r w:rsidR="00DD3D31" w:rsidRPr="002C5AC6">
        <w:rPr>
          <w:shd w:val="clear" w:color="auto" w:fill="FFFFFF"/>
        </w:rPr>
        <w:t>5</w:t>
      </w:r>
      <w:r w:rsidR="005D3FC4" w:rsidRPr="002C5AC6">
        <w:rPr>
          <w:shd w:val="clear" w:color="auto" w:fill="FFFFFF"/>
        </w:rPr>
        <w:t xml:space="preserve"> лв</w:t>
      </w:r>
      <w:r w:rsidR="000C3F83" w:rsidRPr="002C5AC6">
        <w:rPr>
          <w:shd w:val="clear" w:color="auto" w:fill="FFFFFF"/>
        </w:rPr>
        <w:t>.</w:t>
      </w:r>
      <w:r w:rsidR="00F84E1F" w:rsidRPr="002C5AC6">
        <w:rPr>
          <w:shd w:val="clear" w:color="auto" w:fill="FFFFFF"/>
        </w:rPr>
        <w:t xml:space="preserve"> по-малко от отпуснатите 5 050 000 лв.</w:t>
      </w:r>
    </w:p>
    <w:p w:rsidR="00CB39B9" w:rsidRPr="002C5AC6" w:rsidRDefault="00F84E1F" w:rsidP="007E5014">
      <w:pPr>
        <w:ind w:firstLine="709"/>
        <w:jc w:val="both"/>
        <w:rPr>
          <w:shd w:val="clear" w:color="auto" w:fill="FFFFFF"/>
        </w:rPr>
      </w:pPr>
      <w:r w:rsidRPr="002C5AC6">
        <w:rPr>
          <w:shd w:val="clear" w:color="auto" w:fill="FFFFFF"/>
        </w:rPr>
        <w:t>През 2014 г. по бюджета на СРС са извършени и 40 броя вътрешно компенсирани промени на първоначално утвърдения бюджет</w:t>
      </w:r>
      <w:r w:rsidR="005D3FC4" w:rsidRPr="002C5AC6">
        <w:rPr>
          <w:shd w:val="clear" w:color="auto" w:fill="FFFFFF"/>
        </w:rPr>
        <w:t>,</w:t>
      </w:r>
      <w:r w:rsidRPr="002C5AC6">
        <w:rPr>
          <w:shd w:val="clear" w:color="auto" w:fill="FFFFFF"/>
        </w:rPr>
        <w:t xml:space="preserve"> на основание протоколни решения на ВСС</w:t>
      </w:r>
      <w:r w:rsidR="00DD3D31" w:rsidRPr="002C5AC6">
        <w:rPr>
          <w:shd w:val="clear" w:color="auto" w:fill="FFFFFF"/>
          <w:vertAlign w:val="superscript"/>
        </w:rPr>
        <w:footnoteReference w:id="24"/>
      </w:r>
      <w:r w:rsidRPr="002C5AC6">
        <w:rPr>
          <w:shd w:val="clear" w:color="auto" w:fill="FFFFFF"/>
        </w:rPr>
        <w:t xml:space="preserve">. </w:t>
      </w:r>
    </w:p>
    <w:p w:rsidR="00F84E1F" w:rsidRPr="002C5AC6" w:rsidRDefault="00F84E1F" w:rsidP="007E5014">
      <w:pPr>
        <w:ind w:firstLine="709"/>
        <w:jc w:val="both"/>
        <w:rPr>
          <w:shd w:val="clear" w:color="auto" w:fill="FFFFFF"/>
        </w:rPr>
      </w:pPr>
      <w:r w:rsidRPr="002C5AC6">
        <w:rPr>
          <w:shd w:val="clear" w:color="auto" w:fill="FFFFFF"/>
        </w:rPr>
        <w:t>Към 31.12.2014 г. утвърдения</w:t>
      </w:r>
      <w:r w:rsidR="00C32ABA" w:rsidRPr="002C5AC6">
        <w:rPr>
          <w:shd w:val="clear" w:color="auto" w:fill="FFFFFF"/>
        </w:rPr>
        <w:t>т</w:t>
      </w:r>
      <w:r w:rsidRPr="002C5AC6">
        <w:rPr>
          <w:shd w:val="clear" w:color="auto" w:fill="FFFFFF"/>
        </w:rPr>
        <w:t xml:space="preserve"> бюджет на СРС е 23 386 141 лв.</w:t>
      </w:r>
    </w:p>
    <w:p w:rsidR="00E25DB3" w:rsidRPr="002C5AC6" w:rsidRDefault="00F84E1F" w:rsidP="006F0B10">
      <w:pPr>
        <w:spacing w:before="120" w:after="120"/>
        <w:ind w:firstLine="709"/>
        <w:jc w:val="both"/>
        <w:rPr>
          <w:i/>
          <w:shd w:val="clear" w:color="auto" w:fill="FFFFFF"/>
        </w:rPr>
      </w:pPr>
      <w:r w:rsidRPr="002C5AC6">
        <w:rPr>
          <w:i/>
          <w:shd w:val="clear" w:color="auto" w:fill="FFFFFF"/>
        </w:rPr>
        <w:t xml:space="preserve">Извършените корекции по бюджета на СРС за 2014 г. са законосъобразни, мотивирани и са в съответствие с изискванията на </w:t>
      </w:r>
      <w:r w:rsidR="00E6504B" w:rsidRPr="002C5AC6">
        <w:rPr>
          <w:i/>
          <w:shd w:val="clear" w:color="auto" w:fill="FFFFFF"/>
        </w:rPr>
        <w:t>ЗПФ</w:t>
      </w:r>
      <w:r w:rsidRPr="002C5AC6">
        <w:rPr>
          <w:i/>
          <w:shd w:val="clear" w:color="auto" w:fill="FFFFFF"/>
        </w:rPr>
        <w:t xml:space="preserve"> и указанията на </w:t>
      </w:r>
      <w:r w:rsidR="00DD3D31" w:rsidRPr="002C5AC6">
        <w:rPr>
          <w:i/>
          <w:shd w:val="clear" w:color="auto" w:fill="FFFFFF"/>
        </w:rPr>
        <w:t>ВСС</w:t>
      </w:r>
      <w:r w:rsidRPr="002C5AC6">
        <w:rPr>
          <w:i/>
          <w:shd w:val="clear" w:color="auto" w:fill="FFFFFF"/>
        </w:rPr>
        <w:t>. Корекциите са отразени в отчетите за касовото изпълнение на бюджета за 2014 г. на СРС.</w:t>
      </w:r>
    </w:p>
    <w:p w:rsidR="00F1484D" w:rsidRPr="002C5AC6" w:rsidRDefault="00F1484D" w:rsidP="00F1484D">
      <w:pPr>
        <w:ind w:firstLine="720"/>
        <w:jc w:val="both"/>
        <w:rPr>
          <w:lang w:eastAsia="en-US"/>
        </w:rPr>
      </w:pPr>
      <w:r w:rsidRPr="002C5AC6">
        <w:rPr>
          <w:lang w:eastAsia="en-US"/>
        </w:rPr>
        <w:t>Общите параметри на отчета за касово изпълнение на бюджета на СРС към 31.12.2014</w:t>
      </w:r>
      <w:r w:rsidR="006F0B10" w:rsidRPr="002C5AC6">
        <w:rPr>
          <w:lang w:eastAsia="en-US"/>
        </w:rPr>
        <w:t> </w:t>
      </w:r>
      <w:r w:rsidRPr="002C5AC6">
        <w:rPr>
          <w:lang w:eastAsia="en-US"/>
        </w:rPr>
        <w:t xml:space="preserve">г. са: </w:t>
      </w:r>
    </w:p>
    <w:p w:rsidR="00F1484D" w:rsidRPr="002C5AC6" w:rsidRDefault="00F1484D" w:rsidP="00065B47">
      <w:pPr>
        <w:spacing w:before="120" w:after="120"/>
        <w:jc w:val="right"/>
        <w:rPr>
          <w:i/>
          <w:lang w:eastAsia="en-US"/>
        </w:rPr>
      </w:pPr>
      <w:r w:rsidRPr="002C5AC6">
        <w:rPr>
          <w:i/>
          <w:lang w:eastAsia="en-US"/>
        </w:rPr>
        <w:t>Таблица 1: Бюджет на СРС за 2014 г.</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376"/>
        <w:gridCol w:w="1864"/>
        <w:gridCol w:w="1567"/>
      </w:tblGrid>
      <w:tr w:rsidR="00065B47" w:rsidRPr="002C5AC6" w:rsidTr="006F0B10">
        <w:tc>
          <w:tcPr>
            <w:tcW w:w="578" w:type="dxa"/>
            <w:vMerge w:val="restart"/>
            <w:tcBorders>
              <w:top w:val="single" w:sz="4" w:space="0" w:color="auto"/>
              <w:left w:val="single" w:sz="4" w:space="0" w:color="auto"/>
              <w:right w:val="single" w:sz="4" w:space="0" w:color="auto"/>
            </w:tcBorders>
            <w:shd w:val="clear" w:color="auto" w:fill="FFFFFF"/>
          </w:tcPr>
          <w:p w:rsidR="00065B47" w:rsidRPr="002C5AC6" w:rsidRDefault="00065B47" w:rsidP="004E164E">
            <w:pPr>
              <w:jc w:val="both"/>
              <w:rPr>
                <w:b/>
              </w:rPr>
            </w:pPr>
            <w:r w:rsidRPr="002C5AC6">
              <w:rPr>
                <w:b/>
              </w:rPr>
              <w:t>№</w:t>
            </w:r>
            <w:r w:rsidR="00E85FBD" w:rsidRPr="002C5AC6">
              <w:rPr>
                <w:b/>
              </w:rPr>
              <w:t xml:space="preserve"> </w:t>
            </w:r>
          </w:p>
        </w:tc>
        <w:tc>
          <w:tcPr>
            <w:tcW w:w="5376" w:type="dxa"/>
            <w:vMerge w:val="restart"/>
            <w:tcBorders>
              <w:top w:val="single" w:sz="4" w:space="0" w:color="auto"/>
              <w:left w:val="single" w:sz="4" w:space="0" w:color="auto"/>
              <w:right w:val="single" w:sz="4" w:space="0" w:color="auto"/>
            </w:tcBorders>
            <w:shd w:val="clear" w:color="auto" w:fill="FFFFFF"/>
          </w:tcPr>
          <w:p w:rsidR="00065B47" w:rsidRPr="002C5AC6" w:rsidRDefault="00065B47" w:rsidP="00E85FBD">
            <w:pPr>
              <w:jc w:val="center"/>
              <w:rPr>
                <w:b/>
              </w:rPr>
            </w:pPr>
            <w:r w:rsidRPr="002C5AC6">
              <w:rPr>
                <w:b/>
              </w:rPr>
              <w:t>Показатели</w:t>
            </w: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tcPr>
          <w:p w:rsidR="00065B47" w:rsidRPr="002C5AC6" w:rsidRDefault="00065B47" w:rsidP="006F0B10">
            <w:pPr>
              <w:jc w:val="center"/>
              <w:rPr>
                <w:b/>
              </w:rPr>
            </w:pPr>
            <w:r w:rsidRPr="002C5AC6">
              <w:rPr>
                <w:b/>
              </w:rPr>
              <w:t>Стойност</w:t>
            </w:r>
            <w:r w:rsidR="00E85FBD" w:rsidRPr="002C5AC6">
              <w:rPr>
                <w:b/>
              </w:rPr>
              <w:t xml:space="preserve"> </w:t>
            </w:r>
            <w:r w:rsidRPr="002C5AC6">
              <w:rPr>
                <w:b/>
              </w:rPr>
              <w:t xml:space="preserve"> </w:t>
            </w:r>
            <w:r w:rsidR="00E85FBD" w:rsidRPr="002C5AC6">
              <w:rPr>
                <w:b/>
              </w:rPr>
              <w:t>(</w:t>
            </w:r>
            <w:r w:rsidRPr="002C5AC6">
              <w:rPr>
                <w:b/>
              </w:rPr>
              <w:t>в лева</w:t>
            </w:r>
            <w:r w:rsidR="00E85FBD" w:rsidRPr="002C5AC6">
              <w:rPr>
                <w:b/>
              </w:rPr>
              <w:t>)</w:t>
            </w:r>
          </w:p>
        </w:tc>
      </w:tr>
      <w:tr w:rsidR="00065B47" w:rsidRPr="002C5AC6" w:rsidTr="006F0B10">
        <w:tc>
          <w:tcPr>
            <w:tcW w:w="578" w:type="dxa"/>
            <w:vMerge/>
            <w:tcBorders>
              <w:left w:val="single" w:sz="4" w:space="0" w:color="auto"/>
              <w:bottom w:val="single" w:sz="4" w:space="0" w:color="auto"/>
              <w:right w:val="single" w:sz="4" w:space="0" w:color="auto"/>
            </w:tcBorders>
            <w:shd w:val="clear" w:color="auto" w:fill="FFFFFF"/>
          </w:tcPr>
          <w:p w:rsidR="00065B47" w:rsidRPr="002C5AC6" w:rsidRDefault="00065B47" w:rsidP="00365CBB">
            <w:pPr>
              <w:jc w:val="both"/>
              <w:rPr>
                <w:i/>
              </w:rPr>
            </w:pPr>
          </w:p>
        </w:tc>
        <w:tc>
          <w:tcPr>
            <w:tcW w:w="5376" w:type="dxa"/>
            <w:vMerge/>
            <w:tcBorders>
              <w:left w:val="single" w:sz="4" w:space="0" w:color="auto"/>
              <w:bottom w:val="single" w:sz="4" w:space="0" w:color="auto"/>
              <w:right w:val="single" w:sz="4" w:space="0" w:color="auto"/>
            </w:tcBorders>
            <w:shd w:val="clear" w:color="auto" w:fill="FFFFFF"/>
          </w:tcPr>
          <w:p w:rsidR="00065B47" w:rsidRPr="002C5AC6" w:rsidRDefault="00065B47" w:rsidP="00365CBB">
            <w:pPr>
              <w:jc w:val="both"/>
              <w:rPr>
                <w:i/>
              </w:rPr>
            </w:pP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065B47" w:rsidRPr="002C5AC6" w:rsidRDefault="00065B47" w:rsidP="00B12D98">
            <w:pPr>
              <w:jc w:val="both"/>
              <w:rPr>
                <w:b/>
              </w:rPr>
            </w:pPr>
            <w:r w:rsidRPr="002C5AC6">
              <w:rPr>
                <w:b/>
              </w:rPr>
              <w:t>Уточнен план</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065B47" w:rsidRPr="002C5AC6" w:rsidRDefault="00065B47" w:rsidP="006F0B10">
            <w:pPr>
              <w:jc w:val="center"/>
              <w:rPr>
                <w:b/>
              </w:rPr>
            </w:pPr>
            <w:r w:rsidRPr="002C5AC6">
              <w:rPr>
                <w:b/>
              </w:rPr>
              <w:t>Отчет</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rPr>
                <w:b/>
              </w:rPr>
            </w:pPr>
            <w:r w:rsidRPr="002C5AC6">
              <w:rPr>
                <w:b/>
              </w:rPr>
              <w:t>І.</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rPr>
                <w:b/>
              </w:rPr>
            </w:pPr>
            <w:r w:rsidRPr="002C5AC6">
              <w:rPr>
                <w:b/>
              </w:rPr>
              <w:t>Приходи</w:t>
            </w:r>
            <w:r w:rsidR="00BF45EC" w:rsidRPr="002C5AC6">
              <w:rPr>
                <w:b/>
              </w:rPr>
              <w:t xml:space="preserve"> </w:t>
            </w:r>
            <w:r w:rsidR="00CB6E4C" w:rsidRPr="002C5AC6">
              <w:rPr>
                <w:b/>
              </w:rPr>
              <w:t>–</w:t>
            </w:r>
            <w:r w:rsidR="00BF45EC" w:rsidRPr="002C5AC6">
              <w:rPr>
                <w:b/>
              </w:rPr>
              <w:t xml:space="preserve"> общо</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0</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18 818 103</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1.</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B0567F" w:rsidP="00365CBB">
            <w:pPr>
              <w:jc w:val="both"/>
            </w:pPr>
            <w:r w:rsidRPr="002C5AC6">
              <w:t xml:space="preserve">в т.ч. </w:t>
            </w:r>
            <w:r w:rsidR="00F1484D" w:rsidRPr="002C5AC6">
              <w:t>Приходи от съдебни такси</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4E164E" w:rsidP="006F0B10">
            <w:pPr>
              <w:jc w:val="center"/>
            </w:pPr>
            <w:r w:rsidRPr="002C5AC6">
              <w:t>0</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18 524 011</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rPr>
                <w:b/>
              </w:rPr>
            </w:pPr>
            <w:r w:rsidRPr="002C5AC6">
              <w:rPr>
                <w:b/>
              </w:rPr>
              <w:t>ІІ.</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rPr>
                <w:b/>
              </w:rPr>
            </w:pPr>
            <w:r w:rsidRPr="002C5AC6">
              <w:rPr>
                <w:b/>
              </w:rPr>
              <w:t>Разходи – общо</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23 386 141</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23 356 939</w:t>
            </w:r>
          </w:p>
        </w:tc>
      </w:tr>
      <w:tr w:rsidR="00BF45EC"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BF45EC" w:rsidRPr="002C5AC6" w:rsidRDefault="00BF45EC" w:rsidP="00365CBB">
            <w:pPr>
              <w:jc w:val="both"/>
            </w:pP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BF45EC" w:rsidRPr="002C5AC6" w:rsidRDefault="00BF45EC" w:rsidP="00365CBB">
            <w:pPr>
              <w:jc w:val="both"/>
            </w:pPr>
            <w:r w:rsidRPr="002C5AC6">
              <w:t>в т.ч.</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BF45EC" w:rsidRPr="002C5AC6" w:rsidRDefault="00BF45EC" w:rsidP="006F0B10">
            <w:pPr>
              <w:jc w:val="center"/>
            </w:pP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BF45EC" w:rsidRPr="002C5AC6" w:rsidRDefault="00BF45EC" w:rsidP="006F0B10">
            <w:pPr>
              <w:jc w:val="center"/>
            </w:pP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8E467A" w:rsidP="00365CBB">
            <w:pPr>
              <w:jc w:val="both"/>
            </w:pPr>
            <w:r w:rsidRPr="002C5AC6">
              <w:t>1.</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 xml:space="preserve">Заплати и възнаграждения за персонала, нает по </w:t>
            </w:r>
            <w:r w:rsidRPr="002C5AC6">
              <w:lastRenderedPageBreak/>
              <w:t>трудови правоотношения</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lastRenderedPageBreak/>
              <w:t>11 163 387</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11 150 044</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8E467A" w:rsidP="00365CBB">
            <w:pPr>
              <w:jc w:val="both"/>
            </w:pPr>
            <w:r w:rsidRPr="002C5AC6">
              <w:lastRenderedPageBreak/>
              <w:t>2</w:t>
            </w:r>
            <w:r w:rsidR="00316707" w:rsidRPr="002C5AC6">
              <w:t>.</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Други възнаграждения и плащания за персонала</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2 082 377</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2 068 851</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8E467A" w:rsidP="00365CBB">
            <w:pPr>
              <w:jc w:val="both"/>
            </w:pPr>
            <w:r w:rsidRPr="002C5AC6">
              <w:t>3</w:t>
            </w:r>
            <w:r w:rsidR="00F1484D" w:rsidRPr="002C5AC6">
              <w:t>.</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Осигурителни вноски</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 xml:space="preserve">3 377 </w:t>
            </w:r>
            <w:r w:rsidR="005B61CD" w:rsidRPr="002C5AC6">
              <w:t>198</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3 377 103</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39796D" w:rsidP="00365CBB">
            <w:pPr>
              <w:jc w:val="both"/>
            </w:pPr>
            <w:r w:rsidRPr="002C5AC6">
              <w:t>4</w:t>
            </w:r>
            <w:r w:rsidR="00F1484D" w:rsidRPr="002C5AC6">
              <w:t>.</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Издръжка</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1 653 749</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6F0B10">
            <w:pPr>
              <w:jc w:val="center"/>
            </w:pPr>
            <w:r w:rsidRPr="002C5AC6">
              <w:t xml:space="preserve">1 </w:t>
            </w:r>
            <w:r w:rsidR="005B61CD" w:rsidRPr="002C5AC6">
              <w:t>653 510</w:t>
            </w:r>
          </w:p>
        </w:tc>
      </w:tr>
      <w:tr w:rsidR="00F1484D" w:rsidRPr="002C5AC6" w:rsidTr="006F0B10">
        <w:tc>
          <w:tcPr>
            <w:tcW w:w="578"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39796D" w:rsidP="00365CBB">
            <w:pPr>
              <w:jc w:val="both"/>
            </w:pPr>
            <w:r w:rsidRPr="002C5AC6">
              <w:t>5</w:t>
            </w:r>
            <w:r w:rsidR="00F1484D" w:rsidRPr="002C5AC6">
              <w:t>.</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F1484D" w:rsidP="00365CBB">
            <w:pPr>
              <w:jc w:val="both"/>
            </w:pPr>
            <w:r w:rsidRPr="002C5AC6">
              <w:t>Капиталови разходи</w:t>
            </w:r>
          </w:p>
        </w:tc>
        <w:tc>
          <w:tcPr>
            <w:tcW w:w="1864"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9E26E6" w:rsidP="006F0B10">
            <w:pPr>
              <w:jc w:val="center"/>
            </w:pPr>
            <w:r w:rsidRPr="002C5AC6">
              <w:t>5 106 744</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F1484D" w:rsidRPr="002C5AC6" w:rsidRDefault="009E26E6" w:rsidP="006F0B10">
            <w:pPr>
              <w:jc w:val="center"/>
            </w:pPr>
            <w:r w:rsidRPr="002C5AC6">
              <w:t>5 104 753</w:t>
            </w:r>
          </w:p>
        </w:tc>
      </w:tr>
    </w:tbl>
    <w:p w:rsidR="00D57054" w:rsidRDefault="00D57054" w:rsidP="00065B47">
      <w:pPr>
        <w:spacing w:before="120" w:after="120"/>
        <w:ind w:firstLine="720"/>
        <w:jc w:val="both"/>
        <w:rPr>
          <w:rFonts w:eastAsiaTheme="minorHAnsi"/>
          <w:b/>
          <w:lang w:val="en-US" w:eastAsia="en-US"/>
        </w:rPr>
      </w:pPr>
    </w:p>
    <w:p w:rsidR="004F0ECD" w:rsidRPr="002C5AC6" w:rsidRDefault="004F0ECD" w:rsidP="00065B47">
      <w:pPr>
        <w:spacing w:before="120" w:after="120"/>
        <w:ind w:firstLine="720"/>
        <w:jc w:val="both"/>
        <w:rPr>
          <w:rFonts w:eastAsiaTheme="minorHAnsi"/>
          <w:b/>
          <w:lang w:eastAsia="en-US"/>
        </w:rPr>
      </w:pPr>
      <w:r w:rsidRPr="002C5AC6">
        <w:rPr>
          <w:rFonts w:eastAsiaTheme="minorHAnsi"/>
          <w:b/>
          <w:lang w:eastAsia="en-US"/>
        </w:rPr>
        <w:t>5. Състояние на системите за финансово управление и контрол</w:t>
      </w:r>
    </w:p>
    <w:p w:rsidR="004951C3" w:rsidRPr="002C5AC6" w:rsidRDefault="004951C3" w:rsidP="004951C3">
      <w:pPr>
        <w:ind w:firstLine="720"/>
        <w:jc w:val="both"/>
        <w:rPr>
          <w:rFonts w:eastAsiaTheme="minorHAnsi"/>
          <w:lang w:eastAsia="en-US"/>
        </w:rPr>
      </w:pPr>
      <w:r w:rsidRPr="002C5AC6">
        <w:rPr>
          <w:rFonts w:eastAsiaTheme="minorHAnsi"/>
          <w:lang w:eastAsia="en-US"/>
        </w:rPr>
        <w:t xml:space="preserve">През одитирания период в СРС действа </w:t>
      </w:r>
      <w:r w:rsidR="00AA4846" w:rsidRPr="002C5AC6">
        <w:rPr>
          <w:rFonts w:eastAsiaTheme="minorHAnsi"/>
          <w:lang w:eastAsia="en-US"/>
        </w:rPr>
        <w:t>с</w:t>
      </w:r>
      <w:r w:rsidR="0042669B" w:rsidRPr="002C5AC6">
        <w:rPr>
          <w:rFonts w:eastAsiaTheme="minorHAnsi"/>
          <w:lang w:eastAsia="en-US"/>
        </w:rPr>
        <w:t>истема за финансово управление и контрол</w:t>
      </w:r>
      <w:r w:rsidRPr="002C5AC6">
        <w:rPr>
          <w:rFonts w:eastAsiaTheme="minorHAnsi"/>
          <w:lang w:eastAsia="en-US"/>
        </w:rPr>
        <w:t>, утвърдена от председателя на СРС, без да е посочена датата на утвърждаване</w:t>
      </w:r>
      <w:r w:rsidR="00DD3E83" w:rsidRPr="002C5AC6">
        <w:rPr>
          <w:rFonts w:eastAsiaTheme="minorHAnsi"/>
          <w:lang w:eastAsia="en-US"/>
        </w:rPr>
        <w:t>то</w:t>
      </w:r>
      <w:r w:rsidR="00697422" w:rsidRPr="002C5AC6">
        <w:rPr>
          <w:rStyle w:val="FootnoteReference"/>
          <w:rFonts w:eastAsiaTheme="minorHAnsi"/>
          <w:lang w:eastAsia="en-US"/>
        </w:rPr>
        <w:footnoteReference w:id="25"/>
      </w:r>
      <w:r w:rsidRPr="002C5AC6">
        <w:rPr>
          <w:rFonts w:eastAsiaTheme="minorHAnsi"/>
          <w:lang w:eastAsia="en-US"/>
        </w:rPr>
        <w:t xml:space="preserve">. В нея са цитирани нормативни </w:t>
      </w:r>
      <w:r w:rsidR="00DD3E83" w:rsidRPr="002C5AC6">
        <w:rPr>
          <w:rFonts w:eastAsiaTheme="minorHAnsi"/>
          <w:lang w:eastAsia="en-US"/>
        </w:rPr>
        <w:t>актове</w:t>
      </w:r>
      <w:r w:rsidRPr="002C5AC6">
        <w:rPr>
          <w:rFonts w:eastAsiaTheme="minorHAnsi"/>
          <w:lang w:eastAsia="en-US"/>
        </w:rPr>
        <w:t>, които са отменени, и длъжности</w:t>
      </w:r>
      <w:r w:rsidR="00B33A4C">
        <w:rPr>
          <w:rFonts w:eastAsiaTheme="minorHAnsi"/>
          <w:lang w:eastAsia="en-US"/>
        </w:rPr>
        <w:t xml:space="preserve"> и структурни звена</w:t>
      </w:r>
      <w:r w:rsidRPr="002C5AC6">
        <w:rPr>
          <w:rFonts w:eastAsiaTheme="minorHAnsi"/>
          <w:lang w:eastAsia="en-US"/>
        </w:rPr>
        <w:t>, които не съществуват в длъжностното разписание през одитирания период</w:t>
      </w:r>
      <w:r w:rsidRPr="002C5AC6">
        <w:rPr>
          <w:rFonts w:eastAsiaTheme="minorHAnsi"/>
          <w:vertAlign w:val="superscript"/>
          <w:lang w:eastAsia="en-US"/>
        </w:rPr>
        <w:footnoteReference w:id="26"/>
      </w:r>
      <w:r w:rsidRPr="002C5AC6">
        <w:rPr>
          <w:rFonts w:eastAsiaTheme="minorHAnsi"/>
          <w:lang w:eastAsia="en-US"/>
        </w:rPr>
        <w:t xml:space="preserve">. СФУК </w:t>
      </w:r>
      <w:r w:rsidR="000C30B1" w:rsidRPr="002C5AC6">
        <w:rPr>
          <w:rFonts w:eastAsiaTheme="minorHAnsi"/>
          <w:lang w:eastAsia="en-US"/>
        </w:rPr>
        <w:t xml:space="preserve">включва </w:t>
      </w:r>
      <w:r w:rsidRPr="002C5AC6">
        <w:rPr>
          <w:rFonts w:eastAsiaTheme="minorHAnsi"/>
          <w:lang w:eastAsia="en-US"/>
        </w:rPr>
        <w:t xml:space="preserve">основните процедури, които се конкретизират с работни инструкции, стандартизиращи дейностите и </w:t>
      </w:r>
      <w:r w:rsidR="004C6935" w:rsidRPr="002C5AC6">
        <w:rPr>
          <w:rFonts w:eastAsiaTheme="minorHAnsi"/>
          <w:lang w:eastAsia="en-US"/>
        </w:rPr>
        <w:t xml:space="preserve">съответните </w:t>
      </w:r>
      <w:r w:rsidRPr="002C5AC6">
        <w:rPr>
          <w:rFonts w:eastAsiaTheme="minorHAnsi"/>
          <w:lang w:eastAsia="en-US"/>
        </w:rPr>
        <w:t xml:space="preserve">действия </w:t>
      </w:r>
      <w:r w:rsidR="00DD3E83" w:rsidRPr="002C5AC6">
        <w:rPr>
          <w:rFonts w:eastAsiaTheme="minorHAnsi"/>
          <w:lang w:eastAsia="en-US"/>
        </w:rPr>
        <w:t>на</w:t>
      </w:r>
      <w:r w:rsidRPr="002C5AC6">
        <w:rPr>
          <w:rFonts w:eastAsiaTheme="minorHAnsi"/>
          <w:lang w:eastAsia="en-US"/>
        </w:rPr>
        <w:t xml:space="preserve"> контрол. За гарантиране качеството на процесите, свързани с финансовото управление и контрол се използват типови документи </w:t>
      </w:r>
      <w:r w:rsidR="00244AE4" w:rsidRPr="002C5AC6">
        <w:rPr>
          <w:rFonts w:eastAsiaTheme="minorHAnsi"/>
          <w:lang w:eastAsia="en-US"/>
        </w:rPr>
        <w:t xml:space="preserve">(образци) </w:t>
      </w:r>
      <w:r w:rsidRPr="002C5AC6">
        <w:rPr>
          <w:rFonts w:eastAsiaTheme="minorHAnsi"/>
          <w:lang w:eastAsia="en-US"/>
        </w:rPr>
        <w:t xml:space="preserve">на </w:t>
      </w:r>
      <w:r w:rsidR="004C6935" w:rsidRPr="002C5AC6">
        <w:rPr>
          <w:rFonts w:eastAsiaTheme="minorHAnsi"/>
          <w:lang w:eastAsia="en-US"/>
        </w:rPr>
        <w:t>СФУК</w:t>
      </w:r>
      <w:r w:rsidRPr="002C5AC6">
        <w:rPr>
          <w:rFonts w:eastAsiaTheme="minorHAnsi"/>
          <w:lang w:eastAsia="en-US"/>
        </w:rPr>
        <w:t xml:space="preserve">. Върху типовите документи се извършват записи </w:t>
      </w:r>
      <w:r w:rsidR="00244AE4" w:rsidRPr="002C5AC6">
        <w:rPr>
          <w:rFonts w:eastAsiaTheme="minorHAnsi"/>
          <w:lang w:eastAsia="en-US"/>
        </w:rPr>
        <w:t xml:space="preserve">от </w:t>
      </w:r>
      <w:r w:rsidRPr="002C5AC6">
        <w:rPr>
          <w:rFonts w:eastAsiaTheme="minorHAnsi"/>
          <w:lang w:eastAsia="en-US"/>
        </w:rPr>
        <w:t xml:space="preserve">отговорните служители, съобразно длъжностните им характеристики. Приети са инструкции за разработване на </w:t>
      </w:r>
      <w:r w:rsidRPr="002C5AC6">
        <w:rPr>
          <w:rFonts w:eastAsiaTheme="minorHAnsi"/>
        </w:rPr>
        <w:t>проектобюджета и бюджета на СРС</w:t>
      </w:r>
      <w:r w:rsidR="004C6935" w:rsidRPr="002C5AC6">
        <w:rPr>
          <w:rFonts w:eastAsiaTheme="minorHAnsi"/>
        </w:rPr>
        <w:t>;</w:t>
      </w:r>
      <w:r w:rsidRPr="002C5AC6">
        <w:rPr>
          <w:rFonts w:eastAsiaTheme="minorHAnsi"/>
        </w:rPr>
        <w:t xml:space="preserve"> за изпълнение, коригиране и отчитане на бюджета</w:t>
      </w:r>
      <w:r w:rsidR="004C6935" w:rsidRPr="002C5AC6">
        <w:rPr>
          <w:rFonts w:eastAsiaTheme="minorHAnsi"/>
        </w:rPr>
        <w:t>;</w:t>
      </w:r>
      <w:r w:rsidRPr="002C5AC6">
        <w:rPr>
          <w:rFonts w:eastAsiaTheme="minorHAnsi"/>
        </w:rPr>
        <w:t xml:space="preserve"> за действия при несъответствие на бюджетния процес в СРС. Във връзка с предварителния контрол при поемане на задължение е приета </w:t>
      </w:r>
      <w:r w:rsidR="00244AE4" w:rsidRPr="002C5AC6">
        <w:rPr>
          <w:rFonts w:eastAsiaTheme="minorHAnsi"/>
        </w:rPr>
        <w:t>„</w:t>
      </w:r>
      <w:r w:rsidRPr="002C5AC6">
        <w:rPr>
          <w:rFonts w:eastAsiaTheme="minorHAnsi"/>
        </w:rPr>
        <w:t>Инструкция за поемане на задължение</w:t>
      </w:r>
      <w:r w:rsidR="00244AE4" w:rsidRPr="002C5AC6">
        <w:rPr>
          <w:rFonts w:eastAsiaTheme="minorHAnsi"/>
        </w:rPr>
        <w:t>“</w:t>
      </w:r>
      <w:r w:rsidRPr="002C5AC6">
        <w:rPr>
          <w:rFonts w:eastAsiaTheme="minorHAnsi"/>
        </w:rPr>
        <w:t xml:space="preserve">. Към </w:t>
      </w:r>
      <w:r w:rsidR="00244AE4" w:rsidRPr="002C5AC6">
        <w:rPr>
          <w:rFonts w:eastAsiaTheme="minorHAnsi"/>
        </w:rPr>
        <w:t>„</w:t>
      </w:r>
      <w:r w:rsidRPr="002C5AC6">
        <w:rPr>
          <w:rFonts w:eastAsiaTheme="minorHAnsi"/>
        </w:rPr>
        <w:t>Основната процедура за извършване на разход</w:t>
      </w:r>
      <w:r w:rsidR="00244AE4" w:rsidRPr="002C5AC6">
        <w:rPr>
          <w:rFonts w:eastAsiaTheme="minorHAnsi"/>
        </w:rPr>
        <w:t>“</w:t>
      </w:r>
      <w:r w:rsidRPr="002C5AC6">
        <w:rPr>
          <w:rFonts w:eastAsiaTheme="minorHAnsi"/>
        </w:rPr>
        <w:t xml:space="preserve"> са приети </w:t>
      </w:r>
      <w:r w:rsidR="00244AE4" w:rsidRPr="002C5AC6">
        <w:rPr>
          <w:rFonts w:eastAsiaTheme="minorHAnsi"/>
        </w:rPr>
        <w:t>„</w:t>
      </w:r>
      <w:r w:rsidRPr="002C5AC6">
        <w:rPr>
          <w:rFonts w:eastAsiaTheme="minorHAnsi"/>
        </w:rPr>
        <w:t>Инструкция за извършване на разход</w:t>
      </w:r>
      <w:r w:rsidR="00244AE4" w:rsidRPr="002C5AC6">
        <w:rPr>
          <w:rFonts w:eastAsiaTheme="minorHAnsi"/>
        </w:rPr>
        <w:t>“</w:t>
      </w:r>
      <w:r w:rsidRPr="002C5AC6">
        <w:rPr>
          <w:rFonts w:eastAsiaTheme="minorHAnsi"/>
        </w:rPr>
        <w:t xml:space="preserve"> и </w:t>
      </w:r>
      <w:r w:rsidR="00244AE4" w:rsidRPr="002C5AC6">
        <w:rPr>
          <w:rFonts w:eastAsiaTheme="minorHAnsi"/>
        </w:rPr>
        <w:t>„</w:t>
      </w:r>
      <w:r w:rsidRPr="002C5AC6">
        <w:rPr>
          <w:rFonts w:eastAsiaTheme="minorHAnsi"/>
        </w:rPr>
        <w:t>Инструкция за съставяне на досие на задължение за разход</w:t>
      </w:r>
      <w:r w:rsidR="00244AE4" w:rsidRPr="002C5AC6">
        <w:rPr>
          <w:rFonts w:eastAsiaTheme="minorHAnsi"/>
        </w:rPr>
        <w:t>“</w:t>
      </w:r>
      <w:r w:rsidRPr="002C5AC6">
        <w:rPr>
          <w:rFonts w:eastAsiaTheme="minorHAnsi"/>
        </w:rPr>
        <w:t xml:space="preserve">. Приета е и действа </w:t>
      </w:r>
      <w:r w:rsidR="00244AE4" w:rsidRPr="002C5AC6">
        <w:rPr>
          <w:rFonts w:eastAsiaTheme="minorHAnsi"/>
        </w:rPr>
        <w:t>„</w:t>
      </w:r>
      <w:r w:rsidRPr="002C5AC6">
        <w:rPr>
          <w:rFonts w:eastAsiaTheme="minorHAnsi"/>
        </w:rPr>
        <w:t>Инструкция за действия при несъответствие при предварителния контрол</w:t>
      </w:r>
      <w:r w:rsidR="00244AE4" w:rsidRPr="002C5AC6">
        <w:rPr>
          <w:rFonts w:eastAsiaTheme="minorHAnsi"/>
        </w:rPr>
        <w:t>“</w:t>
      </w:r>
      <w:r w:rsidRPr="002C5AC6">
        <w:rPr>
          <w:rFonts w:eastAsiaTheme="minorHAnsi"/>
        </w:rPr>
        <w:t xml:space="preserve">. Част от СФУК са и: </w:t>
      </w:r>
      <w:r w:rsidR="00244AE4" w:rsidRPr="002C5AC6">
        <w:rPr>
          <w:rFonts w:eastAsiaTheme="minorHAnsi"/>
        </w:rPr>
        <w:t>„</w:t>
      </w:r>
      <w:r w:rsidRPr="002C5AC6">
        <w:rPr>
          <w:rFonts w:eastAsiaTheme="minorHAnsi"/>
        </w:rPr>
        <w:t>Вътрешни правила за управление и контрол на активите</w:t>
      </w:r>
      <w:r w:rsidR="00244AE4" w:rsidRPr="002C5AC6">
        <w:rPr>
          <w:rFonts w:eastAsiaTheme="minorHAnsi"/>
        </w:rPr>
        <w:t>“</w:t>
      </w:r>
      <w:r w:rsidRPr="002C5AC6">
        <w:rPr>
          <w:rFonts w:eastAsiaTheme="minorHAnsi"/>
        </w:rPr>
        <w:t xml:space="preserve">, </w:t>
      </w:r>
      <w:r w:rsidR="00244AE4" w:rsidRPr="002C5AC6">
        <w:rPr>
          <w:rFonts w:eastAsiaTheme="minorHAnsi"/>
        </w:rPr>
        <w:t>„</w:t>
      </w:r>
      <w:r w:rsidRPr="002C5AC6">
        <w:rPr>
          <w:rFonts w:eastAsiaTheme="minorHAnsi"/>
        </w:rPr>
        <w:t>Правилник за движението на счетоводните документи</w:t>
      </w:r>
      <w:r w:rsidR="00244AE4" w:rsidRPr="002C5AC6">
        <w:rPr>
          <w:rFonts w:eastAsiaTheme="minorHAnsi"/>
        </w:rPr>
        <w:t>“</w:t>
      </w:r>
      <w:r w:rsidRPr="002C5AC6">
        <w:rPr>
          <w:rFonts w:eastAsiaTheme="minorHAnsi"/>
        </w:rPr>
        <w:t xml:space="preserve">, </w:t>
      </w:r>
      <w:r w:rsidR="00244AE4" w:rsidRPr="002C5AC6">
        <w:rPr>
          <w:rFonts w:eastAsiaTheme="minorHAnsi"/>
        </w:rPr>
        <w:t>„</w:t>
      </w:r>
      <w:r w:rsidRPr="002C5AC6">
        <w:rPr>
          <w:rFonts w:eastAsiaTheme="minorHAnsi"/>
        </w:rPr>
        <w:t>Правила за отпускане на суми на подотчетни лица</w:t>
      </w:r>
      <w:r w:rsidR="00244AE4" w:rsidRPr="002C5AC6">
        <w:rPr>
          <w:rFonts w:eastAsiaTheme="minorHAnsi"/>
        </w:rPr>
        <w:t>“</w:t>
      </w:r>
      <w:r w:rsidRPr="002C5AC6">
        <w:rPr>
          <w:rFonts w:eastAsiaTheme="minorHAnsi"/>
        </w:rPr>
        <w:t xml:space="preserve">, </w:t>
      </w:r>
      <w:r w:rsidR="00244AE4" w:rsidRPr="002C5AC6">
        <w:rPr>
          <w:rFonts w:eastAsiaTheme="minorHAnsi"/>
        </w:rPr>
        <w:t>„</w:t>
      </w:r>
      <w:r w:rsidRPr="002C5AC6">
        <w:rPr>
          <w:rFonts w:eastAsiaTheme="minorHAnsi"/>
        </w:rPr>
        <w:t>Процедура за мониторинг и отчитане на вътрешните контроли</w:t>
      </w:r>
      <w:r w:rsidR="00244AE4" w:rsidRPr="002C5AC6">
        <w:rPr>
          <w:rFonts w:eastAsiaTheme="minorHAnsi"/>
        </w:rPr>
        <w:t>“</w:t>
      </w:r>
      <w:r w:rsidRPr="002C5AC6">
        <w:rPr>
          <w:rFonts w:eastAsiaTheme="minorHAnsi"/>
        </w:rPr>
        <w:t xml:space="preserve"> и </w:t>
      </w:r>
      <w:r w:rsidR="00244AE4" w:rsidRPr="002C5AC6">
        <w:rPr>
          <w:rFonts w:eastAsiaTheme="minorHAnsi"/>
        </w:rPr>
        <w:t>„</w:t>
      </w:r>
      <w:r w:rsidRPr="002C5AC6">
        <w:rPr>
          <w:rFonts w:eastAsiaTheme="minorHAnsi"/>
        </w:rPr>
        <w:t>Счетоводната политика</w:t>
      </w:r>
      <w:r w:rsidR="00244AE4" w:rsidRPr="002C5AC6">
        <w:rPr>
          <w:rFonts w:eastAsiaTheme="minorHAnsi"/>
        </w:rPr>
        <w:t>“</w:t>
      </w:r>
      <w:r w:rsidRPr="002C5AC6">
        <w:rPr>
          <w:rFonts w:eastAsiaTheme="minorHAnsi"/>
        </w:rPr>
        <w:t xml:space="preserve"> на СРС. В нарушение на чл.10 от </w:t>
      </w:r>
      <w:r w:rsidR="00E83BE9">
        <w:rPr>
          <w:rFonts w:eastAsiaTheme="minorHAnsi"/>
        </w:rPr>
        <w:t>„</w:t>
      </w:r>
      <w:r w:rsidRPr="002C5AC6">
        <w:rPr>
          <w:rFonts w:eastAsiaTheme="minorHAnsi"/>
        </w:rPr>
        <w:t>Вътрешните правила за управление на рисковете в СРС</w:t>
      </w:r>
      <w:r w:rsidR="00E83BE9">
        <w:rPr>
          <w:rFonts w:eastAsiaTheme="minorHAnsi"/>
        </w:rPr>
        <w:t>“</w:t>
      </w:r>
      <w:r w:rsidRPr="002C5AC6">
        <w:rPr>
          <w:rFonts w:eastAsiaTheme="minorHAnsi"/>
        </w:rPr>
        <w:t xml:space="preserve">, не е създаден риск-регистър, в който да се опише всеки един етап от процеса на управление на рисковете, застрашаващи постигането на целите на СРС, контролните дейности, въведени като реакция на идентифицираните рискове, сроковете и отговорните длъжностни лица. </w:t>
      </w:r>
      <w:r w:rsidRPr="002C5AC6">
        <w:rPr>
          <w:rFonts w:eastAsiaTheme="minorHAnsi"/>
          <w:lang w:eastAsia="en-US"/>
        </w:rPr>
        <w:t xml:space="preserve">През одитирания период няма разписани правила и одитна пътека относно дейностите </w:t>
      </w:r>
      <w:r w:rsidR="009D0A81" w:rsidRPr="002C5AC6">
        <w:rPr>
          <w:rFonts w:eastAsiaTheme="minorHAnsi"/>
          <w:lang w:eastAsia="en-US"/>
        </w:rPr>
        <w:t>по изплащане</w:t>
      </w:r>
      <w:r w:rsidRPr="002C5AC6">
        <w:rPr>
          <w:rFonts w:eastAsiaTheme="minorHAnsi"/>
          <w:lang w:eastAsia="en-US"/>
        </w:rPr>
        <w:t xml:space="preserve"> възнагражденията на вещите лица и полагането на извънред</w:t>
      </w:r>
      <w:r w:rsidR="00E83BE9">
        <w:rPr>
          <w:rFonts w:eastAsiaTheme="minorHAnsi"/>
          <w:lang w:eastAsia="en-US"/>
        </w:rPr>
        <w:t>е</w:t>
      </w:r>
      <w:r w:rsidRPr="002C5AC6">
        <w:rPr>
          <w:rFonts w:eastAsiaTheme="minorHAnsi"/>
          <w:lang w:eastAsia="en-US"/>
        </w:rPr>
        <w:t>н труд от магистрати и служители.</w:t>
      </w:r>
      <w:r w:rsidRPr="002C5AC6">
        <w:t xml:space="preserve"> </w:t>
      </w:r>
    </w:p>
    <w:p w:rsidR="004951C3" w:rsidRPr="002C5AC6" w:rsidRDefault="004951C3" w:rsidP="00065B47">
      <w:pPr>
        <w:ind w:firstLine="709"/>
        <w:jc w:val="both"/>
        <w:rPr>
          <w:rFonts w:eastAsiaTheme="minorHAnsi"/>
          <w:i/>
          <w:lang w:eastAsia="en-US"/>
        </w:rPr>
      </w:pPr>
      <w:r w:rsidRPr="002C5AC6">
        <w:rPr>
          <w:rFonts w:eastAsiaTheme="minorHAnsi"/>
          <w:i/>
          <w:lang w:eastAsia="en-US"/>
        </w:rPr>
        <w:t xml:space="preserve">В </w:t>
      </w:r>
      <w:r w:rsidR="0021314D">
        <w:rPr>
          <w:rFonts w:eastAsiaTheme="minorHAnsi"/>
          <w:i/>
          <w:lang w:eastAsia="en-US"/>
        </w:rPr>
        <w:t>„</w:t>
      </w:r>
      <w:r w:rsidRPr="002C5AC6">
        <w:rPr>
          <w:rFonts w:eastAsiaTheme="minorHAnsi"/>
          <w:i/>
          <w:lang w:eastAsia="en-US"/>
        </w:rPr>
        <w:t>Система за финансово управление и контрол в СРС</w:t>
      </w:r>
      <w:r w:rsidR="0021314D">
        <w:rPr>
          <w:rFonts w:eastAsiaTheme="minorHAnsi"/>
          <w:i/>
          <w:lang w:eastAsia="en-US"/>
        </w:rPr>
        <w:t>“</w:t>
      </w:r>
      <w:r w:rsidRPr="002C5AC6">
        <w:rPr>
          <w:rFonts w:eastAsiaTheme="minorHAnsi"/>
          <w:i/>
          <w:lang w:eastAsia="en-US"/>
        </w:rPr>
        <w:t xml:space="preserve">, действала през одитирания период, са регламентирани процедури и правила за действие, както и задължения и отговорности на съответните </w:t>
      </w:r>
      <w:r w:rsidR="00E83BE9">
        <w:rPr>
          <w:rFonts w:eastAsiaTheme="minorHAnsi"/>
          <w:i/>
          <w:lang w:eastAsia="en-US"/>
        </w:rPr>
        <w:t>структурни звена</w:t>
      </w:r>
      <w:r w:rsidRPr="002C5AC6">
        <w:rPr>
          <w:rFonts w:eastAsiaTheme="minorHAnsi"/>
          <w:i/>
          <w:lang w:eastAsia="en-US"/>
        </w:rPr>
        <w:t xml:space="preserve"> и длъжностни лица. Не е извърш</w:t>
      </w:r>
      <w:r w:rsidR="00E83BE9">
        <w:rPr>
          <w:rFonts w:eastAsiaTheme="minorHAnsi"/>
          <w:i/>
          <w:lang w:eastAsia="en-US"/>
        </w:rPr>
        <w:t>е</w:t>
      </w:r>
      <w:r w:rsidRPr="002C5AC6">
        <w:rPr>
          <w:rFonts w:eastAsiaTheme="minorHAnsi"/>
          <w:i/>
          <w:lang w:eastAsia="en-US"/>
        </w:rPr>
        <w:t xml:space="preserve">на актуализация на инструкциите и правилата в нея във връзка с промяната на нормативната база и структурата </w:t>
      </w:r>
      <w:r w:rsidR="00E83BE9">
        <w:rPr>
          <w:rFonts w:eastAsiaTheme="minorHAnsi"/>
          <w:i/>
          <w:lang w:eastAsia="en-US"/>
        </w:rPr>
        <w:t xml:space="preserve">на администрацията </w:t>
      </w:r>
      <w:r w:rsidRPr="002C5AC6">
        <w:rPr>
          <w:rFonts w:eastAsiaTheme="minorHAnsi"/>
          <w:i/>
          <w:lang w:eastAsia="en-US"/>
        </w:rPr>
        <w:t xml:space="preserve">за цялостно обхващане на всички дейности и процеси в СРС. Не е въведен </w:t>
      </w:r>
      <w:r w:rsidR="00244AE4" w:rsidRPr="002C5AC6">
        <w:rPr>
          <w:rFonts w:eastAsiaTheme="minorHAnsi"/>
          <w:i/>
          <w:lang w:eastAsia="en-US"/>
        </w:rPr>
        <w:t>риск-</w:t>
      </w:r>
      <w:r w:rsidRPr="002C5AC6">
        <w:rPr>
          <w:rFonts w:eastAsiaTheme="minorHAnsi"/>
          <w:i/>
          <w:lang w:eastAsia="en-US"/>
        </w:rPr>
        <w:t xml:space="preserve">регистър за управление на рисковете в организацията. По време на одита </w:t>
      </w:r>
      <w:r w:rsidR="00E83BE9">
        <w:rPr>
          <w:rFonts w:eastAsiaTheme="minorHAnsi"/>
          <w:i/>
          <w:lang w:eastAsia="en-US"/>
        </w:rPr>
        <w:t>„</w:t>
      </w:r>
      <w:r w:rsidRPr="002C5AC6">
        <w:rPr>
          <w:rFonts w:eastAsiaTheme="minorHAnsi"/>
          <w:i/>
          <w:lang w:eastAsia="en-US"/>
        </w:rPr>
        <w:t>Вътрешни правила за осъществяване на управление и контрол в СРС</w:t>
      </w:r>
      <w:r w:rsidR="00E83BE9">
        <w:rPr>
          <w:rFonts w:eastAsiaTheme="minorHAnsi"/>
          <w:i/>
          <w:lang w:eastAsia="en-US"/>
        </w:rPr>
        <w:t>“</w:t>
      </w:r>
      <w:r w:rsidR="00244AE4" w:rsidRPr="002C5AC6">
        <w:rPr>
          <w:rFonts w:eastAsiaTheme="minorHAnsi"/>
          <w:i/>
          <w:lang w:eastAsia="en-US"/>
        </w:rPr>
        <w:t xml:space="preserve"> са актуализирани</w:t>
      </w:r>
      <w:r w:rsidR="0075752F" w:rsidRPr="002C5AC6">
        <w:rPr>
          <w:rFonts w:eastAsiaTheme="minorHAnsi"/>
          <w:i/>
          <w:lang w:eastAsia="en-US"/>
        </w:rPr>
        <w:t xml:space="preserve"> и </w:t>
      </w:r>
      <w:r w:rsidR="005D5487" w:rsidRPr="002C5AC6">
        <w:rPr>
          <w:rFonts w:eastAsiaTheme="minorHAnsi"/>
          <w:i/>
          <w:lang w:eastAsia="en-US"/>
        </w:rPr>
        <w:t>са</w:t>
      </w:r>
      <w:r w:rsidR="00B91D7E" w:rsidRPr="002C5AC6">
        <w:rPr>
          <w:rFonts w:eastAsiaTheme="minorHAnsi"/>
          <w:i/>
          <w:lang w:eastAsia="en-US"/>
        </w:rPr>
        <w:t xml:space="preserve"> </w:t>
      </w:r>
      <w:r w:rsidRPr="002C5AC6">
        <w:rPr>
          <w:rFonts w:eastAsiaTheme="minorHAnsi"/>
          <w:i/>
          <w:lang w:eastAsia="en-US"/>
        </w:rPr>
        <w:t xml:space="preserve">утвърдени </w:t>
      </w:r>
      <w:r w:rsidR="00B91D7E" w:rsidRPr="002C5AC6">
        <w:rPr>
          <w:rFonts w:eastAsiaTheme="minorHAnsi"/>
          <w:i/>
          <w:lang w:eastAsia="en-US"/>
        </w:rPr>
        <w:t>от председателя на СРС</w:t>
      </w:r>
      <w:r w:rsidRPr="002C5AC6">
        <w:rPr>
          <w:rStyle w:val="FootnoteReference"/>
          <w:rFonts w:eastAsiaTheme="minorHAnsi"/>
          <w:i/>
          <w:lang w:eastAsia="en-US"/>
        </w:rPr>
        <w:footnoteReference w:id="27"/>
      </w:r>
      <w:r w:rsidR="00800A45" w:rsidRPr="002C5AC6">
        <w:rPr>
          <w:rFonts w:eastAsiaTheme="minorHAnsi"/>
          <w:i/>
          <w:lang w:eastAsia="en-US"/>
        </w:rPr>
        <w:t>.</w:t>
      </w:r>
    </w:p>
    <w:p w:rsidR="00FC12EB" w:rsidRDefault="00FC12EB" w:rsidP="00065B47">
      <w:pPr>
        <w:spacing w:before="120" w:after="120"/>
        <w:ind w:firstLine="720"/>
        <w:jc w:val="both"/>
        <w:rPr>
          <w:b/>
        </w:rPr>
      </w:pPr>
    </w:p>
    <w:p w:rsidR="007B15B8" w:rsidRPr="002C5AC6" w:rsidRDefault="00BF635A" w:rsidP="00065B47">
      <w:pPr>
        <w:spacing w:before="120" w:after="120"/>
        <w:ind w:firstLine="720"/>
        <w:jc w:val="both"/>
        <w:rPr>
          <w:b/>
        </w:rPr>
      </w:pPr>
      <w:r w:rsidRPr="002C5AC6">
        <w:rPr>
          <w:b/>
        </w:rPr>
        <w:t xml:space="preserve">ІІ. </w:t>
      </w:r>
      <w:r w:rsidR="00741C7A" w:rsidRPr="002C5AC6">
        <w:rPr>
          <w:b/>
        </w:rPr>
        <w:t>Приходи от съдебни такси</w:t>
      </w:r>
    </w:p>
    <w:p w:rsidR="009F1FB5" w:rsidRPr="002C5AC6" w:rsidRDefault="009F1FB5" w:rsidP="00F46AD2">
      <w:pPr>
        <w:ind w:firstLine="720"/>
        <w:jc w:val="both"/>
      </w:pPr>
      <w:r w:rsidRPr="002C5AC6">
        <w:lastRenderedPageBreak/>
        <w:t>За целите на одита е и</w:t>
      </w:r>
      <w:r w:rsidR="00FD3811" w:rsidRPr="002C5AC6">
        <w:t xml:space="preserve">зследван процесът по </w:t>
      </w:r>
      <w:r w:rsidR="00446D37" w:rsidRPr="002C5AC6">
        <w:t>определяне</w:t>
      </w:r>
      <w:r w:rsidR="005D5487" w:rsidRPr="002C5AC6">
        <w:t>то</w:t>
      </w:r>
      <w:r w:rsidR="00446D37" w:rsidRPr="002C5AC6">
        <w:t xml:space="preserve"> </w:t>
      </w:r>
      <w:r w:rsidR="00F03F27" w:rsidRPr="002C5AC6">
        <w:t xml:space="preserve">на дължимата </w:t>
      </w:r>
      <w:r w:rsidR="0021314D">
        <w:t xml:space="preserve">съдебна </w:t>
      </w:r>
      <w:r w:rsidR="00F03F27" w:rsidRPr="002C5AC6">
        <w:t xml:space="preserve">такса, </w:t>
      </w:r>
      <w:r w:rsidR="0021314D">
        <w:t>нейното с</w:t>
      </w:r>
      <w:r w:rsidR="00FD3811" w:rsidRPr="002C5AC6">
        <w:t>ъбиране</w:t>
      </w:r>
      <w:r w:rsidR="0021314D">
        <w:t xml:space="preserve"> </w:t>
      </w:r>
      <w:r w:rsidR="00F03F27" w:rsidRPr="002C5AC6">
        <w:t xml:space="preserve">и </w:t>
      </w:r>
      <w:r w:rsidR="00B12A8A" w:rsidRPr="002C5AC6">
        <w:t>комплектоване на досието на съответното съдебно дело с</w:t>
      </w:r>
      <w:r w:rsidR="00F03F27" w:rsidRPr="002C5AC6">
        <w:t xml:space="preserve"> информацията за това</w:t>
      </w:r>
      <w:r w:rsidR="0021314D">
        <w:t>.</w:t>
      </w:r>
    </w:p>
    <w:p w:rsidR="00FD3811" w:rsidRPr="002C5AC6" w:rsidRDefault="00AE3EBB" w:rsidP="00A90676">
      <w:pPr>
        <w:ind w:firstLine="709"/>
        <w:jc w:val="both"/>
      </w:pPr>
      <w:r w:rsidRPr="002C5AC6">
        <w:t>Съдебна</w:t>
      </w:r>
      <w:r w:rsidR="00B12A8A" w:rsidRPr="002C5AC6">
        <w:t>та</w:t>
      </w:r>
      <w:r w:rsidR="008E432C" w:rsidRPr="002C5AC6">
        <w:t xml:space="preserve"> такса се </w:t>
      </w:r>
      <w:r w:rsidR="00B049F3" w:rsidRPr="002C5AC6">
        <w:t>дължи</w:t>
      </w:r>
      <w:r w:rsidR="008E432C" w:rsidRPr="002C5AC6">
        <w:t xml:space="preserve"> при предявяване на искане за извършване на действие</w:t>
      </w:r>
      <w:r w:rsidR="009A11A1" w:rsidRPr="002C5AC6">
        <w:t xml:space="preserve"> от страна на съда</w:t>
      </w:r>
      <w:r w:rsidR="008E432C" w:rsidRPr="002C5AC6">
        <w:t xml:space="preserve">. </w:t>
      </w:r>
      <w:r w:rsidR="00FD3811" w:rsidRPr="002C5AC6">
        <w:t>Размерът на съдебните такси</w:t>
      </w:r>
      <w:r w:rsidR="00E37794" w:rsidRPr="002C5AC6">
        <w:t xml:space="preserve"> е определен с Тарифа № 1 към </w:t>
      </w:r>
      <w:r w:rsidR="000059FC" w:rsidRPr="002C5AC6">
        <w:t xml:space="preserve">ЗДТ за </w:t>
      </w:r>
      <w:r w:rsidR="00FD3811" w:rsidRPr="002C5AC6">
        <w:t>таксите, събирани от съдилищата, прокуратурата, следствените служби и М</w:t>
      </w:r>
      <w:r w:rsidR="002B489F" w:rsidRPr="002C5AC6">
        <w:t>П</w:t>
      </w:r>
      <w:r w:rsidR="00FD3811" w:rsidRPr="002C5AC6">
        <w:t xml:space="preserve"> и Тарифата за държавните такси, които се събират от съдилищата по </w:t>
      </w:r>
      <w:r w:rsidR="00900301" w:rsidRPr="002C5AC6">
        <w:t>реда на ГПК</w:t>
      </w:r>
      <w:r w:rsidR="00FD3811" w:rsidRPr="002C5AC6">
        <w:t xml:space="preserve">. Таксите по завеждане на тъжби и искови молби се дължат авансово от </w:t>
      </w:r>
      <w:r w:rsidR="0021314D">
        <w:t>иницииращия процеса</w:t>
      </w:r>
      <w:r w:rsidR="00FD3811" w:rsidRPr="002C5AC6">
        <w:t xml:space="preserve"> преди образуването на дело. Таксата за подаването на тъжба е с фиксирана сума, а таксата по завеждането н</w:t>
      </w:r>
      <w:r w:rsidR="00BA1164" w:rsidRPr="002C5AC6">
        <w:t>а искова молба е пропорционална</w:t>
      </w:r>
      <w:r w:rsidR="00FD3811" w:rsidRPr="002C5AC6">
        <w:t xml:space="preserve"> и се определя от цената на иска. При молба за образуване на изпълнително производство, таксата се заплаща от ищеца, но се дължи от длъжника в края на делото. Съдебните такси постъпват по сметката на С</w:t>
      </w:r>
      <w:r w:rsidR="002B489F" w:rsidRPr="002C5AC6">
        <w:t>РС</w:t>
      </w:r>
      <w:r w:rsidR="00FD3811" w:rsidRPr="002C5AC6">
        <w:t xml:space="preserve"> по банков път. </w:t>
      </w:r>
      <w:r w:rsidR="00814FF1" w:rsidRPr="002C5AC6">
        <w:t>Приходите се о</w:t>
      </w:r>
      <w:r w:rsidR="00FD3811" w:rsidRPr="002C5AC6">
        <w:t>счетоводяват ежедневно.</w:t>
      </w:r>
    </w:p>
    <w:p w:rsidR="00605EEB" w:rsidRPr="002C5AC6" w:rsidRDefault="009F1FB5" w:rsidP="00065B47">
      <w:pPr>
        <w:ind w:firstLine="720"/>
        <w:jc w:val="both"/>
      </w:pPr>
      <w:r w:rsidRPr="002C5AC6">
        <w:rPr>
          <w:lang w:eastAsia="en-US"/>
        </w:rPr>
        <w:t xml:space="preserve">Приходите от съдебни такси през 2014 г. са 18 524 011 лв. или 98,44 на сто от събраните приходи. За целите на одита е формирана </w:t>
      </w:r>
      <w:r w:rsidRPr="002C5AC6">
        <w:t xml:space="preserve"> извадка от 100 броя дела</w:t>
      </w:r>
      <w:r w:rsidRPr="002C5AC6">
        <w:rPr>
          <w:rStyle w:val="FootnoteReference"/>
        </w:rPr>
        <w:footnoteReference w:id="28"/>
      </w:r>
      <w:r w:rsidRPr="002C5AC6">
        <w:t xml:space="preserve">, за които са извършени тестове за съответствие с нормативните изисквания относно размера на таксата, реда за събирането ѝ, комплектоване на делото и </w:t>
      </w:r>
      <w:r w:rsidR="00123349" w:rsidRPr="002C5AC6">
        <w:t>въведените и прилагани</w:t>
      </w:r>
      <w:r w:rsidRPr="002C5AC6">
        <w:t xml:space="preserve"> контролни процедури. </w:t>
      </w:r>
    </w:p>
    <w:p w:rsidR="00FD3811" w:rsidRPr="002C5AC6" w:rsidRDefault="00EC4AAF" w:rsidP="00065B47">
      <w:pPr>
        <w:spacing w:before="120" w:after="120"/>
        <w:ind w:firstLine="720"/>
        <w:jc w:val="both"/>
        <w:rPr>
          <w:b/>
        </w:rPr>
      </w:pPr>
      <w:r w:rsidRPr="002C5AC6">
        <w:rPr>
          <w:b/>
        </w:rPr>
        <w:t>1.</w:t>
      </w:r>
      <w:r w:rsidR="00C71C5A" w:rsidRPr="002C5AC6">
        <w:rPr>
          <w:b/>
        </w:rPr>
        <w:t xml:space="preserve"> </w:t>
      </w:r>
      <w:r w:rsidR="00DA6821" w:rsidRPr="002C5AC6">
        <w:rPr>
          <w:b/>
        </w:rPr>
        <w:t>Съдебни такси по г</w:t>
      </w:r>
      <w:r w:rsidR="005C208B" w:rsidRPr="002C5AC6">
        <w:rPr>
          <w:b/>
        </w:rPr>
        <w:t>раждански дела</w:t>
      </w:r>
    </w:p>
    <w:p w:rsidR="00494EC3" w:rsidRPr="002C5AC6" w:rsidRDefault="00E068D9" w:rsidP="00B242FC">
      <w:pPr>
        <w:ind w:firstLine="709"/>
        <w:jc w:val="both"/>
      </w:pPr>
      <w:r w:rsidRPr="002C5AC6">
        <w:t>По водене на делото се събират държавни такси върху цената на иска и разноски за производството</w:t>
      </w:r>
      <w:r w:rsidR="005022CB" w:rsidRPr="002C5AC6">
        <w:t xml:space="preserve"> на основание чл. 71 от ГПК</w:t>
      </w:r>
      <w:r w:rsidRPr="002C5AC6">
        <w:t xml:space="preserve">. Когато искът е неоценяем, размерът на държавната такса се определя от съда. </w:t>
      </w:r>
      <w:r w:rsidR="00DA4874" w:rsidRPr="002C5AC6">
        <w:t xml:space="preserve">Държавната такса се събира при предявяване на искането за защита или съдействие и при издаване на документа, за който се плаща такса, съгласно тарифа, приета от Министерския съвет. </w:t>
      </w:r>
      <w:r w:rsidR="00C16E44" w:rsidRPr="002C5AC6">
        <w:t xml:space="preserve">В разпореждането на съда за даване ход на делото се извършва </w:t>
      </w:r>
      <w:r w:rsidR="00517192" w:rsidRPr="002C5AC6">
        <w:t xml:space="preserve">преглед на постъпилите материали </w:t>
      </w:r>
      <w:r w:rsidRPr="002C5AC6">
        <w:t>и се определя</w:t>
      </w:r>
      <w:r w:rsidR="006A01EB" w:rsidRPr="002C5AC6">
        <w:t xml:space="preserve"> </w:t>
      </w:r>
      <w:r w:rsidR="0030578C" w:rsidRPr="002C5AC6">
        <w:t xml:space="preserve">размера на таксата. </w:t>
      </w:r>
    </w:p>
    <w:p w:rsidR="006B3ABC" w:rsidRPr="002C5AC6" w:rsidRDefault="00494EC3" w:rsidP="00521DD5">
      <w:pPr>
        <w:ind w:firstLine="709"/>
        <w:jc w:val="both"/>
      </w:pPr>
      <w:r w:rsidRPr="002C5AC6">
        <w:t>Извършена е проверка на 45 броя граждански дела, избрани на случаен принцип от общо 97 539 бр., образувани в периода от 01.01.2014 г. до 31.12.2014 г.</w:t>
      </w:r>
      <w:r w:rsidR="006B3ABC" w:rsidRPr="002C5AC6">
        <w:t>, при което е установено:</w:t>
      </w:r>
    </w:p>
    <w:p w:rsidR="006A61B8" w:rsidRPr="002C5AC6" w:rsidRDefault="006B3ABC" w:rsidP="006A61B8">
      <w:pPr>
        <w:ind w:firstLine="709"/>
        <w:jc w:val="both"/>
      </w:pPr>
      <w:r w:rsidRPr="002C5AC6">
        <w:t xml:space="preserve">а) </w:t>
      </w:r>
      <w:r w:rsidR="00CC0FC0" w:rsidRPr="002C5AC6">
        <w:t>в</w:t>
      </w:r>
      <w:r w:rsidR="006A61B8" w:rsidRPr="002C5AC6">
        <w:t xml:space="preserve"> случаите, </w:t>
      </w:r>
      <w:r w:rsidR="00D4058A" w:rsidRPr="002C5AC6">
        <w:t>при които</w:t>
      </w:r>
      <w:r w:rsidR="006A61B8" w:rsidRPr="002C5AC6">
        <w:t xml:space="preserve"> такса</w:t>
      </w:r>
      <w:r w:rsidR="00D4058A" w:rsidRPr="002C5AC6">
        <w:t>та</w:t>
      </w:r>
      <w:r w:rsidR="006A61B8" w:rsidRPr="002C5AC6">
        <w:t xml:space="preserve"> за образуване на делото се дължи от ищеца, т</w:t>
      </w:r>
      <w:r w:rsidR="00E9149D" w:rsidRPr="002C5AC6">
        <w:t>е</w:t>
      </w:r>
      <w:r w:rsidR="006A61B8" w:rsidRPr="002C5AC6">
        <w:t xml:space="preserve"> са начислявани върху цената на иск</w:t>
      </w:r>
      <w:r w:rsidR="00D4058A" w:rsidRPr="002C5AC6">
        <w:t>а</w:t>
      </w:r>
      <w:r w:rsidR="006A61B8" w:rsidRPr="002C5AC6">
        <w:t>.</w:t>
      </w:r>
      <w:r w:rsidR="006A61B8" w:rsidRPr="002C5AC6">
        <w:rPr>
          <w:color w:val="FF0000"/>
        </w:rPr>
        <w:t xml:space="preserve"> </w:t>
      </w:r>
      <w:r w:rsidR="00D4058A" w:rsidRPr="002C5AC6">
        <w:t>Спазва</w:t>
      </w:r>
      <w:r w:rsidR="006A61B8" w:rsidRPr="002C5AC6">
        <w:t>ни са процентните съотношения за пропорционалните такси върху цената на исковете. Когато държавната такса не е внесена с подаването на исковата молба или е внесена в непълен размер, от съдията е издадено разпореждане, с което е определен размер</w:t>
      </w:r>
      <w:r w:rsidR="00DA4874" w:rsidRPr="002C5AC6">
        <w:t>ът</w:t>
      </w:r>
      <w:r w:rsidR="006A61B8" w:rsidRPr="002C5AC6">
        <w:t xml:space="preserve"> на дължимата за внасяне или довнасяне държавна такса</w:t>
      </w:r>
      <w:r w:rsidR="006A61B8" w:rsidRPr="002C5AC6">
        <w:rPr>
          <w:vertAlign w:val="superscript"/>
        </w:rPr>
        <w:footnoteReference w:id="29"/>
      </w:r>
      <w:r w:rsidR="00E9149D" w:rsidRPr="002C5AC6">
        <w:t>.</w:t>
      </w:r>
      <w:r w:rsidR="00D4058A" w:rsidRPr="002C5AC6">
        <w:t xml:space="preserve"> Съдът не е давал ход на делото преди внасяне на определената такса</w:t>
      </w:r>
      <w:r w:rsidR="009704AA" w:rsidRPr="002C5AC6">
        <w:t>;</w:t>
      </w:r>
    </w:p>
    <w:p w:rsidR="006B3ABC" w:rsidRPr="002C5AC6" w:rsidRDefault="006A61B8" w:rsidP="00521DD5">
      <w:pPr>
        <w:ind w:firstLine="709"/>
        <w:jc w:val="both"/>
      </w:pPr>
      <w:r w:rsidRPr="002C5AC6">
        <w:t xml:space="preserve">б) </w:t>
      </w:r>
      <w:r w:rsidR="00D4058A" w:rsidRPr="002C5AC6">
        <w:t>при</w:t>
      </w:r>
      <w:r w:rsidR="00E9149D" w:rsidRPr="002C5AC6">
        <w:t xml:space="preserve"> </w:t>
      </w:r>
      <w:r w:rsidR="00FD3811" w:rsidRPr="002C5AC6">
        <w:t>граждански дела, за които е подадена молба за освобождаване от такса поради липса на средства</w:t>
      </w:r>
      <w:r w:rsidR="00A134E9" w:rsidRPr="002C5AC6">
        <w:rPr>
          <w:rStyle w:val="FootnoteReference"/>
          <w14:textOutline w14:w="9525" w14:cap="rnd" w14:cmpd="sng" w14:algn="ctr">
            <w14:noFill/>
            <w14:prstDash w14:val="solid"/>
            <w14:bevel/>
          </w14:textOutline>
        </w:rPr>
        <w:footnoteReference w:id="30"/>
      </w:r>
      <w:r w:rsidR="00DE182D" w:rsidRPr="002C5AC6">
        <w:t>, съдът е изи</w:t>
      </w:r>
      <w:r w:rsidR="00B84B9E" w:rsidRPr="002C5AC6">
        <w:t>с</w:t>
      </w:r>
      <w:r w:rsidR="00DE182D" w:rsidRPr="002C5AC6">
        <w:t xml:space="preserve">квал </w:t>
      </w:r>
      <w:r w:rsidR="001448F1" w:rsidRPr="002C5AC6">
        <w:t xml:space="preserve">документи за удостоверяване на имущественото и здравословното състояние на ищеца, както и на други обстоятелства, в съответствие с изискванията на чл. 83 от ГПК. Документите са </w:t>
      </w:r>
      <w:r w:rsidR="00D44767" w:rsidRPr="002C5AC6">
        <w:t>п</w:t>
      </w:r>
      <w:r w:rsidR="00FD3811" w:rsidRPr="002C5AC6">
        <w:t xml:space="preserve">риложени </w:t>
      </w:r>
      <w:r w:rsidR="001448F1" w:rsidRPr="002C5AC6">
        <w:t>към делото.</w:t>
      </w:r>
      <w:r w:rsidR="00B84B9E" w:rsidRPr="002C5AC6">
        <w:t xml:space="preserve"> </w:t>
      </w:r>
      <w:r w:rsidR="002D3C1A" w:rsidRPr="002C5AC6">
        <w:t>З</w:t>
      </w:r>
      <w:r w:rsidR="00FD3811" w:rsidRPr="002C5AC6">
        <w:t>а освобождаване</w:t>
      </w:r>
      <w:r w:rsidR="002D3C1A" w:rsidRPr="002C5AC6">
        <w:t>то</w:t>
      </w:r>
      <w:r w:rsidR="00FD3811" w:rsidRPr="002C5AC6">
        <w:t xml:space="preserve"> </w:t>
      </w:r>
      <w:r w:rsidR="002D3C1A" w:rsidRPr="002C5AC6">
        <w:t xml:space="preserve">на ищеца </w:t>
      </w:r>
      <w:r w:rsidR="00FD3811" w:rsidRPr="002C5AC6">
        <w:t xml:space="preserve">от </w:t>
      </w:r>
      <w:r w:rsidR="002D3C1A" w:rsidRPr="002C5AC6">
        <w:t xml:space="preserve">задължението за плащане на </w:t>
      </w:r>
      <w:r w:rsidR="00FD3811" w:rsidRPr="002C5AC6">
        <w:t>държавна такса</w:t>
      </w:r>
      <w:r w:rsidR="00B84B9E" w:rsidRPr="002C5AC6">
        <w:t xml:space="preserve"> </w:t>
      </w:r>
      <w:r w:rsidR="002D3C1A" w:rsidRPr="002C5AC6">
        <w:t>е изда</w:t>
      </w:r>
      <w:r w:rsidR="00572819">
        <w:t>ва</w:t>
      </w:r>
      <w:r w:rsidR="002D3C1A" w:rsidRPr="002C5AC6">
        <w:t>но разпореждане</w:t>
      </w:r>
      <w:r w:rsidR="002D3C1A" w:rsidRPr="002C5AC6" w:rsidDel="002D3C1A">
        <w:t xml:space="preserve"> </w:t>
      </w:r>
      <w:r w:rsidR="00456627" w:rsidRPr="002C5AC6">
        <w:t xml:space="preserve">на </w:t>
      </w:r>
      <w:r w:rsidR="002D3C1A" w:rsidRPr="002C5AC6">
        <w:t>съда</w:t>
      </w:r>
      <w:r w:rsidR="00FD3811" w:rsidRPr="002C5AC6">
        <w:rPr>
          <w:vertAlign w:val="superscript"/>
        </w:rPr>
        <w:footnoteReference w:id="31"/>
      </w:r>
      <w:r w:rsidR="006B3ABC" w:rsidRPr="002C5AC6">
        <w:t>;</w:t>
      </w:r>
    </w:p>
    <w:p w:rsidR="00065B47" w:rsidRPr="002C5AC6" w:rsidRDefault="009704AA" w:rsidP="00065B47">
      <w:pPr>
        <w:ind w:firstLine="709"/>
        <w:jc w:val="both"/>
      </w:pPr>
      <w:r w:rsidRPr="002C5AC6">
        <w:t xml:space="preserve">в) </w:t>
      </w:r>
      <w:r w:rsidR="004676CE" w:rsidRPr="002C5AC6">
        <w:t xml:space="preserve">на основание Конвенцията за връчване в чужбина на съдебни и извънсьдебни документи по граждански и търговски дела, Регламент ЕО № 1393/2007 г. (чл. 608 от ГПК) за </w:t>
      </w:r>
      <w:r w:rsidR="004676CE" w:rsidRPr="002C5AC6">
        <w:lastRenderedPageBreak/>
        <w:t>делата</w:t>
      </w:r>
      <w:r w:rsidR="00572819">
        <w:t xml:space="preserve"> </w:t>
      </w:r>
      <w:r w:rsidR="004676CE" w:rsidRPr="002C5AC6">
        <w:t>-</w:t>
      </w:r>
      <w:r w:rsidR="00572819">
        <w:t xml:space="preserve"> </w:t>
      </w:r>
      <w:r w:rsidR="004676CE" w:rsidRPr="002C5AC6">
        <w:t>предмет на съдебна поръчка, попаднали в извадката</w:t>
      </w:r>
      <w:r w:rsidR="00E03EBB" w:rsidRPr="002C5AC6">
        <w:t xml:space="preserve">, </w:t>
      </w:r>
      <w:r w:rsidR="004676CE" w:rsidRPr="002C5AC6">
        <w:t xml:space="preserve">държавни такси </w:t>
      </w:r>
      <w:r w:rsidR="00E03EBB" w:rsidRPr="002C5AC6">
        <w:t>не с</w:t>
      </w:r>
      <w:r w:rsidR="004676CE" w:rsidRPr="002C5AC6">
        <w:t>а</w:t>
      </w:r>
      <w:r w:rsidR="00E03EBB" w:rsidRPr="002C5AC6">
        <w:t xml:space="preserve"> събира</w:t>
      </w:r>
      <w:r w:rsidR="004676CE" w:rsidRPr="002C5AC6">
        <w:t>ни</w:t>
      </w:r>
      <w:r w:rsidR="00FD3811" w:rsidRPr="002C5AC6">
        <w:rPr>
          <w:vertAlign w:val="superscript"/>
        </w:rPr>
        <w:footnoteReference w:id="32"/>
      </w:r>
      <w:r w:rsidRPr="002C5AC6">
        <w:t>;</w:t>
      </w:r>
    </w:p>
    <w:p w:rsidR="00FD3811" w:rsidRPr="002C5AC6" w:rsidRDefault="009704AA" w:rsidP="00065B47">
      <w:pPr>
        <w:ind w:firstLine="709"/>
        <w:jc w:val="both"/>
      </w:pPr>
      <w:r w:rsidRPr="002C5AC6">
        <w:t>г) п</w:t>
      </w:r>
      <w:r w:rsidR="00250EB3" w:rsidRPr="002C5AC6">
        <w:t>о дела</w:t>
      </w:r>
      <w:r w:rsidR="00FD3811" w:rsidRPr="002C5AC6">
        <w:t>, произтичащи от трудови правоотношения</w:t>
      </w:r>
      <w:r w:rsidR="00EB14B5" w:rsidRPr="002C5AC6">
        <w:t>,</w:t>
      </w:r>
      <w:r w:rsidR="00C3633F" w:rsidRPr="002C5AC6">
        <w:t xml:space="preserve"> не с</w:t>
      </w:r>
      <w:r w:rsidR="009B70FD" w:rsidRPr="002C5AC6">
        <w:t>а</w:t>
      </w:r>
      <w:r w:rsidR="00FD3811" w:rsidRPr="002C5AC6">
        <w:t xml:space="preserve"> </w:t>
      </w:r>
      <w:r w:rsidR="00250EB3" w:rsidRPr="002C5AC6">
        <w:t>с</w:t>
      </w:r>
      <w:r w:rsidR="00FD3811" w:rsidRPr="002C5AC6">
        <w:t>ъ</w:t>
      </w:r>
      <w:r w:rsidR="00250EB3" w:rsidRPr="002C5AC6">
        <w:t>бира</w:t>
      </w:r>
      <w:r w:rsidR="009B70FD" w:rsidRPr="002C5AC6">
        <w:t>ни</w:t>
      </w:r>
      <w:r w:rsidR="00250EB3" w:rsidRPr="002C5AC6">
        <w:t xml:space="preserve"> дъ</w:t>
      </w:r>
      <w:r w:rsidR="00FD3811" w:rsidRPr="002C5AC6">
        <w:t>ржавни такси</w:t>
      </w:r>
      <w:r w:rsidR="009B70FD" w:rsidRPr="002C5AC6">
        <w:t xml:space="preserve"> в съответствие с чл. 83, ал. 1, т. 1 от ГПК</w:t>
      </w:r>
      <w:r w:rsidR="00DD0809" w:rsidRPr="002C5AC6">
        <w:rPr>
          <w:rStyle w:val="FootnoteReference"/>
        </w:rPr>
        <w:footnoteReference w:id="33"/>
      </w:r>
      <w:r w:rsidR="009B70FD" w:rsidRPr="002C5AC6">
        <w:t>;</w:t>
      </w:r>
    </w:p>
    <w:p w:rsidR="00FD3811" w:rsidRPr="002C5AC6" w:rsidRDefault="00065B47" w:rsidP="00A90676">
      <w:pPr>
        <w:ind w:firstLine="709"/>
        <w:jc w:val="both"/>
      </w:pPr>
      <w:r w:rsidRPr="002C5AC6">
        <w:t>д</w:t>
      </w:r>
      <w:r w:rsidR="009B70FD" w:rsidRPr="002C5AC6">
        <w:t>) п</w:t>
      </w:r>
      <w:r w:rsidR="00250EB3" w:rsidRPr="002C5AC6">
        <w:t xml:space="preserve">ри </w:t>
      </w:r>
      <w:r w:rsidR="00FD3811" w:rsidRPr="002C5AC6">
        <w:t>гражданск</w:t>
      </w:r>
      <w:r w:rsidR="00CF7699" w:rsidRPr="002C5AC6">
        <w:t>и</w:t>
      </w:r>
      <w:r w:rsidR="00FD3811" w:rsidRPr="002C5AC6">
        <w:t xml:space="preserve"> дел</w:t>
      </w:r>
      <w:r w:rsidR="00CF7699" w:rsidRPr="002C5AC6">
        <w:t>а</w:t>
      </w:r>
      <w:r w:rsidR="00250EB3" w:rsidRPr="002C5AC6">
        <w:t xml:space="preserve"> за промяна на име</w:t>
      </w:r>
      <w:r w:rsidR="00FD3811" w:rsidRPr="002C5AC6">
        <w:t xml:space="preserve"> </w:t>
      </w:r>
      <w:r w:rsidR="00250EB3" w:rsidRPr="002C5AC6">
        <w:t>н</w:t>
      </w:r>
      <w:r w:rsidR="00FD3811" w:rsidRPr="002C5AC6">
        <w:t xml:space="preserve">ачислената такса е в съответствие с Тарифата за държавните такси, които се събират от съдилищата по </w:t>
      </w:r>
      <w:r w:rsidR="00A04960" w:rsidRPr="002C5AC6">
        <w:t>ГПК</w:t>
      </w:r>
      <w:r w:rsidR="00FD3811" w:rsidRPr="002C5AC6">
        <w:rPr>
          <w:vertAlign w:val="superscript"/>
        </w:rPr>
        <w:footnoteReference w:id="34"/>
      </w:r>
      <w:r w:rsidR="00CF7699" w:rsidRPr="002C5AC6">
        <w:t xml:space="preserve"> </w:t>
      </w:r>
      <w:r w:rsidR="0085337B" w:rsidRPr="002C5AC6">
        <w:t>;</w:t>
      </w:r>
    </w:p>
    <w:p w:rsidR="0085337B" w:rsidRPr="002C5AC6" w:rsidRDefault="00065B47" w:rsidP="00A90676">
      <w:pPr>
        <w:ind w:firstLine="709"/>
        <w:jc w:val="both"/>
      </w:pPr>
      <w:r w:rsidRPr="002C5AC6">
        <w:t>е</w:t>
      </w:r>
      <w:r w:rsidR="0085337B" w:rsidRPr="002C5AC6">
        <w:t>) в</w:t>
      </w:r>
      <w:r w:rsidR="00FD3811" w:rsidRPr="002C5AC6">
        <w:t xml:space="preserve">сички </w:t>
      </w:r>
      <w:r w:rsidR="005F3825" w:rsidRPr="002C5AC6">
        <w:t xml:space="preserve">проверени </w:t>
      </w:r>
      <w:r w:rsidR="00FD3811" w:rsidRPr="002C5AC6">
        <w:t xml:space="preserve">досиета на </w:t>
      </w:r>
      <w:r w:rsidR="009704AA" w:rsidRPr="002C5AC6">
        <w:t xml:space="preserve">съдебни </w:t>
      </w:r>
      <w:r w:rsidR="00FD3811" w:rsidRPr="002C5AC6">
        <w:t>дела</w:t>
      </w:r>
      <w:r w:rsidR="002E2623" w:rsidRPr="002C5AC6">
        <w:t xml:space="preserve"> с</w:t>
      </w:r>
      <w:r w:rsidR="005F3825" w:rsidRPr="002C5AC6">
        <w:t>ъдържат</w:t>
      </w:r>
      <w:r w:rsidR="002E2623" w:rsidRPr="002C5AC6">
        <w:t xml:space="preserve"> </w:t>
      </w:r>
      <w:r w:rsidR="00FD3811" w:rsidRPr="002C5AC6">
        <w:t>документи</w:t>
      </w:r>
      <w:r w:rsidR="00C9704F" w:rsidRPr="002C5AC6">
        <w:t>те</w:t>
      </w:r>
      <w:r w:rsidR="00FD3811" w:rsidRPr="002C5AC6">
        <w:t xml:space="preserve"> за платени</w:t>
      </w:r>
      <w:r w:rsidR="00062D41" w:rsidRPr="002C5AC6">
        <w:t>те</w:t>
      </w:r>
      <w:r w:rsidR="00FD3811" w:rsidRPr="002C5AC6">
        <w:t xml:space="preserve"> държавни такси. Сумите са постъпили по</w:t>
      </w:r>
      <w:r w:rsidR="007F09A1" w:rsidRPr="002C5AC6">
        <w:t xml:space="preserve"> банковата</w:t>
      </w:r>
      <w:r w:rsidR="00FD3811" w:rsidRPr="002C5AC6">
        <w:t xml:space="preserve"> сметка на С</w:t>
      </w:r>
      <w:r w:rsidR="00A04960" w:rsidRPr="002C5AC6">
        <w:t>РС</w:t>
      </w:r>
      <w:r w:rsidR="007F09A1" w:rsidRPr="002C5AC6">
        <w:t>;</w:t>
      </w:r>
      <w:r w:rsidR="00FD3811" w:rsidRPr="002C5AC6">
        <w:t xml:space="preserve"> </w:t>
      </w:r>
    </w:p>
    <w:p w:rsidR="0085337B" w:rsidRPr="002C5AC6" w:rsidRDefault="00AA7A7A" w:rsidP="00A90676">
      <w:pPr>
        <w:ind w:firstLine="709"/>
        <w:jc w:val="both"/>
      </w:pPr>
      <w:r w:rsidRPr="002C5AC6">
        <w:t>ж</w:t>
      </w:r>
      <w:r w:rsidR="0085337B" w:rsidRPr="002C5AC6">
        <w:t>) в</w:t>
      </w:r>
      <w:r w:rsidR="00FD3811" w:rsidRPr="002C5AC6">
        <w:t xml:space="preserve"> случаите, в които държавната такса по образуването на делото е изискуема, но не е заплатена, е изда</w:t>
      </w:r>
      <w:r w:rsidR="005F3825" w:rsidRPr="002C5AC6">
        <w:t>ва</w:t>
      </w:r>
      <w:r w:rsidR="00FD3811" w:rsidRPr="002C5AC6">
        <w:t>на резолюция, с която се указва размера на дължимата държавна такса. В случай, че изискуемата държавна такса не е заплатена е изда</w:t>
      </w:r>
      <w:r w:rsidR="002A29A2" w:rsidRPr="002C5AC6">
        <w:t>ва</w:t>
      </w:r>
      <w:r w:rsidR="00FD3811" w:rsidRPr="002C5AC6">
        <w:t>но решение за прекратяване на производството</w:t>
      </w:r>
      <w:r w:rsidR="00FD3811" w:rsidRPr="002C5AC6">
        <w:rPr>
          <w:vertAlign w:val="superscript"/>
        </w:rPr>
        <w:footnoteReference w:id="35"/>
      </w:r>
      <w:r w:rsidR="00FD3811" w:rsidRPr="002C5AC6">
        <w:t xml:space="preserve">. </w:t>
      </w:r>
      <w:r w:rsidR="00572819">
        <w:t>Необходимите</w:t>
      </w:r>
      <w:r w:rsidR="00FD3811" w:rsidRPr="002C5AC6">
        <w:t xml:space="preserve"> документи за архивиране на приключилите дела</w:t>
      </w:r>
      <w:r w:rsidR="002A29A2" w:rsidRPr="002C5AC6">
        <w:t xml:space="preserve"> са комплектовани и налични</w:t>
      </w:r>
      <w:r w:rsidR="00DA1FAD" w:rsidRPr="002C5AC6">
        <w:t>.</w:t>
      </w:r>
    </w:p>
    <w:p w:rsidR="00FD3811" w:rsidRPr="002C5AC6" w:rsidRDefault="00EC4AAF" w:rsidP="00AA7A7A">
      <w:pPr>
        <w:spacing w:before="120" w:after="120"/>
        <w:ind w:firstLine="720"/>
        <w:jc w:val="both"/>
      </w:pPr>
      <w:r w:rsidRPr="002C5AC6">
        <w:rPr>
          <w:b/>
        </w:rPr>
        <w:t>2</w:t>
      </w:r>
      <w:r w:rsidR="00EF444B" w:rsidRPr="002C5AC6">
        <w:rPr>
          <w:b/>
        </w:rPr>
        <w:t>. Съдебни такси по н</w:t>
      </w:r>
      <w:r w:rsidR="00FD3811" w:rsidRPr="002C5AC6">
        <w:rPr>
          <w:b/>
        </w:rPr>
        <w:t>ака</w:t>
      </w:r>
      <w:r w:rsidRPr="002C5AC6">
        <w:rPr>
          <w:b/>
        </w:rPr>
        <w:t>зателни дела от частен характер</w:t>
      </w:r>
      <w:r w:rsidR="00FD3811" w:rsidRPr="002C5AC6">
        <w:rPr>
          <w:b/>
        </w:rPr>
        <w:t xml:space="preserve"> </w:t>
      </w:r>
    </w:p>
    <w:p w:rsidR="00FD3811" w:rsidRPr="002C5AC6" w:rsidRDefault="00FD3811" w:rsidP="00827B72">
      <w:pPr>
        <w:ind w:firstLine="720"/>
        <w:jc w:val="both"/>
      </w:pPr>
      <w:r w:rsidRPr="002C5AC6">
        <w:t>Обект на проверката са 25 броя наказателни дела от частен характер,</w:t>
      </w:r>
      <w:r w:rsidR="009D1C24" w:rsidRPr="002C5AC6">
        <w:t xml:space="preserve"> </w:t>
      </w:r>
      <w:r w:rsidR="00497676" w:rsidRPr="002C5AC6">
        <w:t xml:space="preserve">избрани на случаен принцип </w:t>
      </w:r>
      <w:r w:rsidR="00450EB3" w:rsidRPr="002C5AC6">
        <w:t xml:space="preserve">от общо 24 695 бр. дела, </w:t>
      </w:r>
      <w:r w:rsidRPr="002C5AC6">
        <w:t xml:space="preserve">образувани в периода </w:t>
      </w:r>
      <w:r w:rsidR="002A29A2" w:rsidRPr="002C5AC6">
        <w:t xml:space="preserve">от </w:t>
      </w:r>
      <w:r w:rsidRPr="002C5AC6">
        <w:t>01.01.2014</w:t>
      </w:r>
      <w:r w:rsidR="002A29A2" w:rsidRPr="002C5AC6">
        <w:t xml:space="preserve"> г. до </w:t>
      </w:r>
      <w:r w:rsidRPr="002C5AC6">
        <w:t xml:space="preserve">31.12.2014г. </w:t>
      </w:r>
      <w:r w:rsidR="0061071F" w:rsidRPr="002C5AC6">
        <w:t xml:space="preserve">При </w:t>
      </w:r>
      <w:r w:rsidRPr="002C5AC6">
        <w:t>наказателни</w:t>
      </w:r>
      <w:r w:rsidR="0061071F" w:rsidRPr="002C5AC6">
        <w:t xml:space="preserve">те </w:t>
      </w:r>
      <w:r w:rsidR="00251A06" w:rsidRPr="002C5AC6">
        <w:t>дела от частен характер,</w:t>
      </w:r>
      <w:r w:rsidRPr="002C5AC6">
        <w:t xml:space="preserve"> съдебната такса </w:t>
      </w:r>
      <w:r w:rsidR="00381297" w:rsidRPr="002C5AC6">
        <w:t>се</w:t>
      </w:r>
      <w:r w:rsidRPr="002C5AC6">
        <w:t xml:space="preserve"> запла</w:t>
      </w:r>
      <w:r w:rsidR="002A29A2" w:rsidRPr="002C5AC6">
        <w:t>ща</w:t>
      </w:r>
      <w:r w:rsidRPr="002C5AC6">
        <w:t xml:space="preserve"> с подаването на тъжбата или преди </w:t>
      </w:r>
      <w:r w:rsidR="00FF663F" w:rsidRPr="002C5AC6">
        <w:t>това</w:t>
      </w:r>
      <w:r w:rsidR="00D31EB4" w:rsidRPr="002C5AC6">
        <w:t>.</w:t>
      </w:r>
      <w:r w:rsidRPr="002C5AC6">
        <w:t xml:space="preserve"> </w:t>
      </w:r>
      <w:r w:rsidR="00827B72" w:rsidRPr="002C5AC6">
        <w:t>Докуме</w:t>
      </w:r>
      <w:r w:rsidR="00572819">
        <w:t>нтът за внесена държавна такса се</w:t>
      </w:r>
      <w:r w:rsidR="00827B72" w:rsidRPr="002C5AC6">
        <w:t xml:space="preserve"> прил</w:t>
      </w:r>
      <w:r w:rsidR="00572819">
        <w:t>ага</w:t>
      </w:r>
      <w:r w:rsidR="00827B72" w:rsidRPr="002C5AC6">
        <w:t xml:space="preserve"> към тъжбата </w:t>
      </w:r>
      <w:r w:rsidR="00D31EB4" w:rsidRPr="002C5AC6">
        <w:t>в съответствие с изискванията на ч</w:t>
      </w:r>
      <w:r w:rsidR="001D3E46" w:rsidRPr="002C5AC6">
        <w:t>л. 81</w:t>
      </w:r>
      <w:r w:rsidR="00D31EB4" w:rsidRPr="002C5AC6">
        <w:t>, ал.</w:t>
      </w:r>
      <w:r w:rsidR="001D3E46" w:rsidRPr="002C5AC6">
        <w:t xml:space="preserve"> </w:t>
      </w:r>
      <w:r w:rsidR="00D31EB4" w:rsidRPr="002C5AC6">
        <w:t>1 от НПК</w:t>
      </w:r>
      <w:r w:rsidRPr="002C5AC6">
        <w:rPr>
          <w:vertAlign w:val="superscript"/>
        </w:rPr>
        <w:footnoteReference w:id="36"/>
      </w:r>
      <w:r w:rsidR="002A29A2" w:rsidRPr="002C5AC6">
        <w:t>.</w:t>
      </w:r>
      <w:r w:rsidRPr="002C5AC6">
        <w:t xml:space="preserve"> </w:t>
      </w:r>
      <w:r w:rsidR="008E68C5" w:rsidRPr="002C5AC6">
        <w:t>При проверката е установ</w:t>
      </w:r>
      <w:r w:rsidR="00454868" w:rsidRPr="002C5AC6">
        <w:t>ено</w:t>
      </w:r>
      <w:r w:rsidR="008E68C5" w:rsidRPr="002C5AC6">
        <w:t>, че</w:t>
      </w:r>
      <w:r w:rsidR="00476143" w:rsidRPr="002C5AC6">
        <w:t xml:space="preserve"> при </w:t>
      </w:r>
      <w:r w:rsidR="005D1CD7" w:rsidRPr="002C5AC6">
        <w:t xml:space="preserve">липса на документ за платена такса или </w:t>
      </w:r>
      <w:r w:rsidR="008402D2" w:rsidRPr="002C5AC6">
        <w:t xml:space="preserve">когато </w:t>
      </w:r>
      <w:r w:rsidR="005D1CD7" w:rsidRPr="002C5AC6">
        <w:t xml:space="preserve">тя </w:t>
      </w:r>
      <w:r w:rsidR="00251A06" w:rsidRPr="002C5AC6">
        <w:t xml:space="preserve">не </w:t>
      </w:r>
      <w:r w:rsidRPr="002C5AC6">
        <w:t xml:space="preserve">е </w:t>
      </w:r>
      <w:r w:rsidR="008402D2" w:rsidRPr="002C5AC6">
        <w:t>внесена</w:t>
      </w:r>
      <w:r w:rsidRPr="002C5AC6">
        <w:t xml:space="preserve"> в пълен размер</w:t>
      </w:r>
      <w:r w:rsidR="005D1CD7" w:rsidRPr="002C5AC6">
        <w:t xml:space="preserve">, съдът </w:t>
      </w:r>
      <w:r w:rsidR="008402D2" w:rsidRPr="002C5AC6">
        <w:t xml:space="preserve">с разпореждане </w:t>
      </w:r>
      <w:r w:rsidR="005D1CD7" w:rsidRPr="002C5AC6">
        <w:t xml:space="preserve">е давал </w:t>
      </w:r>
      <w:r w:rsidR="008402D2" w:rsidRPr="002C5AC6">
        <w:t xml:space="preserve">на тъжителя </w:t>
      </w:r>
      <w:r w:rsidR="005D1CD7" w:rsidRPr="002C5AC6">
        <w:t xml:space="preserve">7-дневен срок за </w:t>
      </w:r>
      <w:r w:rsidR="008402D2" w:rsidRPr="002C5AC6">
        <w:t>внасяне на дължимата държавна такса за подадената тъжба</w:t>
      </w:r>
      <w:r w:rsidRPr="002C5AC6">
        <w:t xml:space="preserve">. В случаите, в които държавна такса за образуване на дело не е заплатена, </w:t>
      </w:r>
      <w:r w:rsidR="00D31EB4" w:rsidRPr="002C5AC6">
        <w:t xml:space="preserve">от съда </w:t>
      </w:r>
      <w:r w:rsidRPr="002C5AC6">
        <w:t>е изда</w:t>
      </w:r>
      <w:r w:rsidR="005F3825" w:rsidRPr="002C5AC6">
        <w:t>ва</w:t>
      </w:r>
      <w:r w:rsidRPr="002C5AC6">
        <w:t>но разпореждане за прекратяване на производството</w:t>
      </w:r>
      <w:r w:rsidR="005F3825" w:rsidRPr="002C5AC6">
        <w:rPr>
          <w:rStyle w:val="FootnoteReference"/>
        </w:rPr>
        <w:footnoteReference w:id="37"/>
      </w:r>
      <w:r w:rsidR="00867A1E" w:rsidRPr="002C5AC6">
        <w:t>, което е в съответствие с изискванията на чл. 81, ал. 1от НПК</w:t>
      </w:r>
      <w:r w:rsidRPr="002C5AC6">
        <w:t xml:space="preserve">. </w:t>
      </w:r>
    </w:p>
    <w:p w:rsidR="00B76E92" w:rsidRPr="002C5AC6" w:rsidRDefault="00021695" w:rsidP="00B76E92">
      <w:pPr>
        <w:ind w:firstLine="720"/>
        <w:jc w:val="both"/>
      </w:pPr>
      <w:r w:rsidRPr="002C5AC6">
        <w:t>Д</w:t>
      </w:r>
      <w:r w:rsidR="00FD3811" w:rsidRPr="002C5AC6">
        <w:t>окументите за платени държавни такси</w:t>
      </w:r>
      <w:r w:rsidRPr="002C5AC6">
        <w:t xml:space="preserve"> са приложени в досиетата на делата</w:t>
      </w:r>
      <w:r w:rsidR="00FD3811" w:rsidRPr="002C5AC6">
        <w:t xml:space="preserve">. По </w:t>
      </w:r>
      <w:r w:rsidR="00867A1E" w:rsidRPr="002C5AC6">
        <w:t xml:space="preserve">проверените </w:t>
      </w:r>
      <w:r w:rsidR="00FD3811" w:rsidRPr="002C5AC6">
        <w:t>дела не са издавани изпълнителни листове</w:t>
      </w:r>
      <w:r w:rsidR="00A134E9" w:rsidRPr="002C5AC6">
        <w:rPr>
          <w:rStyle w:val="FootnoteReference"/>
        </w:rPr>
        <w:footnoteReference w:id="38"/>
      </w:r>
      <w:r w:rsidR="00FD3811" w:rsidRPr="002C5AC6">
        <w:t>, с изключение на дело №</w:t>
      </w:r>
      <w:r w:rsidR="00867A1E" w:rsidRPr="002C5AC6">
        <w:t> </w:t>
      </w:r>
      <w:r w:rsidR="00FD3811" w:rsidRPr="002C5AC6">
        <w:t>1835/14</w:t>
      </w:r>
      <w:r w:rsidR="00FD3811" w:rsidRPr="002C5AC6">
        <w:rPr>
          <w:vertAlign w:val="superscript"/>
        </w:rPr>
        <w:footnoteReference w:id="39"/>
      </w:r>
      <w:r w:rsidR="00611546" w:rsidRPr="002C5AC6">
        <w:t>.</w:t>
      </w:r>
      <w:r w:rsidR="004F506D" w:rsidRPr="002C5AC6">
        <w:t xml:space="preserve"> </w:t>
      </w:r>
      <w:r w:rsidR="00611546" w:rsidRPr="002C5AC6">
        <w:t>Към момента на издаването на</w:t>
      </w:r>
      <w:r w:rsidR="00FD3811" w:rsidRPr="002C5AC6">
        <w:t xml:space="preserve"> изпълнителн</w:t>
      </w:r>
      <w:r w:rsidR="00611546" w:rsidRPr="002C5AC6">
        <w:t>ия</w:t>
      </w:r>
      <w:r w:rsidR="00FD3811" w:rsidRPr="002C5AC6">
        <w:t xml:space="preserve"> лист</w:t>
      </w:r>
      <w:r w:rsidR="00601673" w:rsidRPr="002C5AC6">
        <w:t xml:space="preserve"> (10.12.2014 г.)</w:t>
      </w:r>
      <w:r w:rsidR="00FD3811" w:rsidRPr="002C5AC6">
        <w:t xml:space="preserve">, </w:t>
      </w:r>
      <w:r w:rsidR="00611546" w:rsidRPr="002C5AC6">
        <w:t>държавната такса</w:t>
      </w:r>
      <w:r w:rsidR="001564F2" w:rsidRPr="002C5AC6">
        <w:rPr>
          <w:rStyle w:val="FootnoteReference"/>
        </w:rPr>
        <w:footnoteReference w:id="40"/>
      </w:r>
      <w:r w:rsidR="00611546" w:rsidRPr="002C5AC6">
        <w:t xml:space="preserve"> не е събрана</w:t>
      </w:r>
      <w:r w:rsidR="00381862" w:rsidRPr="002C5AC6">
        <w:t xml:space="preserve">, с което не са спазени изискванията на </w:t>
      </w:r>
      <w:r w:rsidR="001564F2" w:rsidRPr="002C5AC6">
        <w:t xml:space="preserve">чл. 81, ал.1 ОТ НПК и </w:t>
      </w:r>
      <w:r w:rsidR="00381862" w:rsidRPr="002C5AC6">
        <w:t xml:space="preserve">чл. </w:t>
      </w:r>
      <w:r w:rsidR="00B76E92" w:rsidRPr="002C5AC6">
        <w:t xml:space="preserve">4, т. </w:t>
      </w:r>
      <w:r w:rsidR="009957A2" w:rsidRPr="002C5AC6">
        <w:t>„</w:t>
      </w:r>
      <w:r w:rsidR="00B76E92" w:rsidRPr="002C5AC6">
        <w:t>а</w:t>
      </w:r>
      <w:r w:rsidR="009957A2" w:rsidRPr="002C5AC6">
        <w:t>“</w:t>
      </w:r>
      <w:r w:rsidR="00B76E92" w:rsidRPr="002C5AC6">
        <w:t xml:space="preserve"> от Закона за държавните такси</w:t>
      </w:r>
      <w:r w:rsidR="00601673" w:rsidRPr="002C5AC6">
        <w:t xml:space="preserve">. Същата е внесена по време на одита </w:t>
      </w:r>
      <w:r w:rsidR="00FD3811" w:rsidRPr="002C5AC6">
        <w:t xml:space="preserve">на 18.08.2015 г. </w:t>
      </w:r>
    </w:p>
    <w:p w:rsidR="00AF6E33" w:rsidRDefault="00466441" w:rsidP="00AA7A7A">
      <w:pPr>
        <w:ind w:firstLine="720"/>
        <w:jc w:val="both"/>
      </w:pPr>
      <w:r w:rsidRPr="002C5AC6">
        <w:t xml:space="preserve">Сумите от държавните такси </w:t>
      </w:r>
      <w:r w:rsidR="00D26F74" w:rsidRPr="002C5AC6">
        <w:t xml:space="preserve">са </w:t>
      </w:r>
      <w:r w:rsidRPr="002C5AC6">
        <w:t>постъпва</w:t>
      </w:r>
      <w:r w:rsidR="00D26F74" w:rsidRPr="002C5AC6">
        <w:t>ли</w:t>
      </w:r>
      <w:r w:rsidR="00FD3811" w:rsidRPr="002C5AC6">
        <w:t xml:space="preserve"> по </w:t>
      </w:r>
      <w:r w:rsidR="00D26F74" w:rsidRPr="002C5AC6">
        <w:t xml:space="preserve">транзитната </w:t>
      </w:r>
      <w:r w:rsidR="00FD3811" w:rsidRPr="002C5AC6">
        <w:t xml:space="preserve">сметката </w:t>
      </w:r>
      <w:r w:rsidR="00867A1E" w:rsidRPr="002C5AC6">
        <w:t xml:space="preserve">за приходи </w:t>
      </w:r>
      <w:r w:rsidR="00FD3811" w:rsidRPr="002C5AC6">
        <w:t>на СРС</w:t>
      </w:r>
      <w:r w:rsidR="00AA7A7A" w:rsidRPr="002C5AC6">
        <w:t>.</w:t>
      </w:r>
    </w:p>
    <w:p w:rsidR="00F520FD" w:rsidRPr="002C5AC6" w:rsidRDefault="00F520FD" w:rsidP="00AA7A7A">
      <w:pPr>
        <w:ind w:firstLine="720"/>
        <w:jc w:val="both"/>
      </w:pPr>
    </w:p>
    <w:p w:rsidR="00FD3811" w:rsidRPr="002C5AC6" w:rsidRDefault="00EC4AAF" w:rsidP="00AA7A7A">
      <w:pPr>
        <w:spacing w:before="120" w:after="120"/>
        <w:ind w:firstLine="720"/>
        <w:jc w:val="both"/>
        <w:rPr>
          <w:b/>
        </w:rPr>
      </w:pPr>
      <w:r w:rsidRPr="002C5AC6">
        <w:rPr>
          <w:b/>
        </w:rPr>
        <w:t>3</w:t>
      </w:r>
      <w:r w:rsidR="00AD24B9" w:rsidRPr="002C5AC6">
        <w:rPr>
          <w:b/>
        </w:rPr>
        <w:t>.</w:t>
      </w:r>
      <w:r w:rsidRPr="002C5AC6">
        <w:rPr>
          <w:b/>
        </w:rPr>
        <w:t xml:space="preserve"> </w:t>
      </w:r>
      <w:r w:rsidR="00AD24B9" w:rsidRPr="002C5AC6">
        <w:rPr>
          <w:b/>
        </w:rPr>
        <w:t>Съдебни такси по и</w:t>
      </w:r>
      <w:r w:rsidR="00FD3811" w:rsidRPr="002C5AC6">
        <w:rPr>
          <w:b/>
        </w:rPr>
        <w:t>зпълнителни дела</w:t>
      </w:r>
    </w:p>
    <w:p w:rsidR="00AF6E33" w:rsidRPr="002C5AC6" w:rsidRDefault="00D26F74" w:rsidP="00AF6E33">
      <w:pPr>
        <w:ind w:firstLine="720"/>
        <w:jc w:val="both"/>
      </w:pPr>
      <w:r w:rsidRPr="002C5AC6">
        <w:t>П</w:t>
      </w:r>
      <w:r w:rsidR="00FD3811" w:rsidRPr="002C5AC6">
        <w:t>ровер</w:t>
      </w:r>
      <w:r w:rsidRPr="002C5AC6">
        <w:t>ена е извадка от</w:t>
      </w:r>
      <w:r w:rsidR="00FD3811" w:rsidRPr="002C5AC6">
        <w:t xml:space="preserve"> 30 броя изпълнителни дела, </w:t>
      </w:r>
      <w:r w:rsidR="0039027E" w:rsidRPr="002C5AC6">
        <w:t>избрани на случаен принцип</w:t>
      </w:r>
      <w:r w:rsidR="00B25301" w:rsidRPr="002C5AC6">
        <w:t xml:space="preserve"> </w:t>
      </w:r>
      <w:r w:rsidR="00450EB3" w:rsidRPr="002C5AC6">
        <w:rPr>
          <w:color w:val="1F497D" w:themeColor="text2"/>
        </w:rPr>
        <w:t xml:space="preserve">от </w:t>
      </w:r>
      <w:r w:rsidR="00450EB3" w:rsidRPr="002C5AC6">
        <w:t>общо 1</w:t>
      </w:r>
      <w:r w:rsidR="0039027E" w:rsidRPr="002C5AC6">
        <w:t xml:space="preserve"> </w:t>
      </w:r>
      <w:r w:rsidR="00450EB3" w:rsidRPr="002C5AC6">
        <w:t xml:space="preserve">130 дела, </w:t>
      </w:r>
      <w:r w:rsidR="00FD3811" w:rsidRPr="002C5AC6">
        <w:t>образувани в периода</w:t>
      </w:r>
      <w:r w:rsidR="00616451" w:rsidRPr="002C5AC6">
        <w:t xml:space="preserve"> от</w:t>
      </w:r>
      <w:r w:rsidR="00FD3811" w:rsidRPr="002C5AC6">
        <w:t xml:space="preserve"> 01.01.2014</w:t>
      </w:r>
      <w:r w:rsidR="00616451" w:rsidRPr="002C5AC6">
        <w:t xml:space="preserve"> г. до </w:t>
      </w:r>
      <w:r w:rsidR="00FD3811" w:rsidRPr="002C5AC6">
        <w:t xml:space="preserve">31.12.2014 г. Таксите по изпълнителните дела се заплащат от </w:t>
      </w:r>
      <w:r w:rsidR="00F06E1B" w:rsidRPr="002C5AC6">
        <w:t>взискателя</w:t>
      </w:r>
      <w:r w:rsidR="00FD3811" w:rsidRPr="002C5AC6">
        <w:t>, но се дължат от длъжника при приключване на изпълнителното производство. По дела за издръжка</w:t>
      </w:r>
      <w:r w:rsidR="00FD3811" w:rsidRPr="002C5AC6">
        <w:rPr>
          <w:vertAlign w:val="superscript"/>
        </w:rPr>
        <w:footnoteReference w:id="41"/>
      </w:r>
      <w:r w:rsidR="00FD3811" w:rsidRPr="002C5AC6">
        <w:t xml:space="preserve"> и дела, произтичащи от трудови </w:t>
      </w:r>
      <w:r w:rsidR="00FD3811" w:rsidRPr="002C5AC6">
        <w:lastRenderedPageBreak/>
        <w:t>правоотношения</w:t>
      </w:r>
      <w:r w:rsidR="00FD3811" w:rsidRPr="002C5AC6">
        <w:rPr>
          <w:vertAlign w:val="superscript"/>
        </w:rPr>
        <w:footnoteReference w:id="42"/>
      </w:r>
      <w:r w:rsidR="00FD3811" w:rsidRPr="002C5AC6">
        <w:t xml:space="preserve">, не се </w:t>
      </w:r>
      <w:r w:rsidR="00BD623A" w:rsidRPr="002C5AC6">
        <w:t>събират</w:t>
      </w:r>
      <w:r w:rsidR="00FD3811" w:rsidRPr="002C5AC6">
        <w:t xml:space="preserve"> такси </w:t>
      </w:r>
      <w:r w:rsidR="00BD623A" w:rsidRPr="002C5AC6">
        <w:t>при</w:t>
      </w:r>
      <w:r w:rsidR="00FD3811" w:rsidRPr="002C5AC6">
        <w:t xml:space="preserve"> образуване</w:t>
      </w:r>
      <w:r w:rsidR="00BD623A" w:rsidRPr="002C5AC6">
        <w:t xml:space="preserve"> на делото</w:t>
      </w:r>
      <w:r w:rsidR="00FD3811" w:rsidRPr="002C5AC6">
        <w:t>, а</w:t>
      </w:r>
      <w:r w:rsidR="005E7C09" w:rsidRPr="002C5AC6">
        <w:t xml:space="preserve"> такива</w:t>
      </w:r>
      <w:r w:rsidR="00FD3811" w:rsidRPr="002C5AC6">
        <w:t xml:space="preserve"> се начисляват към задължението на длъжника. В хода на делото</w:t>
      </w:r>
      <w:r w:rsidR="008E68C5" w:rsidRPr="002C5AC6">
        <w:t>,</w:t>
      </w:r>
      <w:r w:rsidR="00FD3811" w:rsidRPr="002C5AC6">
        <w:t xml:space="preserve"> </w:t>
      </w:r>
      <w:r w:rsidR="00A43848" w:rsidRPr="002C5AC6">
        <w:t>з</w:t>
      </w:r>
      <w:r w:rsidR="00FD3811" w:rsidRPr="002C5AC6">
        <w:t xml:space="preserve">а предприети процесуални действия </w:t>
      </w:r>
      <w:r w:rsidR="00A43848" w:rsidRPr="002C5AC6">
        <w:t>по молба на страните</w:t>
      </w:r>
      <w:r w:rsidR="00FD3811" w:rsidRPr="002C5AC6">
        <w:t xml:space="preserve"> са заплатени дължимите държавни такси</w:t>
      </w:r>
      <w:r w:rsidR="0052704A" w:rsidRPr="002C5AC6">
        <w:t>, в съответствие с чл. 76 от ГПК</w:t>
      </w:r>
      <w:r w:rsidR="00FD3811" w:rsidRPr="002C5AC6">
        <w:rPr>
          <w:vertAlign w:val="superscript"/>
        </w:rPr>
        <w:footnoteReference w:id="43"/>
      </w:r>
      <w:r w:rsidR="00FD3811" w:rsidRPr="002C5AC6">
        <w:t xml:space="preserve">. </w:t>
      </w:r>
      <w:r w:rsidR="00EA2049" w:rsidRPr="002C5AC6">
        <w:t xml:space="preserve">По някои </w:t>
      </w:r>
      <w:r w:rsidR="000F117E" w:rsidRPr="002C5AC6">
        <w:t xml:space="preserve">от </w:t>
      </w:r>
      <w:r w:rsidR="00EA2049" w:rsidRPr="002C5AC6">
        <w:t>дела</w:t>
      </w:r>
      <w:r w:rsidR="000F117E" w:rsidRPr="002C5AC6">
        <w:t>та</w:t>
      </w:r>
      <w:r w:rsidR="0002166D" w:rsidRPr="002C5AC6">
        <w:t>, които не са приключили</w:t>
      </w:r>
      <w:r w:rsidR="00365CBB" w:rsidRPr="002C5AC6">
        <w:t>,</w:t>
      </w:r>
      <w:r w:rsidR="00FD3811" w:rsidRPr="002C5AC6">
        <w:t xml:space="preserve"> </w:t>
      </w:r>
      <w:r w:rsidR="000F117E" w:rsidRPr="002C5AC6">
        <w:t>н</w:t>
      </w:r>
      <w:r w:rsidR="006B6682" w:rsidRPr="002C5AC6">
        <w:t>е са извършени</w:t>
      </w:r>
      <w:r w:rsidR="00FD3811" w:rsidRPr="002C5AC6">
        <w:t xml:space="preserve"> плащания на такси през одитирания период, но таксите са дължими при приключване на делото</w:t>
      </w:r>
      <w:r w:rsidR="0052704A" w:rsidRPr="002C5AC6">
        <w:t xml:space="preserve"> и из</w:t>
      </w:r>
      <w:r w:rsidR="00D156C6" w:rsidRPr="002C5AC6">
        <w:t>дав</w:t>
      </w:r>
      <w:r w:rsidR="0052704A" w:rsidRPr="002C5AC6">
        <w:t>ане на съдебното решение</w:t>
      </w:r>
      <w:r w:rsidR="00FD3811" w:rsidRPr="002C5AC6">
        <w:rPr>
          <w:vertAlign w:val="superscript"/>
        </w:rPr>
        <w:footnoteReference w:id="44"/>
      </w:r>
      <w:r w:rsidR="00FD3811" w:rsidRPr="002C5AC6">
        <w:t xml:space="preserve">. </w:t>
      </w:r>
      <w:r w:rsidR="00160B33" w:rsidRPr="002C5AC6">
        <w:t>Към преписките за приключилите дела са приложени платежни</w:t>
      </w:r>
      <w:r w:rsidR="000C0EFB" w:rsidRPr="002C5AC6">
        <w:t>те</w:t>
      </w:r>
      <w:r w:rsidR="00160B33" w:rsidRPr="002C5AC6">
        <w:t xml:space="preserve"> документи за внесените такси. </w:t>
      </w:r>
      <w:r w:rsidR="00450EB3" w:rsidRPr="002C5AC6">
        <w:t>За определяне размера</w:t>
      </w:r>
      <w:r w:rsidR="00365CBB" w:rsidRPr="002C5AC6">
        <w:t xml:space="preserve"> </w:t>
      </w:r>
      <w:r w:rsidR="00FD3811" w:rsidRPr="002C5AC6">
        <w:t xml:space="preserve">на таксите по изпълнителните дела се </w:t>
      </w:r>
      <w:r w:rsidR="000C0EFB" w:rsidRPr="002C5AC6">
        <w:t>из</w:t>
      </w:r>
      <w:r w:rsidR="00FD3811" w:rsidRPr="002C5AC6">
        <w:t>ползва специализиран софтуер</w:t>
      </w:r>
      <w:r w:rsidR="00FD3811" w:rsidRPr="002C5AC6">
        <w:rPr>
          <w:vertAlign w:val="superscript"/>
        </w:rPr>
        <w:footnoteReference w:id="45"/>
      </w:r>
      <w:r w:rsidR="00E84640" w:rsidRPr="002C5AC6">
        <w:t>.</w:t>
      </w:r>
      <w:r w:rsidR="008434E7" w:rsidRPr="002C5AC6">
        <w:t xml:space="preserve"> </w:t>
      </w:r>
    </w:p>
    <w:p w:rsidR="00AF6E33" w:rsidRPr="002C5AC6" w:rsidRDefault="00B76E92" w:rsidP="00AA7A7A">
      <w:pPr>
        <w:spacing w:before="120" w:after="120"/>
        <w:ind w:firstLine="720"/>
        <w:jc w:val="both"/>
        <w:rPr>
          <w:b/>
        </w:rPr>
      </w:pPr>
      <w:r w:rsidRPr="002C5AC6">
        <w:rPr>
          <w:b/>
        </w:rPr>
        <w:t>4. Контрол по правилното определяне и събиране на таксите</w:t>
      </w:r>
    </w:p>
    <w:p w:rsidR="009C29EA" w:rsidRPr="002C5AC6" w:rsidRDefault="00B76E92" w:rsidP="00AF6E33">
      <w:pPr>
        <w:ind w:firstLine="720"/>
        <w:jc w:val="both"/>
      </w:pPr>
      <w:r w:rsidRPr="002C5AC6">
        <w:t>Контрол</w:t>
      </w:r>
      <w:r w:rsidR="00445786" w:rsidRPr="002C5AC6">
        <w:t>ът</w:t>
      </w:r>
      <w:r w:rsidRPr="002C5AC6">
        <w:t xml:space="preserve"> по правилното определяне и събиране на таксите</w:t>
      </w:r>
      <w:r w:rsidR="004135FA" w:rsidRPr="002C5AC6">
        <w:t xml:space="preserve"> </w:t>
      </w:r>
      <w:r w:rsidR="00445786" w:rsidRPr="002C5AC6">
        <w:t xml:space="preserve">на основание чл. 7, ал. 1 от ЗДТ </w:t>
      </w:r>
      <w:r w:rsidR="0052704A" w:rsidRPr="002C5AC6">
        <w:t>е вменен на ръководителя на съда</w:t>
      </w:r>
      <w:r w:rsidR="004135FA" w:rsidRPr="002C5AC6">
        <w:t>. Организацията на</w:t>
      </w:r>
      <w:r w:rsidR="000A10F6" w:rsidRPr="002C5AC6">
        <w:t xml:space="preserve"> съдебното производство изисква</w:t>
      </w:r>
      <w:r w:rsidR="00445786" w:rsidRPr="002C5AC6">
        <w:t>, за да се даде ход на делото от съдията,</w:t>
      </w:r>
      <w:r w:rsidR="000A10F6" w:rsidRPr="002C5AC6">
        <w:t xml:space="preserve"> доказване </w:t>
      </w:r>
      <w:r w:rsidR="00445786" w:rsidRPr="002C5AC6">
        <w:t xml:space="preserve">на </w:t>
      </w:r>
      <w:r w:rsidR="000A10F6" w:rsidRPr="002C5AC6">
        <w:t>на</w:t>
      </w:r>
      <w:r w:rsidR="00BC1650" w:rsidRPr="002C5AC6">
        <w:t xml:space="preserve">личието на </w:t>
      </w:r>
      <w:r w:rsidR="000A10F6" w:rsidRPr="002C5AC6">
        <w:t>пла</w:t>
      </w:r>
      <w:r w:rsidR="00BC1650" w:rsidRPr="002C5AC6">
        <w:t>тена</w:t>
      </w:r>
      <w:r w:rsidR="008677A6" w:rsidRPr="002C5AC6">
        <w:t xml:space="preserve"> такса</w:t>
      </w:r>
      <w:r w:rsidR="00574F6A" w:rsidRPr="002C5AC6">
        <w:t xml:space="preserve"> или основанията за неплащането </w:t>
      </w:r>
      <w:r w:rsidR="00445786" w:rsidRPr="002C5AC6">
        <w:t>ѝ</w:t>
      </w:r>
      <w:r w:rsidR="00574F6A" w:rsidRPr="002C5AC6">
        <w:t xml:space="preserve"> от съответната страна</w:t>
      </w:r>
      <w:r w:rsidR="008677A6" w:rsidRPr="002C5AC6">
        <w:t xml:space="preserve">. Това </w:t>
      </w:r>
      <w:r w:rsidR="000A10F6" w:rsidRPr="002C5AC6">
        <w:t>осигурява своевременен контрол</w:t>
      </w:r>
      <w:r w:rsidR="004135FA" w:rsidRPr="002C5AC6">
        <w:t xml:space="preserve"> </w:t>
      </w:r>
      <w:r w:rsidR="000A10F6" w:rsidRPr="002C5AC6">
        <w:t xml:space="preserve">по отношение на </w:t>
      </w:r>
      <w:r w:rsidR="00574F6A" w:rsidRPr="002C5AC6">
        <w:t xml:space="preserve">размера и </w:t>
      </w:r>
      <w:r w:rsidR="007B7685" w:rsidRPr="002C5AC6">
        <w:t xml:space="preserve">внасянето на </w:t>
      </w:r>
      <w:r w:rsidR="000A10F6" w:rsidRPr="002C5AC6">
        <w:t>дължимата такса</w:t>
      </w:r>
      <w:r w:rsidR="008677A6" w:rsidRPr="002C5AC6">
        <w:t xml:space="preserve">. </w:t>
      </w:r>
      <w:r w:rsidR="00CE263A" w:rsidRPr="002C5AC6">
        <w:t xml:space="preserve">При извършените тестове на съдебни досиета е установено, че при липса на документ за платена такса или на документи за наличие на обстоятелства за </w:t>
      </w:r>
      <w:r w:rsidR="00F7701D" w:rsidRPr="002C5AC6">
        <w:t>освобождаване от</w:t>
      </w:r>
      <w:r w:rsidR="00CE263A" w:rsidRPr="002C5AC6">
        <w:t xml:space="preserve"> такса, съдията не е да</w:t>
      </w:r>
      <w:r w:rsidR="009C29EA" w:rsidRPr="002C5AC6">
        <w:t>вал ход на делото</w:t>
      </w:r>
      <w:r w:rsidR="009C29EA" w:rsidRPr="002C5AC6">
        <w:rPr>
          <w:rStyle w:val="FootnoteReference"/>
        </w:rPr>
        <w:footnoteReference w:id="46"/>
      </w:r>
      <w:r w:rsidR="009C29EA" w:rsidRPr="002C5AC6">
        <w:t>.</w:t>
      </w:r>
    </w:p>
    <w:p w:rsidR="00B76E92" w:rsidRPr="002C5AC6" w:rsidRDefault="002B2A73" w:rsidP="00AF6E33">
      <w:pPr>
        <w:ind w:firstLine="720"/>
        <w:jc w:val="both"/>
      </w:pPr>
      <w:r w:rsidRPr="002C5AC6">
        <w:t>При извършения преглед на длъжностните задължения</w:t>
      </w:r>
      <w:r w:rsidR="003352AD" w:rsidRPr="002C5AC6">
        <w:t xml:space="preserve"> на съдебните служители</w:t>
      </w:r>
      <w:r w:rsidRPr="002C5AC6">
        <w:t xml:space="preserve"> е установено, че „съдебният деловодител“ извършва преглед и архивиране на гражданските дела, във връзка с което се извършва и проверка за наличие на приемо-предавателен протокол от </w:t>
      </w:r>
      <w:r w:rsidR="00B23D90">
        <w:t xml:space="preserve">Нациналната агенция за приходите </w:t>
      </w:r>
      <w:r w:rsidRPr="002C5AC6">
        <w:t xml:space="preserve">за събрани </w:t>
      </w:r>
      <w:r w:rsidR="006F3430" w:rsidRPr="002C5AC6">
        <w:t>държавни такси</w:t>
      </w:r>
      <w:r w:rsidR="006F3430" w:rsidRPr="002C5AC6">
        <w:rPr>
          <w:rStyle w:val="FootnoteReference"/>
        </w:rPr>
        <w:footnoteReference w:id="47"/>
      </w:r>
      <w:r w:rsidR="006F3430" w:rsidRPr="002C5AC6">
        <w:t>. При проверката</w:t>
      </w:r>
      <w:r w:rsidR="007B32FD" w:rsidRPr="002C5AC6">
        <w:t xml:space="preserve"> на</w:t>
      </w:r>
      <w:r w:rsidR="006F3430" w:rsidRPr="002C5AC6">
        <w:t xml:space="preserve"> </w:t>
      </w:r>
      <w:r w:rsidR="007B32FD" w:rsidRPr="002C5AC6">
        <w:t xml:space="preserve">досиетата на делата от извадката е установено, че </w:t>
      </w:r>
      <w:r w:rsidR="00F7701D" w:rsidRPr="002C5AC6">
        <w:t>архивираните дела са комплектовани с необходимите документи относно дължимите и платени такси</w:t>
      </w:r>
      <w:r w:rsidR="00445786" w:rsidRPr="002C5AC6">
        <w:t xml:space="preserve">. </w:t>
      </w:r>
      <w:r w:rsidR="00C02DFC" w:rsidRPr="002C5AC6">
        <w:t>В един от проверените случа</w:t>
      </w:r>
      <w:r w:rsidR="00445786" w:rsidRPr="002C5AC6">
        <w:t>и</w:t>
      </w:r>
      <w:r w:rsidR="00C02DFC" w:rsidRPr="002C5AC6">
        <w:t xml:space="preserve"> за издаване на изпълнителен лист</w:t>
      </w:r>
      <w:r w:rsidR="009728EE" w:rsidRPr="002C5AC6">
        <w:t xml:space="preserve"> от</w:t>
      </w:r>
      <w:r w:rsidR="00C02DFC" w:rsidRPr="002C5AC6">
        <w:t xml:space="preserve"> </w:t>
      </w:r>
      <w:r w:rsidR="009728EE" w:rsidRPr="002C5AC6">
        <w:t xml:space="preserve">съдебен служител, </w:t>
      </w:r>
      <w:r w:rsidR="00C02DFC" w:rsidRPr="002C5AC6">
        <w:t>ко</w:t>
      </w:r>
      <w:r w:rsidR="000416AE" w:rsidRPr="002C5AC6">
        <w:t>е</w:t>
      </w:r>
      <w:r w:rsidR="00C02DFC" w:rsidRPr="002C5AC6">
        <w:t xml:space="preserve">то </w:t>
      </w:r>
      <w:r w:rsidR="003352AD" w:rsidRPr="002C5AC6">
        <w:t xml:space="preserve">се извършва </w:t>
      </w:r>
      <w:r w:rsidR="009728EE" w:rsidRPr="002C5AC6">
        <w:t>на основание решение на съда</w:t>
      </w:r>
      <w:r w:rsidR="00445786" w:rsidRPr="002C5AC6">
        <w:t>,</w:t>
      </w:r>
      <w:r w:rsidR="009728EE" w:rsidRPr="002C5AC6">
        <w:t xml:space="preserve"> </w:t>
      </w:r>
      <w:r w:rsidR="000416AE" w:rsidRPr="002C5AC6">
        <w:t xml:space="preserve">е установена липса на документ за платена такса, което </w:t>
      </w:r>
      <w:r w:rsidR="00C02DFC" w:rsidRPr="002C5AC6">
        <w:t xml:space="preserve">е индикация за </w:t>
      </w:r>
      <w:r w:rsidR="006B7A24" w:rsidRPr="002C5AC6">
        <w:t xml:space="preserve">неефективност на упражнявания от съдебните деловодители контрол върху </w:t>
      </w:r>
      <w:r w:rsidR="001F6318" w:rsidRPr="002C5AC6">
        <w:t>комплектоваността на съдебните преписки</w:t>
      </w:r>
      <w:r w:rsidR="001F6318" w:rsidRPr="002C5AC6">
        <w:rPr>
          <w:rStyle w:val="FootnoteReference"/>
        </w:rPr>
        <w:footnoteReference w:id="48"/>
      </w:r>
      <w:r w:rsidR="001F6318" w:rsidRPr="002C5AC6">
        <w:t>.</w:t>
      </w:r>
    </w:p>
    <w:p w:rsidR="00591CDC" w:rsidRPr="002C5AC6" w:rsidRDefault="004A3DAD" w:rsidP="001564F2">
      <w:pPr>
        <w:spacing w:before="120" w:after="120"/>
        <w:ind w:firstLine="720"/>
        <w:jc w:val="both"/>
        <w:rPr>
          <w:i/>
        </w:rPr>
      </w:pPr>
      <w:r w:rsidRPr="002C5AC6">
        <w:rPr>
          <w:i/>
        </w:rPr>
        <w:t>През одитирания период о</w:t>
      </w:r>
      <w:r w:rsidR="00B53718" w:rsidRPr="002C5AC6">
        <w:rPr>
          <w:i/>
        </w:rPr>
        <w:t xml:space="preserve">пределените и внесени </w:t>
      </w:r>
      <w:r w:rsidR="00FD3811" w:rsidRPr="002C5AC6">
        <w:rPr>
          <w:i/>
        </w:rPr>
        <w:t>съдебни такси са</w:t>
      </w:r>
      <w:r w:rsidR="003D48AF" w:rsidRPr="002C5AC6">
        <w:rPr>
          <w:i/>
        </w:rPr>
        <w:t xml:space="preserve"> в съответствие с </w:t>
      </w:r>
      <w:r w:rsidR="00E84640" w:rsidRPr="002C5AC6">
        <w:rPr>
          <w:i/>
        </w:rPr>
        <w:t xml:space="preserve">изискванията на приложимата </w:t>
      </w:r>
      <w:r w:rsidR="003D48AF" w:rsidRPr="002C5AC6">
        <w:rPr>
          <w:i/>
        </w:rPr>
        <w:t>правната рамка</w:t>
      </w:r>
      <w:r w:rsidR="00E84640" w:rsidRPr="002C5AC6">
        <w:rPr>
          <w:i/>
        </w:rPr>
        <w:t>.</w:t>
      </w:r>
      <w:r w:rsidR="003D48AF" w:rsidRPr="002C5AC6">
        <w:rPr>
          <w:i/>
        </w:rPr>
        <w:t xml:space="preserve"> </w:t>
      </w:r>
      <w:r w:rsidR="00E84640" w:rsidRPr="002C5AC6">
        <w:rPr>
          <w:i/>
          <w:iCs/>
        </w:rPr>
        <w:t>Н</w:t>
      </w:r>
      <w:r w:rsidR="00FD3811" w:rsidRPr="002C5AC6">
        <w:rPr>
          <w:i/>
          <w:iCs/>
        </w:rPr>
        <w:t xml:space="preserve">е са установени отклонения </w:t>
      </w:r>
      <w:r w:rsidR="00A875FD" w:rsidRPr="002C5AC6">
        <w:rPr>
          <w:i/>
          <w:iCs/>
        </w:rPr>
        <w:t>в размерите на определените и/или платени такси</w:t>
      </w:r>
      <w:r w:rsidR="00591CDC" w:rsidRPr="002C5AC6">
        <w:rPr>
          <w:i/>
          <w:iCs/>
        </w:rPr>
        <w:t>.</w:t>
      </w:r>
      <w:r w:rsidR="00591CDC" w:rsidRPr="002C5AC6">
        <w:rPr>
          <w:i/>
        </w:rPr>
        <w:t xml:space="preserve"> </w:t>
      </w:r>
      <w:r w:rsidR="00192BE4" w:rsidRPr="002C5AC6">
        <w:rPr>
          <w:i/>
        </w:rPr>
        <w:t>С</w:t>
      </w:r>
      <w:r w:rsidR="00FD3811" w:rsidRPr="002C5AC6">
        <w:rPr>
          <w:i/>
        </w:rPr>
        <w:t xml:space="preserve">ъдебните такси са начислени и събрани в съответствие с Тарифа № 1 към </w:t>
      </w:r>
      <w:r w:rsidR="008E68C5" w:rsidRPr="002C5AC6">
        <w:rPr>
          <w:i/>
        </w:rPr>
        <w:t>ЗДТ</w:t>
      </w:r>
      <w:r w:rsidR="00FD3811" w:rsidRPr="002C5AC6">
        <w:rPr>
          <w:i/>
        </w:rPr>
        <w:t xml:space="preserve"> за таксите, събирани от съдилищата, прокуратурата, следствените служби и Министерството на правосъдието</w:t>
      </w:r>
      <w:r w:rsidR="00460931" w:rsidRPr="002C5AC6">
        <w:rPr>
          <w:i/>
        </w:rPr>
        <w:t xml:space="preserve"> и</w:t>
      </w:r>
      <w:r w:rsidR="00FD3811" w:rsidRPr="002C5AC6">
        <w:rPr>
          <w:i/>
        </w:rPr>
        <w:t xml:space="preserve"> Тарифата за държавните такси, които се събират от съдилищата по ГПК</w:t>
      </w:r>
      <w:r w:rsidRPr="002C5AC6">
        <w:rPr>
          <w:i/>
        </w:rPr>
        <w:t xml:space="preserve">, с изключение на един </w:t>
      </w:r>
      <w:r w:rsidR="001564F2" w:rsidRPr="002C5AC6">
        <w:rPr>
          <w:i/>
        </w:rPr>
        <w:t xml:space="preserve">от проверените </w:t>
      </w:r>
      <w:r w:rsidRPr="002C5AC6">
        <w:rPr>
          <w:i/>
        </w:rPr>
        <w:t>сл</w:t>
      </w:r>
      <w:r w:rsidR="005356CA" w:rsidRPr="002C5AC6">
        <w:rPr>
          <w:i/>
        </w:rPr>
        <w:t>у</w:t>
      </w:r>
      <w:r w:rsidRPr="002C5AC6">
        <w:rPr>
          <w:i/>
        </w:rPr>
        <w:t>чай</w:t>
      </w:r>
      <w:r w:rsidR="00FD3811" w:rsidRPr="002C5AC6">
        <w:rPr>
          <w:i/>
        </w:rPr>
        <w:t xml:space="preserve">. В досиетата на делата </w:t>
      </w:r>
      <w:r w:rsidR="00192BE4" w:rsidRPr="002C5AC6">
        <w:rPr>
          <w:i/>
        </w:rPr>
        <w:t>се съдържат</w:t>
      </w:r>
      <w:r w:rsidR="00FD3811" w:rsidRPr="002C5AC6">
        <w:rPr>
          <w:i/>
        </w:rPr>
        <w:t xml:space="preserve"> изискуемите документи</w:t>
      </w:r>
      <w:r w:rsidR="00591CDC" w:rsidRPr="002C5AC6">
        <w:rPr>
          <w:i/>
        </w:rPr>
        <w:t xml:space="preserve"> за </w:t>
      </w:r>
      <w:r w:rsidR="00A875FD" w:rsidRPr="002C5AC6">
        <w:rPr>
          <w:i/>
        </w:rPr>
        <w:t>удостоверяване на</w:t>
      </w:r>
      <w:r w:rsidR="004F0774" w:rsidRPr="002C5AC6">
        <w:rPr>
          <w:i/>
        </w:rPr>
        <w:t xml:space="preserve"> платени</w:t>
      </w:r>
      <w:r w:rsidR="00591CDC" w:rsidRPr="002C5AC6">
        <w:rPr>
          <w:i/>
        </w:rPr>
        <w:t xml:space="preserve">те </w:t>
      </w:r>
      <w:r w:rsidR="004F0774" w:rsidRPr="002C5AC6">
        <w:rPr>
          <w:i/>
        </w:rPr>
        <w:t>такси.</w:t>
      </w:r>
      <w:r w:rsidR="00FD3811" w:rsidRPr="002C5AC6">
        <w:rPr>
          <w:i/>
        </w:rPr>
        <w:t xml:space="preserve"> </w:t>
      </w:r>
      <w:r w:rsidR="00B53718" w:rsidRPr="002C5AC6">
        <w:rPr>
          <w:i/>
        </w:rPr>
        <w:t>Таксите постъпват по транзитната сметка за приходи на СРС.</w:t>
      </w:r>
    </w:p>
    <w:p w:rsidR="00AA7A7A" w:rsidRPr="002C5AC6" w:rsidRDefault="00EC4AAF" w:rsidP="00AA7A7A">
      <w:pPr>
        <w:spacing w:before="120" w:after="120"/>
        <w:ind w:firstLine="720"/>
        <w:jc w:val="both"/>
        <w:rPr>
          <w:b/>
          <w:lang w:eastAsia="en-US"/>
        </w:rPr>
      </w:pPr>
      <w:r w:rsidRPr="002C5AC6">
        <w:rPr>
          <w:b/>
        </w:rPr>
        <w:t>І</w:t>
      </w:r>
      <w:r w:rsidR="00E661C8" w:rsidRPr="002C5AC6">
        <w:rPr>
          <w:b/>
        </w:rPr>
        <w:t>ІІ</w:t>
      </w:r>
      <w:r w:rsidRPr="002C5AC6">
        <w:rPr>
          <w:b/>
        </w:rPr>
        <w:t xml:space="preserve">. Разходи за </w:t>
      </w:r>
      <w:r w:rsidR="00A5348A" w:rsidRPr="002C5AC6">
        <w:rPr>
          <w:b/>
          <w:lang w:eastAsia="en-US"/>
        </w:rPr>
        <w:t xml:space="preserve">заплати, възнаграждения и </w:t>
      </w:r>
      <w:r w:rsidR="00C71C5A" w:rsidRPr="002C5AC6">
        <w:rPr>
          <w:b/>
          <w:lang w:eastAsia="en-US"/>
        </w:rPr>
        <w:t xml:space="preserve">други </w:t>
      </w:r>
      <w:r w:rsidR="00A5348A" w:rsidRPr="002C5AC6">
        <w:rPr>
          <w:b/>
          <w:lang w:eastAsia="en-US"/>
        </w:rPr>
        <w:t>плащания за персонала</w:t>
      </w:r>
    </w:p>
    <w:p w:rsidR="00C05A8A" w:rsidRPr="002C5AC6" w:rsidRDefault="002D4857" w:rsidP="00AA7A7A">
      <w:pPr>
        <w:spacing w:before="120" w:after="120"/>
        <w:ind w:firstLine="720"/>
        <w:jc w:val="both"/>
        <w:rPr>
          <w:b/>
          <w:lang w:eastAsia="en-US"/>
        </w:rPr>
      </w:pPr>
      <w:r w:rsidRPr="002C5AC6">
        <w:t>Разходите за заплати, възнаграждения и плащания на персонала в СРС към 31.12.2014г. са в размер 13 218 895 лв., при уточнен план 13 245 764 лв., и съставляват 56,59 на сто от общия размер на отчетените разходи. На служителите в СРС са изплатени заплати и възнаграждения в общ размер 11 150 044 лв. Изплатените</w:t>
      </w:r>
      <w:r w:rsidR="00D625F4" w:rsidRPr="002C5AC6">
        <w:t xml:space="preserve"> </w:t>
      </w:r>
      <w:r w:rsidRPr="002C5AC6">
        <w:t xml:space="preserve">други възнаграждения и плащания </w:t>
      </w:r>
      <w:r w:rsidRPr="002C5AC6">
        <w:lastRenderedPageBreak/>
        <w:t xml:space="preserve">за персонала с характер на възнаграждения са 2 068 851 лв. Те включват </w:t>
      </w:r>
      <w:r w:rsidR="00F131C9" w:rsidRPr="002C5AC6">
        <w:t xml:space="preserve">основно </w:t>
      </w:r>
      <w:r w:rsidRPr="002C5AC6">
        <w:t>плащания за персонал по извънтрудови правоотношения; изплатени суми от фонд СБКО; за служебно облекло и обезщетения за персонала</w:t>
      </w:r>
      <w:r w:rsidRPr="002C5AC6">
        <w:rPr>
          <w:rStyle w:val="FootnoteReference"/>
        </w:rPr>
        <w:footnoteReference w:id="49"/>
      </w:r>
      <w:r w:rsidR="00D625F4" w:rsidRPr="002C5AC6">
        <w:t>.</w:t>
      </w:r>
      <w:r w:rsidRPr="002C5AC6">
        <w:t xml:space="preserve"> </w:t>
      </w:r>
    </w:p>
    <w:p w:rsidR="00D57054" w:rsidRDefault="00D57054" w:rsidP="00AA7A7A">
      <w:pPr>
        <w:spacing w:before="120" w:after="120"/>
        <w:ind w:firstLine="720"/>
        <w:jc w:val="both"/>
        <w:rPr>
          <w:b/>
          <w:lang w:val="en-US" w:eastAsia="en-US"/>
        </w:rPr>
      </w:pPr>
    </w:p>
    <w:p w:rsidR="00956C76" w:rsidRPr="002C5AC6" w:rsidRDefault="006A36E7" w:rsidP="00AA7A7A">
      <w:pPr>
        <w:spacing w:before="120" w:after="120"/>
        <w:ind w:firstLine="720"/>
        <w:jc w:val="both"/>
      </w:pPr>
      <w:r w:rsidRPr="002C5AC6">
        <w:rPr>
          <w:b/>
          <w:lang w:eastAsia="en-US"/>
        </w:rPr>
        <w:t>1. Разходи за заплати</w:t>
      </w:r>
    </w:p>
    <w:p w:rsidR="00403C8B" w:rsidRDefault="00D625F4" w:rsidP="002D4857">
      <w:pPr>
        <w:ind w:firstLine="709"/>
        <w:jc w:val="both"/>
      </w:pPr>
      <w:r w:rsidRPr="002C5AC6">
        <w:rPr>
          <w:lang w:eastAsia="en-US"/>
        </w:rPr>
        <w:t>П</w:t>
      </w:r>
      <w:r w:rsidR="002D4857" w:rsidRPr="002C5AC6">
        <w:rPr>
          <w:lang w:eastAsia="en-US"/>
        </w:rPr>
        <w:t xml:space="preserve">рез одитирания период </w:t>
      </w:r>
      <w:r w:rsidRPr="002C5AC6">
        <w:rPr>
          <w:lang w:eastAsia="en-US"/>
        </w:rPr>
        <w:t xml:space="preserve">в СРС </w:t>
      </w:r>
      <w:r w:rsidR="002D4857" w:rsidRPr="002C5AC6">
        <w:rPr>
          <w:lang w:eastAsia="en-US"/>
        </w:rPr>
        <w:t>са изготвени и утвърдени от председателя длъжностни разписания и поименни разписания на длъжностите и работните заплати, в съответствие с изискванията на чл. 19 от Правилник</w:t>
      </w:r>
      <w:r w:rsidRPr="002C5AC6">
        <w:rPr>
          <w:lang w:eastAsia="en-US"/>
        </w:rPr>
        <w:t>а</w:t>
      </w:r>
      <w:r w:rsidR="002D4857" w:rsidRPr="002C5AC6">
        <w:rPr>
          <w:lang w:eastAsia="en-US"/>
        </w:rPr>
        <w:t xml:space="preserve"> за администрацията на съдилищата, издаден от ВСС на 28.01.2014 г.</w:t>
      </w:r>
      <w:r w:rsidR="002D4857" w:rsidRPr="002C5AC6">
        <w:t xml:space="preserve"> Към 31.12.2014 г. в СРС са заети 721 щатни бройки.</w:t>
      </w:r>
      <w:r w:rsidR="002D4857" w:rsidRPr="002C5AC6">
        <w:rPr>
          <w:rStyle w:val="FootnoteReference"/>
        </w:rPr>
        <w:t xml:space="preserve"> </w:t>
      </w:r>
      <w:r w:rsidR="002D4857" w:rsidRPr="002C5AC6">
        <w:t xml:space="preserve"> </w:t>
      </w:r>
      <w:r w:rsidR="00F131C9" w:rsidRPr="002C5AC6">
        <w:t>За целите на одита са проверени длъжностни характеристики</w:t>
      </w:r>
      <w:r w:rsidR="002D4857" w:rsidRPr="002C5AC6">
        <w:t xml:space="preserve"> </w:t>
      </w:r>
      <w:r w:rsidR="00F131C9" w:rsidRPr="002C5AC6">
        <w:t>н</w:t>
      </w:r>
      <w:r w:rsidR="002D4857" w:rsidRPr="002C5AC6">
        <w:t>а определени длъжности</w:t>
      </w:r>
      <w:r w:rsidR="002D4857" w:rsidRPr="002C5AC6">
        <w:rPr>
          <w:rStyle w:val="FootnoteReference"/>
        </w:rPr>
        <w:footnoteReference w:id="50"/>
      </w:r>
      <w:r w:rsidR="002D4857" w:rsidRPr="002C5AC6">
        <w:t>. Установ</w:t>
      </w:r>
      <w:r w:rsidR="008A46C7" w:rsidRPr="002C5AC6">
        <w:t xml:space="preserve">ено </w:t>
      </w:r>
      <w:r w:rsidR="008467F1" w:rsidRPr="002C5AC6">
        <w:t>е</w:t>
      </w:r>
      <w:r w:rsidRPr="002C5AC6">
        <w:t>,</w:t>
      </w:r>
      <w:r w:rsidR="002D4857" w:rsidRPr="002C5AC6">
        <w:t xml:space="preserve"> че посочените кодове в НКПДП не са актуализирани съгласно класификатора на длъжностите в администрацията по чл. 341 от ЗСВ</w:t>
      </w:r>
      <w:r w:rsidR="00F131C9" w:rsidRPr="002C5AC6">
        <w:t>,</w:t>
      </w:r>
      <w:r w:rsidR="002D4857" w:rsidRPr="002C5AC6">
        <w:t xml:space="preserve"> утвърден с решение на ВСС от 01.07.2012 г. По време на одита </w:t>
      </w:r>
      <w:r w:rsidR="00F131C9" w:rsidRPr="002C5AC6">
        <w:t>са</w:t>
      </w:r>
      <w:r w:rsidR="002D4857" w:rsidRPr="002C5AC6">
        <w:t xml:space="preserve"> представени актуализирани длъжностни характеристики, утвърдени на 01.10.2015 г., за длъжностите: </w:t>
      </w:r>
      <w:r w:rsidRPr="002C5AC6">
        <w:t>с</w:t>
      </w:r>
      <w:r w:rsidR="002D4857" w:rsidRPr="002C5AC6">
        <w:t xml:space="preserve">ъдебен администратор, </w:t>
      </w:r>
      <w:r w:rsidRPr="002C5AC6">
        <w:t>м</w:t>
      </w:r>
      <w:r w:rsidR="002D4857" w:rsidRPr="002C5AC6">
        <w:t xml:space="preserve">ладши специалист </w:t>
      </w:r>
      <w:r w:rsidRPr="002C5AC6">
        <w:t>„</w:t>
      </w:r>
      <w:r w:rsidR="002D4857" w:rsidRPr="002C5AC6">
        <w:t>Човешки ресурси</w:t>
      </w:r>
      <w:r w:rsidRPr="002C5AC6">
        <w:t>“</w:t>
      </w:r>
      <w:r w:rsidR="002D4857" w:rsidRPr="002C5AC6">
        <w:t xml:space="preserve">, </w:t>
      </w:r>
      <w:r w:rsidRPr="002C5AC6">
        <w:t>н</w:t>
      </w:r>
      <w:r w:rsidR="002D4857" w:rsidRPr="002C5AC6">
        <w:t xml:space="preserve">ачалник </w:t>
      </w:r>
      <w:r w:rsidRPr="002C5AC6">
        <w:t>с</w:t>
      </w:r>
      <w:r w:rsidR="002D4857" w:rsidRPr="002C5AC6">
        <w:t xml:space="preserve">лужба, </w:t>
      </w:r>
      <w:r w:rsidRPr="002C5AC6">
        <w:t>н</w:t>
      </w:r>
      <w:r w:rsidR="002D4857" w:rsidRPr="002C5AC6">
        <w:t xml:space="preserve">ачалник отдел </w:t>
      </w:r>
      <w:r w:rsidRPr="002C5AC6">
        <w:t>„</w:t>
      </w:r>
      <w:r w:rsidR="002D4857" w:rsidRPr="002C5AC6">
        <w:t>Финанси, имущество и човешки ресурси</w:t>
      </w:r>
      <w:r w:rsidRPr="002C5AC6">
        <w:t>“</w:t>
      </w:r>
      <w:r w:rsidR="002D4857" w:rsidRPr="002C5AC6">
        <w:rPr>
          <w:rStyle w:val="FootnoteReference"/>
        </w:rPr>
        <w:footnoteReference w:id="51"/>
      </w:r>
      <w:r w:rsidR="002D4857" w:rsidRPr="002C5AC6">
        <w:t>.</w:t>
      </w:r>
    </w:p>
    <w:p w:rsidR="002D4857" w:rsidRPr="002C5AC6" w:rsidRDefault="00D625F4" w:rsidP="002D4857">
      <w:pPr>
        <w:ind w:firstLine="709"/>
        <w:jc w:val="both"/>
      </w:pPr>
      <w:r w:rsidRPr="002C5AC6">
        <w:t>При одита</w:t>
      </w:r>
      <w:r w:rsidR="002D4857" w:rsidRPr="002C5AC6">
        <w:t xml:space="preserve"> са проверени досиетата на 45 служители</w:t>
      </w:r>
      <w:r w:rsidR="00403C8B">
        <w:t>, избрани на случаен принцип.</w:t>
      </w:r>
    </w:p>
    <w:p w:rsidR="00956C76" w:rsidRPr="002C5AC6" w:rsidRDefault="00956C76" w:rsidP="0059736E">
      <w:pPr>
        <w:ind w:firstLine="720"/>
        <w:jc w:val="both"/>
      </w:pPr>
      <w:r w:rsidRPr="002C5AC6">
        <w:t>Определените индивидуални основни месечни заплати на магистратите и служителите в СРС са в съответствие с Правилата за определяне на индивидуалните основни месечни заплати на</w:t>
      </w:r>
      <w:r w:rsidR="00245664" w:rsidRPr="002C5AC6">
        <w:t xml:space="preserve"> съдии, прокурори и следователи</w:t>
      </w:r>
      <w:r w:rsidR="00357B23" w:rsidRPr="002C5AC6">
        <w:rPr>
          <w:rStyle w:val="FootnoteReference"/>
        </w:rPr>
        <w:footnoteReference w:id="52"/>
      </w:r>
      <w:r w:rsidR="00245664" w:rsidRPr="002C5AC6">
        <w:t>,</w:t>
      </w:r>
      <w:r w:rsidRPr="002C5AC6">
        <w:t xml:space="preserve"> Таблица №</w:t>
      </w:r>
      <w:r w:rsidR="007273E5" w:rsidRPr="002C5AC6">
        <w:t xml:space="preserve"> </w:t>
      </w:r>
      <w:r w:rsidRPr="002C5AC6">
        <w:t>1 на ВСС за определяне на максималните основни месечни заплати на съдии, прокурори и следователи</w:t>
      </w:r>
      <w:r w:rsidR="00046A4E" w:rsidRPr="002C5AC6">
        <w:rPr>
          <w:rStyle w:val="FootnoteReference"/>
        </w:rPr>
        <w:footnoteReference w:id="53"/>
      </w:r>
      <w:r w:rsidR="00AE207B" w:rsidRPr="002C5AC6">
        <w:t>,</w:t>
      </w:r>
      <w:r w:rsidRPr="002C5AC6">
        <w:t xml:space="preserve"> Класификатора на длъжностите в администрацията на основание чл. 341 от ЗСВ</w:t>
      </w:r>
      <w:r w:rsidR="00AE207B" w:rsidRPr="002C5AC6">
        <w:t xml:space="preserve">, </w:t>
      </w:r>
      <w:r w:rsidRPr="002C5AC6">
        <w:t>както и със заповедта на министъра на правосъдието, с която, в съответствие с чл.</w:t>
      </w:r>
      <w:r w:rsidR="005959E5" w:rsidRPr="002C5AC6">
        <w:t> </w:t>
      </w:r>
      <w:r w:rsidRPr="002C5AC6">
        <w:t>265 и чл. 291</w:t>
      </w:r>
      <w:r w:rsidR="005959E5" w:rsidRPr="002C5AC6">
        <w:t>, ал.</w:t>
      </w:r>
      <w:r w:rsidRPr="002C5AC6">
        <w:t xml:space="preserve"> 1 от ЗСВ, с</w:t>
      </w:r>
      <w:r w:rsidR="005959E5" w:rsidRPr="002C5AC6">
        <w:t>а</w:t>
      </w:r>
      <w:r w:rsidRPr="002C5AC6">
        <w:t xml:space="preserve"> определ</w:t>
      </w:r>
      <w:r w:rsidR="005959E5" w:rsidRPr="002C5AC6">
        <w:t>ени</w:t>
      </w:r>
      <w:r w:rsidRPr="002C5AC6">
        <w:t xml:space="preserve"> основните м</w:t>
      </w:r>
      <w:r w:rsidR="00BE3E86" w:rsidRPr="002C5AC6">
        <w:t>есечни заплати за длъжности</w:t>
      </w:r>
      <w:r w:rsidR="008622A8" w:rsidRPr="002C5AC6">
        <w:t xml:space="preserve">те: </w:t>
      </w:r>
      <w:r w:rsidR="00E27DE2" w:rsidRPr="002C5AC6">
        <w:t>„д</w:t>
      </w:r>
      <w:r w:rsidR="008622A8" w:rsidRPr="002C5AC6">
        <w:t>ържавен съдебен изпълнител</w:t>
      </w:r>
      <w:r w:rsidR="00E27DE2" w:rsidRPr="002C5AC6">
        <w:t>“</w:t>
      </w:r>
      <w:r w:rsidR="00BE3E86" w:rsidRPr="002C5AC6">
        <w:t xml:space="preserve"> и </w:t>
      </w:r>
      <w:r w:rsidR="00E27DE2" w:rsidRPr="002C5AC6">
        <w:t>„с</w:t>
      </w:r>
      <w:r w:rsidRPr="002C5AC6">
        <w:t>ъдия по вписванията</w:t>
      </w:r>
      <w:r w:rsidR="00E27DE2" w:rsidRPr="002C5AC6">
        <w:t>“</w:t>
      </w:r>
      <w:r w:rsidRPr="002C5AC6">
        <w:rPr>
          <w:rStyle w:val="FootnoteReference"/>
        </w:rPr>
        <w:footnoteReference w:id="54"/>
      </w:r>
      <w:r w:rsidRPr="002C5AC6">
        <w:t xml:space="preserve">. Заплатите са определени по длъжности и рангове, в зависимост от квалификацията и професионалния опит на служителите. Размерът на основната заплата на служителите във ведомостите за </w:t>
      </w:r>
      <w:r w:rsidR="00E27DE2" w:rsidRPr="002C5AC6">
        <w:t xml:space="preserve">работни </w:t>
      </w:r>
      <w:r w:rsidRPr="002C5AC6">
        <w:t>заплати съответства на определения размер на основна</w:t>
      </w:r>
      <w:r w:rsidR="00E27DE2" w:rsidRPr="002C5AC6">
        <w:t>та</w:t>
      </w:r>
      <w:r w:rsidRPr="002C5AC6">
        <w:t xml:space="preserve"> месечна заплата</w:t>
      </w:r>
      <w:r w:rsidR="005959E5" w:rsidRPr="002C5AC6">
        <w:t xml:space="preserve"> и</w:t>
      </w:r>
      <w:r w:rsidRPr="002C5AC6">
        <w:t xml:space="preserve"> отработените </w:t>
      </w:r>
      <w:r w:rsidR="00E27DE2" w:rsidRPr="002C5AC6">
        <w:t xml:space="preserve">дни </w:t>
      </w:r>
      <w:r w:rsidRPr="002C5AC6">
        <w:t>за месеца.</w:t>
      </w:r>
    </w:p>
    <w:p w:rsidR="00014E08" w:rsidRPr="002C5AC6" w:rsidRDefault="00014E08" w:rsidP="008467F1">
      <w:pPr>
        <w:spacing w:before="120" w:after="120"/>
        <w:ind w:firstLine="720"/>
        <w:jc w:val="both"/>
        <w:rPr>
          <w:b/>
        </w:rPr>
      </w:pPr>
      <w:r w:rsidRPr="002C5AC6">
        <w:rPr>
          <w:b/>
        </w:rPr>
        <w:t>2.</w:t>
      </w:r>
      <w:r w:rsidR="00565D51" w:rsidRPr="002C5AC6">
        <w:rPr>
          <w:b/>
        </w:rPr>
        <w:t xml:space="preserve"> </w:t>
      </w:r>
      <w:r w:rsidR="00F77D69" w:rsidRPr="002C5AC6">
        <w:rPr>
          <w:b/>
        </w:rPr>
        <w:t>Допълнителни</w:t>
      </w:r>
      <w:r w:rsidR="00956C76" w:rsidRPr="002C5AC6">
        <w:rPr>
          <w:b/>
        </w:rPr>
        <w:t xml:space="preserve"> възнаграждения </w:t>
      </w:r>
      <w:r w:rsidR="005E17B9" w:rsidRPr="002C5AC6">
        <w:rPr>
          <w:b/>
        </w:rPr>
        <w:t xml:space="preserve">и фонд </w:t>
      </w:r>
      <w:r w:rsidRPr="002C5AC6">
        <w:rPr>
          <w:b/>
        </w:rPr>
        <w:t>СБКО</w:t>
      </w:r>
    </w:p>
    <w:p w:rsidR="00956C76" w:rsidRPr="002C5AC6" w:rsidRDefault="00014E08" w:rsidP="00955FE5">
      <w:pPr>
        <w:ind w:firstLine="720"/>
        <w:jc w:val="both"/>
      </w:pPr>
      <w:r w:rsidRPr="002C5AC6">
        <w:t>З</w:t>
      </w:r>
      <w:r w:rsidR="00956C76" w:rsidRPr="002C5AC6">
        <w:t>а постигнати резултати през 2014</w:t>
      </w:r>
      <w:r w:rsidR="0000120B" w:rsidRPr="002C5AC6">
        <w:t xml:space="preserve"> </w:t>
      </w:r>
      <w:r w:rsidR="00956C76" w:rsidRPr="002C5AC6">
        <w:t>г.</w:t>
      </w:r>
      <w:r w:rsidR="00F77D69" w:rsidRPr="002C5AC6">
        <w:t>,</w:t>
      </w:r>
      <w:r w:rsidR="00DF588B" w:rsidRPr="002C5AC6">
        <w:t xml:space="preserve"> </w:t>
      </w:r>
      <w:r w:rsidR="00956C76" w:rsidRPr="002C5AC6">
        <w:t>в съответствие с ПОИСДТВ</w:t>
      </w:r>
      <w:r w:rsidR="00AE207B" w:rsidRPr="002C5AC6">
        <w:t>,</w:t>
      </w:r>
      <w:r w:rsidR="002F44FE" w:rsidRPr="002C5AC6">
        <w:t xml:space="preserve"> с</w:t>
      </w:r>
      <w:r w:rsidR="00956C76" w:rsidRPr="002C5AC6">
        <w:t xml:space="preserve">а изплатени </w:t>
      </w:r>
      <w:r w:rsidRPr="002C5AC6">
        <w:t xml:space="preserve">допълнителни възнаграждения </w:t>
      </w:r>
      <w:r w:rsidR="00956C76" w:rsidRPr="002C5AC6">
        <w:t>през месец декември същата година, съгласно решение на ВСС</w:t>
      </w:r>
      <w:r w:rsidR="00956C76" w:rsidRPr="002C5AC6">
        <w:rPr>
          <w:rStyle w:val="FootnoteReference"/>
        </w:rPr>
        <w:footnoteReference w:id="55"/>
      </w:r>
      <w:r w:rsidR="00956C76" w:rsidRPr="002C5AC6">
        <w:t xml:space="preserve">. </w:t>
      </w:r>
      <w:r w:rsidR="00450EB3" w:rsidRPr="002C5AC6">
        <w:t>Допълнителното възнаграждение на председателя на СРС е определено със заповед на председателя на Софийски градски съд</w:t>
      </w:r>
      <w:r w:rsidR="00450EB3" w:rsidRPr="002C5AC6">
        <w:rPr>
          <w:rStyle w:val="FootnoteReference"/>
        </w:rPr>
        <w:footnoteReference w:id="56"/>
      </w:r>
      <w:r w:rsidR="00450EB3" w:rsidRPr="002C5AC6">
        <w:t>, в съответствие с чл. 7 от правилата,</w:t>
      </w:r>
      <w:r w:rsidR="00956C76" w:rsidRPr="002C5AC6">
        <w:t xml:space="preserve"> а допълнителното възнаграждение на държавните съдебни изпълнители и съдиите по вписванията са определени със заповед на министъра на правосъдието</w:t>
      </w:r>
      <w:r w:rsidR="00956C76" w:rsidRPr="002C5AC6">
        <w:rPr>
          <w:rStyle w:val="FootnoteReference"/>
        </w:rPr>
        <w:footnoteReference w:id="57"/>
      </w:r>
      <w:r w:rsidR="00956C76" w:rsidRPr="002C5AC6">
        <w:t>, съгласно чл. 8 от правилата.</w:t>
      </w:r>
    </w:p>
    <w:p w:rsidR="00956C76" w:rsidRPr="002C5AC6" w:rsidRDefault="00956C76" w:rsidP="003F3841">
      <w:pPr>
        <w:ind w:firstLine="720"/>
        <w:jc w:val="both"/>
      </w:pPr>
      <w:r w:rsidRPr="002C5AC6">
        <w:t>През одитирания период на магистрати и служители в С</w:t>
      </w:r>
      <w:r w:rsidR="002F44FE" w:rsidRPr="002C5AC6">
        <w:t xml:space="preserve">РС са изплащани и суми от фонд </w:t>
      </w:r>
      <w:r w:rsidRPr="002C5AC6">
        <w:t>СБКО, съобразно реално отработените дни</w:t>
      </w:r>
      <w:r w:rsidR="003C3A77" w:rsidRPr="002C5AC6">
        <w:t xml:space="preserve"> за съответния период</w:t>
      </w:r>
      <w:r w:rsidRPr="002C5AC6">
        <w:t xml:space="preserve">. За тези плащания са </w:t>
      </w:r>
      <w:r w:rsidRPr="002C5AC6">
        <w:lastRenderedPageBreak/>
        <w:t>издадени заповеди от председателя на СРС</w:t>
      </w:r>
      <w:r w:rsidRPr="002C5AC6">
        <w:rPr>
          <w:rStyle w:val="FootnoteReference"/>
        </w:rPr>
        <w:footnoteReference w:id="58"/>
      </w:r>
      <w:r w:rsidRPr="002C5AC6">
        <w:t>. Сумите, получени от всеки служител</w:t>
      </w:r>
      <w:r w:rsidR="00360A23" w:rsidRPr="002C5AC6">
        <w:t xml:space="preserve"> съответстват</w:t>
      </w:r>
      <w:r w:rsidRPr="002C5AC6">
        <w:t xml:space="preserve"> на сумите, посочени в списъците към издадените заповеди.</w:t>
      </w:r>
    </w:p>
    <w:p w:rsidR="008467F1" w:rsidRPr="002C5AC6" w:rsidRDefault="00AC45A5" w:rsidP="003F3841">
      <w:pPr>
        <w:ind w:firstLine="720"/>
        <w:jc w:val="both"/>
      </w:pPr>
      <w:r w:rsidRPr="002C5AC6">
        <w:t>В съответствие с П</w:t>
      </w:r>
      <w:r w:rsidR="00956C76" w:rsidRPr="002C5AC6">
        <w:t>равилата за определяне и изплащане на суми за облекло на магистрати, държавни съдебни изпълнители, съдии по вписванията и съдебни служители в органите на съдебната власт, в СРС са изплатени суми за служебно облекло</w:t>
      </w:r>
      <w:r w:rsidR="005840C1" w:rsidRPr="002C5AC6">
        <w:t xml:space="preserve"> в размер</w:t>
      </w:r>
      <w:r w:rsidR="00956C76" w:rsidRPr="002C5AC6">
        <w:t xml:space="preserve"> 1</w:t>
      </w:r>
      <w:r w:rsidR="007273E5" w:rsidRPr="002C5AC6">
        <w:t xml:space="preserve"> </w:t>
      </w:r>
      <w:r w:rsidR="00956C76" w:rsidRPr="002C5AC6">
        <w:t>650 лв. на всеки магистрат и съдебен служител. За изплащането на сумите е издадена заповед на председателя на СРС</w:t>
      </w:r>
      <w:r w:rsidR="00790CCB" w:rsidRPr="002C5AC6">
        <w:t>.</w:t>
      </w:r>
      <w:r w:rsidR="00956C76" w:rsidRPr="002C5AC6">
        <w:t xml:space="preserve"> </w:t>
      </w:r>
      <w:r w:rsidR="00ED1636" w:rsidRPr="002C5AC6">
        <w:t xml:space="preserve">Сумите са </w:t>
      </w:r>
      <w:r w:rsidR="00747DB0" w:rsidRPr="002C5AC6">
        <w:t xml:space="preserve">в съответствие с </w:t>
      </w:r>
      <w:r w:rsidR="00ED1636" w:rsidRPr="002C5AC6">
        <w:t xml:space="preserve">определените в </w:t>
      </w:r>
      <w:r w:rsidR="00747DB0" w:rsidRPr="002C5AC6">
        <w:t>чл.</w:t>
      </w:r>
      <w:r w:rsidR="005840C1" w:rsidRPr="002C5AC6">
        <w:t xml:space="preserve"> </w:t>
      </w:r>
      <w:r w:rsidR="00747DB0" w:rsidRPr="002C5AC6">
        <w:t>221 и чл. 352 от ЗСВ</w:t>
      </w:r>
      <w:r w:rsidR="00747DB0" w:rsidRPr="002C5AC6">
        <w:rPr>
          <w:rStyle w:val="FootnoteReference"/>
        </w:rPr>
        <w:footnoteReference w:id="59"/>
      </w:r>
      <w:r w:rsidR="00DD2B03" w:rsidRPr="002C5AC6">
        <w:t xml:space="preserve"> </w:t>
      </w:r>
      <w:r w:rsidR="00956C76" w:rsidRPr="002C5AC6">
        <w:t>и данни</w:t>
      </w:r>
      <w:r w:rsidR="005D5E1C" w:rsidRPr="002C5AC6">
        <w:t>те</w:t>
      </w:r>
      <w:r w:rsidR="00956C76" w:rsidRPr="002C5AC6">
        <w:t xml:space="preserve"> от Н</w:t>
      </w:r>
      <w:r w:rsidR="007273E5" w:rsidRPr="002C5AC6">
        <w:t>ационалния статистически институт</w:t>
      </w:r>
      <w:r w:rsidR="00AC391E" w:rsidRPr="002C5AC6">
        <w:rPr>
          <w:rStyle w:val="FootnoteReference"/>
        </w:rPr>
        <w:footnoteReference w:id="60"/>
      </w:r>
      <w:r w:rsidR="00F5009F" w:rsidRPr="002C5AC6">
        <w:t xml:space="preserve"> относно размера на средната месечна работна </w:t>
      </w:r>
      <w:r w:rsidR="00453662" w:rsidRPr="002C5AC6">
        <w:t xml:space="preserve">заплата </w:t>
      </w:r>
      <w:r w:rsidR="00F5009F" w:rsidRPr="002C5AC6">
        <w:t>на служители, наети по трудово и служебно правоотношение в бюджетните ор</w:t>
      </w:r>
      <w:r w:rsidR="00AE207B" w:rsidRPr="002C5AC6">
        <w:t>ганизации и фондове, управлявани</w:t>
      </w:r>
      <w:r w:rsidR="00E56DF3" w:rsidRPr="002C5AC6">
        <w:t xml:space="preserve"> </w:t>
      </w:r>
      <w:r w:rsidR="00F5009F" w:rsidRPr="002C5AC6">
        <w:t>от държавата за четвъртото тримесечие на 2013 г.</w:t>
      </w:r>
      <w:r w:rsidR="00531A46" w:rsidRPr="002C5AC6">
        <w:rPr>
          <w:rStyle w:val="FootnoteReference"/>
        </w:rPr>
        <w:t xml:space="preserve"> </w:t>
      </w:r>
    </w:p>
    <w:p w:rsidR="00956C76" w:rsidRPr="002C5AC6" w:rsidRDefault="00956C76" w:rsidP="003F3841">
      <w:pPr>
        <w:ind w:firstLine="720"/>
        <w:jc w:val="both"/>
      </w:pPr>
      <w:r w:rsidRPr="002C5AC6">
        <w:t>Допълнителните възнаграждения за трудов стаж и професионален опит са определени съгласно решение на ВСС</w:t>
      </w:r>
      <w:r w:rsidR="0000120B" w:rsidRPr="002C5AC6">
        <w:t>.</w:t>
      </w:r>
      <w:r w:rsidRPr="002C5AC6">
        <w:t xml:space="preserve"> Сумите са изчислени</w:t>
      </w:r>
      <w:r w:rsidR="00E56DF3" w:rsidRPr="002C5AC6">
        <w:t xml:space="preserve"> в съответствие</w:t>
      </w:r>
      <w:r w:rsidR="00D33EE0" w:rsidRPr="002C5AC6">
        <w:t xml:space="preserve"> </w:t>
      </w:r>
      <w:r w:rsidR="005D5E1C" w:rsidRPr="002C5AC6">
        <w:t xml:space="preserve">с </w:t>
      </w:r>
      <w:r w:rsidR="00D33EE0" w:rsidRPr="002C5AC6">
        <w:t xml:space="preserve">мястото на придобиване на стажа и </w:t>
      </w:r>
      <w:r w:rsidRPr="002C5AC6">
        <w:t xml:space="preserve">указанията </w:t>
      </w:r>
      <w:r w:rsidR="00D33EE0" w:rsidRPr="002C5AC6">
        <w:t>на ВСС</w:t>
      </w:r>
      <w:r w:rsidR="00771EF2" w:rsidRPr="002C5AC6">
        <w:rPr>
          <w:rStyle w:val="FootnoteReference"/>
        </w:rPr>
        <w:footnoteReference w:id="61"/>
      </w:r>
      <w:r w:rsidR="00E56DF3" w:rsidRPr="002C5AC6">
        <w:t>.</w:t>
      </w:r>
      <w:r w:rsidR="00531A46" w:rsidRPr="002C5AC6">
        <w:rPr>
          <w:rStyle w:val="FootnoteReference"/>
        </w:rPr>
        <w:t xml:space="preserve"> </w:t>
      </w:r>
    </w:p>
    <w:p w:rsidR="00956C76" w:rsidRPr="002C5AC6" w:rsidRDefault="00956C76" w:rsidP="00785470">
      <w:pPr>
        <w:ind w:firstLine="720"/>
        <w:jc w:val="both"/>
      </w:pPr>
      <w:r w:rsidRPr="002C5AC6">
        <w:t>Предварителен контрол за законосъобразност в СРС се извършва от глав</w:t>
      </w:r>
      <w:r w:rsidR="00D33EE0" w:rsidRPr="002C5AC6">
        <w:t>ния</w:t>
      </w:r>
      <w:r w:rsidRPr="002C5AC6">
        <w:t xml:space="preserve"> счетоводител</w:t>
      </w:r>
      <w:r w:rsidR="00D33EE0" w:rsidRPr="002C5AC6">
        <w:t xml:space="preserve"> на СРС</w:t>
      </w:r>
      <w:r w:rsidRPr="002C5AC6">
        <w:t xml:space="preserve">. </w:t>
      </w:r>
      <w:r w:rsidR="00C62F1B" w:rsidRPr="002C5AC6">
        <w:t>При проверк</w:t>
      </w:r>
      <w:r w:rsidR="009C74C6" w:rsidRPr="002C5AC6">
        <w:t>ата на контролните листове</w:t>
      </w:r>
      <w:r w:rsidR="00771EF2" w:rsidRPr="002C5AC6">
        <w:t>, удостоверяващи извършения</w:t>
      </w:r>
      <w:r w:rsidR="009C74C6" w:rsidRPr="002C5AC6">
        <w:t xml:space="preserve"> </w:t>
      </w:r>
      <w:r w:rsidR="00771EF2" w:rsidRPr="002C5AC6">
        <w:t xml:space="preserve">предварителен контрол за законосъобразност </w:t>
      </w:r>
      <w:r w:rsidR="003B5599" w:rsidRPr="002C5AC6">
        <w:t xml:space="preserve">върху разходите за заплати и възнаграждения </w:t>
      </w:r>
      <w:r w:rsidR="009C74C6" w:rsidRPr="002C5AC6">
        <w:t xml:space="preserve">за месеците </w:t>
      </w:r>
      <w:r w:rsidR="00C62F1B" w:rsidRPr="002C5AC6">
        <w:t>март, ноември и декември</w:t>
      </w:r>
      <w:r w:rsidR="005D5E1C" w:rsidRPr="002C5AC6">
        <w:t xml:space="preserve"> </w:t>
      </w:r>
      <w:r w:rsidR="00771EF2" w:rsidRPr="002C5AC6">
        <w:t>е установено, че</w:t>
      </w:r>
      <w:r w:rsidR="00C62F1B" w:rsidRPr="002C5AC6">
        <w:t xml:space="preserve"> д</w:t>
      </w:r>
      <w:r w:rsidRPr="002C5AC6">
        <w:t xml:space="preserve">атата </w:t>
      </w:r>
      <w:r w:rsidR="004076C1" w:rsidRPr="002C5AC6">
        <w:t>на</w:t>
      </w:r>
      <w:r w:rsidRPr="002C5AC6">
        <w:t xml:space="preserve"> платежното нареждане</w:t>
      </w:r>
      <w:r w:rsidR="00C62F1B" w:rsidRPr="002C5AC6">
        <w:t xml:space="preserve"> за м. декември </w:t>
      </w:r>
      <w:r w:rsidRPr="002C5AC6">
        <w:t>пред</w:t>
      </w:r>
      <w:r w:rsidR="00771EF2" w:rsidRPr="002C5AC6">
        <w:t>хожда</w:t>
      </w:r>
      <w:r w:rsidRPr="002C5AC6">
        <w:t xml:space="preserve"> </w:t>
      </w:r>
      <w:r w:rsidR="00771EF2" w:rsidRPr="002C5AC6">
        <w:t>датата</w:t>
      </w:r>
      <w:r w:rsidRPr="002C5AC6">
        <w:t xml:space="preserve"> върху контролния лист за предварителен контрол</w:t>
      </w:r>
      <w:r w:rsidR="008622A8" w:rsidRPr="002C5AC6">
        <w:t>,</w:t>
      </w:r>
      <w:r w:rsidR="006260FB" w:rsidRPr="002C5AC6">
        <w:t xml:space="preserve"> </w:t>
      </w:r>
      <w:r w:rsidR="00F150B5" w:rsidRPr="002C5AC6">
        <w:t xml:space="preserve">което е индикатор за </w:t>
      </w:r>
      <w:r w:rsidR="005E43DE" w:rsidRPr="002C5AC6">
        <w:t>последващо (</w:t>
      </w:r>
      <w:r w:rsidR="00F150B5" w:rsidRPr="002C5AC6">
        <w:t>формално</w:t>
      </w:r>
      <w:r w:rsidR="005E43DE" w:rsidRPr="002C5AC6">
        <w:t>)</w:t>
      </w:r>
      <w:r w:rsidR="00F150B5" w:rsidRPr="002C5AC6">
        <w:t xml:space="preserve"> </w:t>
      </w:r>
      <w:r w:rsidR="00FB3D9A" w:rsidRPr="002C5AC6">
        <w:t>извърш</w:t>
      </w:r>
      <w:r w:rsidR="00F150B5" w:rsidRPr="002C5AC6">
        <w:t>ване на</w:t>
      </w:r>
      <w:r w:rsidR="003B5599">
        <w:t xml:space="preserve"> предварител</w:t>
      </w:r>
      <w:r w:rsidR="00FB3D9A" w:rsidRPr="002C5AC6">
        <w:t>н</w:t>
      </w:r>
      <w:r w:rsidR="003B5599">
        <w:t>ия</w:t>
      </w:r>
      <w:r w:rsidR="00FB3D9A" w:rsidRPr="002C5AC6">
        <w:t xml:space="preserve"> контрол</w:t>
      </w:r>
      <w:r w:rsidRPr="002C5AC6">
        <w:rPr>
          <w:rStyle w:val="FootnoteReference"/>
        </w:rPr>
        <w:footnoteReference w:id="62"/>
      </w:r>
      <w:r w:rsidR="005D5E1C" w:rsidRPr="002C5AC6">
        <w:t>.</w:t>
      </w:r>
      <w:r w:rsidRPr="002C5AC6">
        <w:t xml:space="preserve"> </w:t>
      </w:r>
    </w:p>
    <w:p w:rsidR="005D5E1C" w:rsidRPr="002C5AC6" w:rsidRDefault="005D5E1C" w:rsidP="00785470">
      <w:pPr>
        <w:ind w:firstLine="720"/>
        <w:jc w:val="both"/>
      </w:pPr>
      <w:r w:rsidRPr="002C5AC6">
        <w:t>За управлението на човешките реурси се използва програмен продукт „Аладин“. При извършено наблюдение о</w:t>
      </w:r>
      <w:r w:rsidR="00453662" w:rsidRPr="002C5AC6">
        <w:t>т</w:t>
      </w:r>
      <w:r w:rsidRPr="002C5AC6">
        <w:t xml:space="preserve"> одитния екип на работата със софтуера е установено, че </w:t>
      </w:r>
      <w:r w:rsidR="00EF2EE5" w:rsidRPr="002C5AC6">
        <w:t xml:space="preserve">при назначаване на нов служител/магистрат, от звено „Личен състав“ в програмата се завеждат личните му данни (име, ЕГН, номер на лична карта, номер на банкова сметка), както и данни за възнаграждението, определено в договора. </w:t>
      </w:r>
      <w:r w:rsidR="005E43DE" w:rsidRPr="002C5AC6">
        <w:t xml:space="preserve">За изплащане на текущите възнаграждения </w:t>
      </w:r>
      <w:r w:rsidR="00453662" w:rsidRPr="002C5AC6">
        <w:t>информация</w:t>
      </w:r>
      <w:r w:rsidR="005E43DE" w:rsidRPr="002C5AC6">
        <w:t>та</w:t>
      </w:r>
      <w:r w:rsidR="00EF2EE5" w:rsidRPr="002C5AC6">
        <w:t xml:space="preserve"> </w:t>
      </w:r>
      <w:r w:rsidR="00453662" w:rsidRPr="002C5AC6">
        <w:t>е</w:t>
      </w:r>
      <w:r w:rsidR="00EF2EE5" w:rsidRPr="002C5AC6">
        <w:t xml:space="preserve"> достъпн</w:t>
      </w:r>
      <w:r w:rsidR="00453662" w:rsidRPr="002C5AC6">
        <w:t>а</w:t>
      </w:r>
      <w:r w:rsidR="00EF2EE5" w:rsidRPr="002C5AC6">
        <w:t xml:space="preserve"> по всяко време за служителите от звено „Каса“</w:t>
      </w:r>
      <w:r w:rsidR="00E15371" w:rsidRPr="002C5AC6">
        <w:t xml:space="preserve">. При напускане на служител неговите лични данни се изтриват изцяло от програмата от звено „Личен състав“, след което е невъзможно </w:t>
      </w:r>
      <w:r w:rsidR="005E43DE" w:rsidRPr="002C5AC6">
        <w:t xml:space="preserve">на лицето </w:t>
      </w:r>
      <w:r w:rsidR="00E15371" w:rsidRPr="002C5AC6">
        <w:t>да се начисляват и изплащат възнаграждения и други плащания</w:t>
      </w:r>
      <w:r w:rsidR="00453662" w:rsidRPr="002C5AC6">
        <w:rPr>
          <w:rStyle w:val="FootnoteReference"/>
        </w:rPr>
        <w:footnoteReference w:id="63"/>
      </w:r>
      <w:r w:rsidR="00E15371" w:rsidRPr="002C5AC6">
        <w:t xml:space="preserve">. </w:t>
      </w:r>
      <w:r w:rsidR="00453662" w:rsidRPr="002C5AC6">
        <w:t>Въведеното разгранич</w:t>
      </w:r>
      <w:r w:rsidR="005E43DE" w:rsidRPr="002C5AC6">
        <w:t>аване</w:t>
      </w:r>
      <w:r w:rsidR="00453662" w:rsidRPr="002C5AC6">
        <w:t xml:space="preserve"> </w:t>
      </w:r>
      <w:r w:rsidR="005E43DE" w:rsidRPr="002C5AC6">
        <w:t>на</w:t>
      </w:r>
      <w:r w:rsidR="00453662" w:rsidRPr="002C5AC6">
        <w:t xml:space="preserve"> функциите по </w:t>
      </w:r>
      <w:r w:rsidR="000B7BEE" w:rsidRPr="002C5AC6">
        <w:t xml:space="preserve">въвеждане на информацията относно </w:t>
      </w:r>
      <w:r w:rsidR="005E43DE" w:rsidRPr="002C5AC6">
        <w:t xml:space="preserve">новоназначените/напуснали </w:t>
      </w:r>
      <w:r w:rsidR="000B7BEE" w:rsidRPr="002C5AC6">
        <w:t>служители и текущите данни за определяне на възнаграждението минимизират риска от извършване на незаконосъобразни разходи за възнаграждения.</w:t>
      </w:r>
    </w:p>
    <w:p w:rsidR="008467F1" w:rsidRPr="002C5AC6" w:rsidRDefault="00014E08" w:rsidP="008467F1">
      <w:pPr>
        <w:spacing w:before="120" w:after="120"/>
        <w:ind w:firstLine="720"/>
        <w:jc w:val="both"/>
        <w:rPr>
          <w:b/>
        </w:rPr>
      </w:pPr>
      <w:r w:rsidRPr="002C5AC6">
        <w:rPr>
          <w:b/>
        </w:rPr>
        <w:t>3</w:t>
      </w:r>
      <w:r w:rsidR="00BE2080" w:rsidRPr="002C5AC6">
        <w:rPr>
          <w:b/>
        </w:rPr>
        <w:t>.</w:t>
      </w:r>
      <w:r w:rsidRPr="002C5AC6">
        <w:rPr>
          <w:b/>
        </w:rPr>
        <w:t xml:space="preserve"> </w:t>
      </w:r>
      <w:r w:rsidR="00825C97" w:rsidRPr="002C5AC6">
        <w:rPr>
          <w:b/>
        </w:rPr>
        <w:t>Д</w:t>
      </w:r>
      <w:r w:rsidRPr="002C5AC6">
        <w:rPr>
          <w:b/>
        </w:rPr>
        <w:t>оговори</w:t>
      </w:r>
      <w:r w:rsidR="00825C97" w:rsidRPr="002C5AC6">
        <w:rPr>
          <w:b/>
        </w:rPr>
        <w:t xml:space="preserve"> с физически лица</w:t>
      </w:r>
      <w:r w:rsidR="005E43DE" w:rsidRPr="002C5AC6">
        <w:rPr>
          <w:b/>
        </w:rPr>
        <w:t xml:space="preserve"> </w:t>
      </w:r>
    </w:p>
    <w:p w:rsidR="00014E08" w:rsidRPr="002C5AC6" w:rsidRDefault="00F150B5" w:rsidP="001B6C75">
      <w:pPr>
        <w:ind w:firstLine="720"/>
        <w:jc w:val="both"/>
        <w:rPr>
          <w:b/>
        </w:rPr>
      </w:pPr>
      <w:r w:rsidRPr="002C5AC6">
        <w:t>При</w:t>
      </w:r>
      <w:r w:rsidR="00912F69" w:rsidRPr="002C5AC6">
        <w:t xml:space="preserve"> извършените </w:t>
      </w:r>
      <w:r w:rsidR="00DB74E2" w:rsidRPr="002C5AC6">
        <w:t>проверки</w:t>
      </w:r>
      <w:r w:rsidR="00912F69" w:rsidRPr="002C5AC6">
        <w:t xml:space="preserve"> </w:t>
      </w:r>
      <w:r w:rsidR="00614EF9" w:rsidRPr="002C5AC6">
        <w:t>във връзка с</w:t>
      </w:r>
      <w:r w:rsidR="005D5E1C" w:rsidRPr="002C5AC6">
        <w:t>ъс</w:t>
      </w:r>
      <w:r w:rsidR="00614EF9" w:rsidRPr="002C5AC6">
        <w:t xml:space="preserve"> сключването и изпълнението </w:t>
      </w:r>
      <w:r w:rsidR="00912F69" w:rsidRPr="002C5AC6">
        <w:t xml:space="preserve">на </w:t>
      </w:r>
      <w:r w:rsidR="00825C97" w:rsidRPr="002C5AC6">
        <w:t>шест броя</w:t>
      </w:r>
      <w:r w:rsidR="00912F69" w:rsidRPr="002C5AC6">
        <w:t xml:space="preserve"> договори </w:t>
      </w:r>
      <w:r w:rsidR="00825C97" w:rsidRPr="002C5AC6">
        <w:t xml:space="preserve">с физически лица за извършване на дейности/оказване на услуги </w:t>
      </w:r>
      <w:r w:rsidR="00912F69" w:rsidRPr="002C5AC6">
        <w:t>е установ</w:t>
      </w:r>
      <w:r w:rsidRPr="002C5AC6">
        <w:t>ено</w:t>
      </w:r>
      <w:r w:rsidR="00912F69" w:rsidRPr="002C5AC6">
        <w:t xml:space="preserve"> следното:</w:t>
      </w:r>
    </w:p>
    <w:p w:rsidR="00825C97" w:rsidRPr="002C5AC6" w:rsidRDefault="000B7BEE" w:rsidP="008632F3">
      <w:pPr>
        <w:ind w:firstLine="720"/>
        <w:jc w:val="both"/>
      </w:pPr>
      <w:r w:rsidRPr="002C5AC6">
        <w:t>а) п</w:t>
      </w:r>
      <w:r w:rsidR="00956C76" w:rsidRPr="002C5AC6">
        <w:t>о отношение на един граждански договор</w:t>
      </w:r>
      <w:r w:rsidR="00956C76" w:rsidRPr="002C5AC6">
        <w:rPr>
          <w:rStyle w:val="FootnoteReference"/>
        </w:rPr>
        <w:footnoteReference w:id="64"/>
      </w:r>
      <w:r w:rsidR="00956C76" w:rsidRPr="002C5AC6">
        <w:t xml:space="preserve"> </w:t>
      </w:r>
      <w:r w:rsidR="00F150B5" w:rsidRPr="002C5AC6">
        <w:t xml:space="preserve">не е приложена </w:t>
      </w:r>
      <w:r w:rsidR="00825C97" w:rsidRPr="002C5AC6">
        <w:t>систем</w:t>
      </w:r>
      <w:r w:rsidR="00F150B5" w:rsidRPr="002C5AC6">
        <w:t xml:space="preserve">ата </w:t>
      </w:r>
      <w:r w:rsidR="00825C97" w:rsidRPr="002C5AC6">
        <w:t>з</w:t>
      </w:r>
      <w:r w:rsidR="00F150B5" w:rsidRPr="002C5AC6">
        <w:t xml:space="preserve">а </w:t>
      </w:r>
      <w:r w:rsidR="00825C97" w:rsidRPr="002C5AC6">
        <w:t>двоен подпис</w:t>
      </w:r>
      <w:r w:rsidR="00390632" w:rsidRPr="002C5AC6">
        <w:t>, като договорът не е подписан от главния счетоводител</w:t>
      </w:r>
      <w:r w:rsidR="00DE0139" w:rsidRPr="002C5AC6">
        <w:t xml:space="preserve"> </w:t>
      </w:r>
      <w:r w:rsidR="00390632" w:rsidRPr="002C5AC6">
        <w:t xml:space="preserve">в качеството му на лице, </w:t>
      </w:r>
      <w:r w:rsidR="00390632" w:rsidRPr="002C5AC6">
        <w:lastRenderedPageBreak/>
        <w:t>отговорно за счетоводните записвания</w:t>
      </w:r>
      <w:r w:rsidR="00825C97" w:rsidRPr="002C5AC6">
        <w:t xml:space="preserve">, </w:t>
      </w:r>
      <w:r w:rsidR="00390632" w:rsidRPr="002C5AC6">
        <w:t xml:space="preserve">с </w:t>
      </w:r>
      <w:r w:rsidR="00825C97" w:rsidRPr="002C5AC6">
        <w:t>ко</w:t>
      </w:r>
      <w:r w:rsidR="00390632" w:rsidRPr="002C5AC6">
        <w:t>е</w:t>
      </w:r>
      <w:r w:rsidR="00825C97" w:rsidRPr="002C5AC6">
        <w:t xml:space="preserve">то не </w:t>
      </w:r>
      <w:r w:rsidR="00390632" w:rsidRPr="002C5AC6">
        <w:t xml:space="preserve">са спазени изискванията на чл. </w:t>
      </w:r>
      <w:r w:rsidR="0092163F" w:rsidRPr="002C5AC6">
        <w:t xml:space="preserve">13, ал. 1, т. 3 </w:t>
      </w:r>
      <w:r w:rsidR="00825C97" w:rsidRPr="002C5AC6">
        <w:t>от ЗФУКПС</w:t>
      </w:r>
      <w:r w:rsidRPr="002C5AC6">
        <w:t>;</w:t>
      </w:r>
    </w:p>
    <w:p w:rsidR="00825C97" w:rsidRPr="002C5AC6" w:rsidRDefault="000B7BEE" w:rsidP="00701F6E">
      <w:pPr>
        <w:ind w:firstLine="720"/>
        <w:jc w:val="both"/>
      </w:pPr>
      <w:r w:rsidRPr="002C5AC6">
        <w:t xml:space="preserve">б) </w:t>
      </w:r>
      <w:r w:rsidR="001B279C" w:rsidRPr="002C5AC6">
        <w:t xml:space="preserve">сумите са </w:t>
      </w:r>
      <w:r w:rsidR="008632F3" w:rsidRPr="002C5AC6">
        <w:t>из</w:t>
      </w:r>
      <w:r w:rsidR="001B279C" w:rsidRPr="002C5AC6">
        <w:t xml:space="preserve">платени </w:t>
      </w:r>
      <w:r w:rsidR="00DE0139" w:rsidRPr="002C5AC6">
        <w:t>след извършване и приемане на работата на изпълнителите</w:t>
      </w:r>
      <w:r w:rsidRPr="002C5AC6">
        <w:t>;</w:t>
      </w:r>
    </w:p>
    <w:p w:rsidR="001B279C" w:rsidRPr="002C5AC6" w:rsidRDefault="00B90E1C" w:rsidP="00701F6E">
      <w:pPr>
        <w:ind w:firstLine="720"/>
        <w:jc w:val="both"/>
      </w:pPr>
      <w:r w:rsidRPr="002C5AC6">
        <w:t>в</w:t>
      </w:r>
      <w:r w:rsidR="000B7BEE" w:rsidRPr="002C5AC6">
        <w:t>)</w:t>
      </w:r>
      <w:r w:rsidR="009E1464" w:rsidRPr="002C5AC6">
        <w:t xml:space="preserve"> </w:t>
      </w:r>
      <w:r w:rsidR="000B7BEE" w:rsidRPr="002C5AC6">
        <w:t>п</w:t>
      </w:r>
      <w:r w:rsidR="00956C76" w:rsidRPr="002C5AC6">
        <w:t>реди извършване на плащанията е осъществяван предварителен контрол</w:t>
      </w:r>
      <w:r w:rsidR="008632F3" w:rsidRPr="002C5AC6">
        <w:t>,</w:t>
      </w:r>
      <w:r w:rsidR="007A0EF5" w:rsidRPr="002C5AC6">
        <w:t xml:space="preserve"> </w:t>
      </w:r>
      <w:r w:rsidR="008632F3" w:rsidRPr="002C5AC6">
        <w:t xml:space="preserve">документиран </w:t>
      </w:r>
      <w:r w:rsidR="000B7BEE" w:rsidRPr="002C5AC6">
        <w:t>с</w:t>
      </w:r>
      <w:r w:rsidR="007A0EF5" w:rsidRPr="002C5AC6">
        <w:t xml:space="preserve"> контролен лист</w:t>
      </w:r>
      <w:r w:rsidR="00450EB3" w:rsidRPr="002C5AC6">
        <w:rPr>
          <w:rStyle w:val="FootnoteReference"/>
        </w:rPr>
        <w:footnoteReference w:id="65"/>
      </w:r>
      <w:r w:rsidR="001B279C" w:rsidRPr="002C5AC6">
        <w:t>;</w:t>
      </w:r>
    </w:p>
    <w:p w:rsidR="00C05A8A" w:rsidRPr="002C5AC6" w:rsidRDefault="001B279C" w:rsidP="00701F6E">
      <w:pPr>
        <w:ind w:firstLine="720"/>
        <w:jc w:val="both"/>
      </w:pPr>
      <w:r w:rsidRPr="002C5AC6">
        <w:t>г) изплатените суми с</w:t>
      </w:r>
      <w:r w:rsidR="00DE0139" w:rsidRPr="002C5AC6">
        <w:t>а в съответствие с договорените.</w:t>
      </w:r>
    </w:p>
    <w:p w:rsidR="00014E08" w:rsidRPr="002C5AC6" w:rsidRDefault="00912F69" w:rsidP="008467F1">
      <w:pPr>
        <w:spacing w:before="120" w:after="120"/>
        <w:ind w:firstLine="720"/>
        <w:jc w:val="both"/>
        <w:rPr>
          <w:b/>
        </w:rPr>
      </w:pPr>
      <w:r w:rsidRPr="002C5AC6">
        <w:rPr>
          <w:b/>
        </w:rPr>
        <w:t>4</w:t>
      </w:r>
      <w:r w:rsidR="008632F3" w:rsidRPr="002C5AC6">
        <w:rPr>
          <w:b/>
        </w:rPr>
        <w:t>.</w:t>
      </w:r>
      <w:r w:rsidRPr="002C5AC6">
        <w:rPr>
          <w:b/>
        </w:rPr>
        <w:t xml:space="preserve"> Извън</w:t>
      </w:r>
      <w:r w:rsidR="00014E08" w:rsidRPr="002C5AC6">
        <w:rPr>
          <w:b/>
        </w:rPr>
        <w:t>реден труд</w:t>
      </w:r>
    </w:p>
    <w:p w:rsidR="00956C76" w:rsidRPr="002C5AC6" w:rsidRDefault="00956C76" w:rsidP="00701F6E">
      <w:pPr>
        <w:ind w:firstLine="720"/>
        <w:jc w:val="both"/>
      </w:pPr>
      <w:r w:rsidRPr="002C5AC6">
        <w:t xml:space="preserve">Изискванията </w:t>
      </w:r>
      <w:r w:rsidR="00825C97" w:rsidRPr="002C5AC6">
        <w:t>за</w:t>
      </w:r>
      <w:r w:rsidRPr="002C5AC6">
        <w:t xml:space="preserve"> полагането и отчитането на извънреден труд в СРС са </w:t>
      </w:r>
      <w:r w:rsidR="00825C97" w:rsidRPr="002C5AC6">
        <w:t>определени</w:t>
      </w:r>
      <w:r w:rsidRPr="002C5AC6">
        <w:t xml:space="preserve"> със заповед на председателя</w:t>
      </w:r>
      <w:r w:rsidRPr="002C5AC6">
        <w:rPr>
          <w:rStyle w:val="FootnoteReference"/>
        </w:rPr>
        <w:footnoteReference w:id="66"/>
      </w:r>
      <w:r w:rsidRPr="002C5AC6">
        <w:t>, във връзка с решение на ВСС</w:t>
      </w:r>
      <w:r w:rsidRPr="002C5AC6">
        <w:rPr>
          <w:rStyle w:val="FootnoteReference"/>
        </w:rPr>
        <w:footnoteReference w:id="67"/>
      </w:r>
      <w:r w:rsidRPr="002C5AC6">
        <w:t>. В нея са посочени: размерът и начинът за изчисляване на допълнителното възнаграждение за извънреден труд; служителят, на когото се възлага да попълва книгата за отчитане на извънредния труд; срокът за отчитане на извънредния</w:t>
      </w:r>
      <w:r w:rsidR="001265F7" w:rsidRPr="002C5AC6">
        <w:t xml:space="preserve"> труд пред </w:t>
      </w:r>
      <w:r w:rsidR="00F563C2" w:rsidRPr="002C5AC6">
        <w:t>и</w:t>
      </w:r>
      <w:r w:rsidR="001265F7" w:rsidRPr="002C5AC6">
        <w:t>нспекция</w:t>
      </w:r>
      <w:r w:rsidR="001A0B7B" w:rsidRPr="002C5AC6">
        <w:t>та</w:t>
      </w:r>
      <w:r w:rsidR="001265F7" w:rsidRPr="002C5AC6">
        <w:t xml:space="preserve"> по труда. У</w:t>
      </w:r>
      <w:r w:rsidRPr="002C5AC6">
        <w:t>словие за отчитане на положения извънр</w:t>
      </w:r>
      <w:r w:rsidR="00675F72" w:rsidRPr="002C5AC6">
        <w:t>еден труд от служителите на СРС е подаването на</w:t>
      </w:r>
      <w:r w:rsidRPr="002C5AC6">
        <w:t xml:space="preserve"> декларация</w:t>
      </w:r>
      <w:r w:rsidR="003C3850" w:rsidRPr="002C5AC6">
        <w:rPr>
          <w:rStyle w:val="FootnoteReference"/>
        </w:rPr>
        <w:footnoteReference w:id="68"/>
      </w:r>
      <w:r w:rsidRPr="002C5AC6">
        <w:t>. През 2014</w:t>
      </w:r>
      <w:r w:rsidR="009F4C27" w:rsidRPr="002C5AC6">
        <w:t xml:space="preserve"> </w:t>
      </w:r>
      <w:r w:rsidRPr="002C5AC6">
        <w:t xml:space="preserve">г. </w:t>
      </w:r>
      <w:r w:rsidR="00D34957" w:rsidRPr="002C5AC6">
        <w:t xml:space="preserve">след изменение в </w:t>
      </w:r>
      <w:r w:rsidRPr="002C5AC6">
        <w:t>чл. 149, ал.</w:t>
      </w:r>
      <w:r w:rsidR="00AF3FBC" w:rsidRPr="002C5AC6">
        <w:t xml:space="preserve"> </w:t>
      </w:r>
      <w:r w:rsidRPr="002C5AC6">
        <w:t>2</w:t>
      </w:r>
      <w:r w:rsidR="000750F5" w:rsidRPr="002C5AC6">
        <w:t xml:space="preserve"> от Кодекса на труда</w:t>
      </w:r>
      <w:r w:rsidR="008D3E36" w:rsidRPr="002C5AC6">
        <w:rPr>
          <w:rStyle w:val="FootnoteReference"/>
        </w:rPr>
        <w:footnoteReference w:id="69"/>
      </w:r>
      <w:r w:rsidRPr="002C5AC6">
        <w:t xml:space="preserve"> е извършена промяна в срока за отчитане </w:t>
      </w:r>
      <w:r w:rsidR="003B5599">
        <w:t xml:space="preserve">на </w:t>
      </w:r>
      <w:r w:rsidR="00D34957" w:rsidRPr="002C5AC6">
        <w:t xml:space="preserve">положения </w:t>
      </w:r>
      <w:r w:rsidRPr="002C5AC6">
        <w:t>извънред</w:t>
      </w:r>
      <w:r w:rsidR="00D34957" w:rsidRPr="002C5AC6">
        <w:t>е</w:t>
      </w:r>
      <w:r w:rsidRPr="002C5AC6">
        <w:t xml:space="preserve">н труд пред </w:t>
      </w:r>
      <w:r w:rsidR="001A0B7B" w:rsidRPr="002C5AC6">
        <w:t>инспекцията по труда</w:t>
      </w:r>
      <w:r w:rsidRPr="002C5AC6">
        <w:t>, но нова заповед на председателя</w:t>
      </w:r>
      <w:r w:rsidR="00D34957" w:rsidRPr="002C5AC6">
        <w:t xml:space="preserve"> на съда</w:t>
      </w:r>
      <w:r w:rsidRPr="002C5AC6">
        <w:t xml:space="preserve">, която да отрази тази промяна, не е издавана. </w:t>
      </w:r>
    </w:p>
    <w:p w:rsidR="00956C76" w:rsidRPr="002C5AC6" w:rsidRDefault="00956C76" w:rsidP="00701F6E">
      <w:pPr>
        <w:ind w:firstLine="720"/>
        <w:jc w:val="both"/>
        <w:rPr>
          <w:shd w:val="clear" w:color="auto" w:fill="FEFEFE"/>
        </w:rPr>
      </w:pPr>
      <w:r w:rsidRPr="002C5AC6">
        <w:t>За положения през 2014</w:t>
      </w:r>
      <w:r w:rsidR="009F4C27" w:rsidRPr="002C5AC6">
        <w:t xml:space="preserve"> </w:t>
      </w:r>
      <w:r w:rsidRPr="002C5AC6">
        <w:t>г. извънреден труд своевременно са били издадени заповеди от председателя на СРС</w:t>
      </w:r>
      <w:r w:rsidRPr="002C5AC6">
        <w:rPr>
          <w:rStyle w:val="FootnoteReference"/>
        </w:rPr>
        <w:footnoteReference w:id="70"/>
      </w:r>
      <w:r w:rsidRPr="002C5AC6">
        <w:t>. В тях</w:t>
      </w:r>
      <w:r w:rsidR="002748B2">
        <w:t xml:space="preserve"> </w:t>
      </w:r>
      <w:r w:rsidRPr="002C5AC6">
        <w:rPr>
          <w:shd w:val="clear" w:color="auto" w:fill="FEFEFE"/>
        </w:rPr>
        <w:t xml:space="preserve">не е посочен </w:t>
      </w:r>
      <w:r w:rsidRPr="002C5AC6">
        <w:rPr>
          <w:highlight w:val="white"/>
          <w:shd w:val="clear" w:color="auto" w:fill="FEFEFE"/>
        </w:rPr>
        <w:t>ден за почивка в работната седмица, следваща тази, в която е бил положен извънредният труд</w:t>
      </w:r>
      <w:r w:rsidR="00F612D2" w:rsidRPr="002C5AC6">
        <w:t xml:space="preserve">, с което не са изпълнени изискванията на </w:t>
      </w:r>
      <w:r w:rsidR="00F612D2" w:rsidRPr="002C5AC6">
        <w:rPr>
          <w:shd w:val="clear" w:color="auto" w:fill="FEFEFE"/>
        </w:rPr>
        <w:t>чл.</w:t>
      </w:r>
      <w:r w:rsidR="003B5599">
        <w:rPr>
          <w:shd w:val="clear" w:color="auto" w:fill="FEFEFE"/>
        </w:rPr>
        <w:t> </w:t>
      </w:r>
      <w:r w:rsidR="00F612D2" w:rsidRPr="002C5AC6">
        <w:rPr>
          <w:shd w:val="clear" w:color="auto" w:fill="FEFEFE"/>
        </w:rPr>
        <w:t xml:space="preserve">15, ал. 2 от </w:t>
      </w:r>
      <w:r w:rsidR="00F612D2" w:rsidRPr="002C5AC6">
        <w:t>Наредба за работното време, почивките и отпуските (</w:t>
      </w:r>
      <w:r w:rsidR="00F612D2" w:rsidRPr="002C5AC6">
        <w:rPr>
          <w:shd w:val="clear" w:color="auto" w:fill="FEFEFE"/>
        </w:rPr>
        <w:t>НРВПО)</w:t>
      </w:r>
      <w:r w:rsidRPr="002C5AC6">
        <w:rPr>
          <w:highlight w:val="white"/>
          <w:shd w:val="clear" w:color="auto" w:fill="FEFEFE"/>
        </w:rPr>
        <w:t>.</w:t>
      </w:r>
      <w:r w:rsidRPr="002C5AC6">
        <w:rPr>
          <w:shd w:val="clear" w:color="auto" w:fill="FEFEFE"/>
        </w:rPr>
        <w:t xml:space="preserve"> </w:t>
      </w:r>
    </w:p>
    <w:p w:rsidR="0083797B" w:rsidRPr="002C5AC6" w:rsidRDefault="00627A95" w:rsidP="00917336">
      <w:pPr>
        <w:ind w:firstLine="720"/>
        <w:jc w:val="both"/>
        <w:rPr>
          <w:shd w:val="clear" w:color="auto" w:fill="FEFEFE"/>
        </w:rPr>
      </w:pPr>
      <w:r w:rsidRPr="002C5AC6">
        <w:rPr>
          <w:shd w:val="clear" w:color="auto" w:fill="FEFEFE"/>
        </w:rPr>
        <w:t>С</w:t>
      </w:r>
      <w:r w:rsidR="00956C76" w:rsidRPr="002C5AC6">
        <w:rPr>
          <w:shd w:val="clear" w:color="auto" w:fill="FEFEFE"/>
        </w:rPr>
        <w:t xml:space="preserve">лужителите </w:t>
      </w:r>
      <w:r w:rsidR="00AB5FD7" w:rsidRPr="002C5AC6">
        <w:rPr>
          <w:shd w:val="clear" w:color="auto" w:fill="FEFEFE"/>
        </w:rPr>
        <w:t xml:space="preserve">доказват </w:t>
      </w:r>
      <w:r w:rsidR="00956C76" w:rsidRPr="002C5AC6">
        <w:rPr>
          <w:shd w:val="clear" w:color="auto" w:fill="FEFEFE"/>
        </w:rPr>
        <w:t>по</w:t>
      </w:r>
      <w:r w:rsidR="00B37EDC">
        <w:rPr>
          <w:shd w:val="clear" w:color="auto" w:fill="FEFEFE"/>
        </w:rPr>
        <w:t xml:space="preserve">ложения от тях извънреден труд, </w:t>
      </w:r>
      <w:r w:rsidR="00956C76" w:rsidRPr="002C5AC6">
        <w:rPr>
          <w:shd w:val="clear" w:color="auto" w:fill="FEFEFE"/>
        </w:rPr>
        <w:t>за времето, през което са изпълнявали служебните си задължения в почивни и п</w:t>
      </w:r>
      <w:r w:rsidR="00701F6E" w:rsidRPr="002C5AC6">
        <w:rPr>
          <w:shd w:val="clear" w:color="auto" w:fill="FEFEFE"/>
        </w:rPr>
        <w:t>разнични дни</w:t>
      </w:r>
      <w:r w:rsidR="00B37EDC">
        <w:rPr>
          <w:shd w:val="clear" w:color="auto" w:fill="FEFEFE"/>
        </w:rPr>
        <w:t>,</w:t>
      </w:r>
      <w:r w:rsidR="003B5599" w:rsidRPr="003B5599">
        <w:rPr>
          <w:shd w:val="clear" w:color="auto" w:fill="FEFEFE"/>
        </w:rPr>
        <w:t xml:space="preserve"> </w:t>
      </w:r>
      <w:r w:rsidR="003B5599" w:rsidRPr="002C5AC6">
        <w:rPr>
          <w:shd w:val="clear" w:color="auto" w:fill="FEFEFE"/>
        </w:rPr>
        <w:t>посредством декларация по образец</w:t>
      </w:r>
      <w:r w:rsidR="00701F6E" w:rsidRPr="002C5AC6">
        <w:rPr>
          <w:shd w:val="clear" w:color="auto" w:fill="FEFEFE"/>
        </w:rPr>
        <w:t xml:space="preserve">. </w:t>
      </w:r>
    </w:p>
    <w:p w:rsidR="0083797B" w:rsidRPr="002C5AC6" w:rsidRDefault="0083797B" w:rsidP="00917336">
      <w:pPr>
        <w:ind w:firstLine="720"/>
        <w:jc w:val="both"/>
        <w:rPr>
          <w:shd w:val="clear" w:color="auto" w:fill="FEFEFE"/>
        </w:rPr>
      </w:pPr>
      <w:r w:rsidRPr="002C5AC6">
        <w:rPr>
          <w:shd w:val="clear" w:color="auto" w:fill="FEFEFE"/>
        </w:rPr>
        <w:t xml:space="preserve">Поради естеството на </w:t>
      </w:r>
      <w:r w:rsidR="009D0109" w:rsidRPr="002C5AC6">
        <w:rPr>
          <w:shd w:val="clear" w:color="auto" w:fill="FEFEFE"/>
        </w:rPr>
        <w:t xml:space="preserve">съдебната дейност </w:t>
      </w:r>
      <w:r w:rsidR="00C300F1" w:rsidRPr="002C5AC6">
        <w:rPr>
          <w:shd w:val="clear" w:color="auto" w:fill="FEFEFE"/>
        </w:rPr>
        <w:t xml:space="preserve">и </w:t>
      </w:r>
      <w:r w:rsidRPr="002C5AC6">
        <w:rPr>
          <w:shd w:val="clear" w:color="auto" w:fill="FEFEFE"/>
        </w:rPr>
        <w:t xml:space="preserve">във връзка с </w:t>
      </w:r>
      <w:r w:rsidR="0028640E" w:rsidRPr="002C5AC6">
        <w:rPr>
          <w:shd w:val="clear" w:color="auto" w:fill="FEFEFE"/>
        </w:rPr>
        <w:t>прилагането на нормите в НПК</w:t>
      </w:r>
      <w:r w:rsidR="001813D2" w:rsidRPr="002C5AC6">
        <w:rPr>
          <w:rStyle w:val="FootnoteReference"/>
          <w:shd w:val="clear" w:color="auto" w:fill="FEFEFE"/>
        </w:rPr>
        <w:footnoteReference w:id="71"/>
      </w:r>
      <w:r w:rsidR="00AF3FBC" w:rsidRPr="002C5AC6">
        <w:rPr>
          <w:shd w:val="clear" w:color="auto" w:fill="FEFEFE"/>
        </w:rPr>
        <w:t>, положеният извънреден труд е</w:t>
      </w:r>
      <w:r w:rsidR="001813D2" w:rsidRPr="002C5AC6">
        <w:rPr>
          <w:shd w:val="clear" w:color="auto" w:fill="FEFEFE"/>
        </w:rPr>
        <w:t xml:space="preserve"> извън </w:t>
      </w:r>
      <w:r w:rsidR="004E4F6B" w:rsidRPr="002C5AC6">
        <w:rPr>
          <w:shd w:val="clear" w:color="auto" w:fill="FEFEFE"/>
        </w:rPr>
        <w:t>максимално допустимите седмични и месечни норми</w:t>
      </w:r>
      <w:r w:rsidR="001813D2" w:rsidRPr="002C5AC6">
        <w:rPr>
          <w:shd w:val="clear" w:color="auto" w:fill="FEFEFE"/>
        </w:rPr>
        <w:t>, посочени в</w:t>
      </w:r>
      <w:r w:rsidR="0028640E" w:rsidRPr="002C5AC6">
        <w:rPr>
          <w:shd w:val="clear" w:color="auto" w:fill="FEFEFE"/>
        </w:rPr>
        <w:t xml:space="preserve"> чл. 146</w:t>
      </w:r>
      <w:r w:rsidR="004E4F6B" w:rsidRPr="002C5AC6">
        <w:rPr>
          <w:shd w:val="clear" w:color="auto" w:fill="FEFEFE"/>
        </w:rPr>
        <w:t>, ал. 2</w:t>
      </w:r>
      <w:r w:rsidR="0028640E" w:rsidRPr="002C5AC6">
        <w:rPr>
          <w:shd w:val="clear" w:color="auto" w:fill="FEFEFE"/>
        </w:rPr>
        <w:t xml:space="preserve"> от </w:t>
      </w:r>
      <w:r w:rsidR="001813D2" w:rsidRPr="002C5AC6">
        <w:rPr>
          <w:shd w:val="clear" w:color="auto" w:fill="FEFEFE"/>
        </w:rPr>
        <w:t>КТ</w:t>
      </w:r>
      <w:r w:rsidR="00AF3FBC" w:rsidRPr="002C5AC6">
        <w:rPr>
          <w:rStyle w:val="FootnoteReference"/>
          <w:shd w:val="clear" w:color="auto" w:fill="FEFEFE"/>
        </w:rPr>
        <w:footnoteReference w:id="72"/>
      </w:r>
      <w:r w:rsidR="0028640E" w:rsidRPr="002C5AC6">
        <w:rPr>
          <w:shd w:val="clear" w:color="auto" w:fill="FEFEFE"/>
        </w:rPr>
        <w:t xml:space="preserve">. </w:t>
      </w:r>
      <w:r w:rsidR="004E4F6B" w:rsidRPr="002C5AC6">
        <w:rPr>
          <w:shd w:val="clear" w:color="auto" w:fill="FEFEFE"/>
        </w:rPr>
        <w:t>Спазено е изискването на чл. 146, ал. 1 от КТ</w:t>
      </w:r>
      <w:r w:rsidR="001813D2" w:rsidRPr="002C5AC6">
        <w:rPr>
          <w:shd w:val="clear" w:color="auto" w:fill="FEFEFE"/>
        </w:rPr>
        <w:t xml:space="preserve"> за </w:t>
      </w:r>
      <w:r w:rsidR="00E00DA0" w:rsidRPr="002C5AC6">
        <w:rPr>
          <w:shd w:val="clear" w:color="auto" w:fill="FEFEFE"/>
        </w:rPr>
        <w:t>не</w:t>
      </w:r>
      <w:r w:rsidR="004E4F6B" w:rsidRPr="002C5AC6">
        <w:rPr>
          <w:shd w:val="clear" w:color="auto" w:fill="FEFEFE"/>
        </w:rPr>
        <w:t xml:space="preserve">надвишаване на </w:t>
      </w:r>
      <w:r w:rsidR="001813D2" w:rsidRPr="002C5AC6">
        <w:rPr>
          <w:shd w:val="clear" w:color="auto" w:fill="FEFEFE"/>
        </w:rPr>
        <w:t>150 часа годишно</w:t>
      </w:r>
      <w:r w:rsidR="00420FD2" w:rsidRPr="002C5AC6">
        <w:rPr>
          <w:rStyle w:val="FootnoteReference"/>
          <w:shd w:val="clear" w:color="auto" w:fill="FEFEFE"/>
        </w:rPr>
        <w:footnoteReference w:id="73"/>
      </w:r>
      <w:r w:rsidR="00F563C2" w:rsidRPr="002C5AC6">
        <w:rPr>
          <w:shd w:val="clear" w:color="auto" w:fill="FEFEFE"/>
        </w:rPr>
        <w:t>.</w:t>
      </w:r>
      <w:r w:rsidR="001813D2" w:rsidRPr="002C5AC6">
        <w:rPr>
          <w:shd w:val="clear" w:color="auto" w:fill="FEFEFE"/>
        </w:rPr>
        <w:t xml:space="preserve"> Изключение </w:t>
      </w:r>
      <w:r w:rsidR="00AB5FD7" w:rsidRPr="002C5AC6">
        <w:rPr>
          <w:shd w:val="clear" w:color="auto" w:fill="FEFEFE"/>
        </w:rPr>
        <w:t xml:space="preserve">за превишаване на годишната  норма </w:t>
      </w:r>
      <w:r w:rsidR="001813D2" w:rsidRPr="002C5AC6">
        <w:rPr>
          <w:shd w:val="clear" w:color="auto" w:fill="FEFEFE"/>
        </w:rPr>
        <w:t xml:space="preserve">има в един случай на командирован съдия от </w:t>
      </w:r>
      <w:r w:rsidR="004E4F6B" w:rsidRPr="002C5AC6">
        <w:rPr>
          <w:shd w:val="clear" w:color="auto" w:fill="FEFEFE"/>
        </w:rPr>
        <w:t>Р</w:t>
      </w:r>
      <w:r w:rsidR="009131FF" w:rsidRPr="002C5AC6">
        <w:rPr>
          <w:shd w:val="clear" w:color="auto" w:fill="FEFEFE"/>
        </w:rPr>
        <w:t>айонен съд</w:t>
      </w:r>
      <w:r w:rsidR="004E4F6B" w:rsidRPr="002C5AC6">
        <w:rPr>
          <w:shd w:val="clear" w:color="auto" w:fill="FEFEFE"/>
        </w:rPr>
        <w:t xml:space="preserve"> Кюстендил, чието</w:t>
      </w:r>
      <w:r w:rsidR="00AB5FD7" w:rsidRPr="002C5AC6">
        <w:rPr>
          <w:shd w:val="clear" w:color="auto" w:fill="FEFEFE"/>
        </w:rPr>
        <w:t xml:space="preserve"> възнаграждение </w:t>
      </w:r>
      <w:r w:rsidR="00C03705" w:rsidRPr="002C5AC6">
        <w:rPr>
          <w:shd w:val="clear" w:color="auto" w:fill="FEFEFE"/>
        </w:rPr>
        <w:t xml:space="preserve">не </w:t>
      </w:r>
      <w:r w:rsidR="00AB5FD7" w:rsidRPr="002C5AC6">
        <w:rPr>
          <w:shd w:val="clear" w:color="auto" w:fill="FEFEFE"/>
        </w:rPr>
        <w:t>се изпла</w:t>
      </w:r>
      <w:r w:rsidR="00F612D2" w:rsidRPr="002C5AC6">
        <w:rPr>
          <w:shd w:val="clear" w:color="auto" w:fill="FEFEFE"/>
        </w:rPr>
        <w:t>ща</w:t>
      </w:r>
      <w:r w:rsidR="00AB5FD7" w:rsidRPr="002C5AC6">
        <w:rPr>
          <w:shd w:val="clear" w:color="auto" w:fill="FEFEFE"/>
        </w:rPr>
        <w:t xml:space="preserve"> от СРС</w:t>
      </w:r>
      <w:r w:rsidR="00F61CF5" w:rsidRPr="002C5AC6">
        <w:rPr>
          <w:shd w:val="clear" w:color="auto" w:fill="FEFEFE"/>
        </w:rPr>
        <w:t xml:space="preserve">, </w:t>
      </w:r>
      <w:r w:rsidR="008467F1" w:rsidRPr="002C5AC6">
        <w:rPr>
          <w:shd w:val="clear" w:color="auto" w:fill="FEFEFE"/>
        </w:rPr>
        <w:t xml:space="preserve">в съответствие с изискванията </w:t>
      </w:r>
      <w:r w:rsidR="00450EB3" w:rsidRPr="002C5AC6">
        <w:rPr>
          <w:shd w:val="clear" w:color="auto" w:fill="FEFEFE"/>
        </w:rPr>
        <w:t>н</w:t>
      </w:r>
      <w:r w:rsidR="008467F1" w:rsidRPr="002C5AC6">
        <w:rPr>
          <w:shd w:val="clear" w:color="auto" w:fill="FEFEFE"/>
        </w:rPr>
        <w:t>а</w:t>
      </w:r>
      <w:r w:rsidR="00450EB3" w:rsidRPr="002C5AC6">
        <w:rPr>
          <w:shd w:val="clear" w:color="auto" w:fill="FEFEFE"/>
        </w:rPr>
        <w:t xml:space="preserve"> чл.</w:t>
      </w:r>
      <w:r w:rsidR="00F612D2" w:rsidRPr="002C5AC6">
        <w:rPr>
          <w:shd w:val="clear" w:color="auto" w:fill="FEFEFE"/>
        </w:rPr>
        <w:t xml:space="preserve"> </w:t>
      </w:r>
      <w:r w:rsidR="00450EB3" w:rsidRPr="002C5AC6">
        <w:rPr>
          <w:shd w:val="clear" w:color="auto" w:fill="FEFEFE"/>
        </w:rPr>
        <w:t>227, ал.</w:t>
      </w:r>
      <w:r w:rsidR="008467F1" w:rsidRPr="002C5AC6">
        <w:rPr>
          <w:shd w:val="clear" w:color="auto" w:fill="FEFEFE"/>
        </w:rPr>
        <w:t xml:space="preserve"> </w:t>
      </w:r>
      <w:r w:rsidR="004C3601" w:rsidRPr="002C5AC6">
        <w:rPr>
          <w:shd w:val="clear" w:color="auto" w:fill="FEFEFE"/>
        </w:rPr>
        <w:t xml:space="preserve">5 </w:t>
      </w:r>
      <w:r w:rsidR="00450EB3" w:rsidRPr="002C5AC6">
        <w:rPr>
          <w:shd w:val="clear" w:color="auto" w:fill="FEFEFE"/>
        </w:rPr>
        <w:t>от ЗСВ</w:t>
      </w:r>
      <w:r w:rsidR="00450EB3" w:rsidRPr="002C5AC6">
        <w:rPr>
          <w:rStyle w:val="FootnoteReference"/>
          <w:shd w:val="clear" w:color="auto" w:fill="FEFEFE"/>
        </w:rPr>
        <w:footnoteReference w:id="74"/>
      </w:r>
      <w:r w:rsidR="00450EB3" w:rsidRPr="002C5AC6">
        <w:rPr>
          <w:shd w:val="clear" w:color="auto" w:fill="FEFEFE"/>
        </w:rPr>
        <w:t>.</w:t>
      </w:r>
    </w:p>
    <w:p w:rsidR="00956C76" w:rsidRPr="002C5AC6" w:rsidRDefault="002048DD" w:rsidP="00917336">
      <w:pPr>
        <w:ind w:firstLine="720"/>
        <w:jc w:val="both"/>
        <w:rPr>
          <w:rFonts w:eastAsia="Calibri"/>
          <w:lang w:eastAsia="en-US"/>
        </w:rPr>
      </w:pPr>
      <w:r w:rsidRPr="002C5AC6">
        <w:rPr>
          <w:shd w:val="clear" w:color="auto" w:fill="FEFEFE"/>
        </w:rPr>
        <w:t xml:space="preserve">В </w:t>
      </w:r>
      <w:r w:rsidR="00956C76" w:rsidRPr="002C5AC6">
        <w:rPr>
          <w:shd w:val="clear" w:color="auto" w:fill="FEFEFE"/>
        </w:rPr>
        <w:t xml:space="preserve">Книгата за отчитане на извънредния труд </w:t>
      </w:r>
      <w:r w:rsidRPr="002C5AC6">
        <w:rPr>
          <w:shd w:val="clear" w:color="auto" w:fill="FEFEFE"/>
        </w:rPr>
        <w:t>не са попълвани всички реквизити</w:t>
      </w:r>
      <w:r w:rsidR="00F612D2" w:rsidRPr="002C5AC6">
        <w:rPr>
          <w:shd w:val="clear" w:color="auto" w:fill="FEFEFE"/>
        </w:rPr>
        <w:t xml:space="preserve">, определени </w:t>
      </w:r>
      <w:r w:rsidR="00F612D2" w:rsidRPr="002C5AC6">
        <w:t>в</w:t>
      </w:r>
      <w:r w:rsidR="00956C76" w:rsidRPr="002C5AC6">
        <w:t xml:space="preserve"> чл. 18, ал. 1 от НРВПО</w:t>
      </w:r>
      <w:r w:rsidR="00FD4595" w:rsidRPr="002C5AC6">
        <w:t xml:space="preserve"> </w:t>
      </w:r>
      <w:r w:rsidR="00956C76" w:rsidRPr="002C5AC6">
        <w:rPr>
          <w:shd w:val="clear" w:color="auto" w:fill="FEFEFE"/>
        </w:rPr>
        <w:t>- н</w:t>
      </w:r>
      <w:r w:rsidR="00956C76" w:rsidRPr="002C5AC6">
        <w:t xml:space="preserve">е е посочен размер на изплатеното трудово възнаграждение; не е посочен </w:t>
      </w:r>
      <w:r w:rsidR="00956C76" w:rsidRPr="002C5AC6">
        <w:rPr>
          <w:highlight w:val="white"/>
          <w:shd w:val="clear" w:color="auto" w:fill="FEFEFE"/>
        </w:rPr>
        <w:t>ден</w:t>
      </w:r>
      <w:r w:rsidR="009131FF" w:rsidRPr="002C5AC6">
        <w:rPr>
          <w:highlight w:val="white"/>
          <w:shd w:val="clear" w:color="auto" w:fill="FEFEFE"/>
        </w:rPr>
        <w:t xml:space="preserve"> </w:t>
      </w:r>
      <w:r w:rsidR="00956C76" w:rsidRPr="002C5AC6">
        <w:rPr>
          <w:highlight w:val="white"/>
          <w:shd w:val="clear" w:color="auto" w:fill="FEFEFE"/>
        </w:rPr>
        <w:t>, определен за почивка по реда на чл. 15, ал. 2</w:t>
      </w:r>
      <w:r w:rsidR="00956C76" w:rsidRPr="002C5AC6">
        <w:rPr>
          <w:shd w:val="clear" w:color="auto" w:fill="FEFEFE"/>
        </w:rPr>
        <w:t xml:space="preserve"> от НРВПО; </w:t>
      </w:r>
      <w:r w:rsidR="00956C76" w:rsidRPr="002C5AC6">
        <w:rPr>
          <w:shd w:val="clear" w:color="auto" w:fill="FEFEFE"/>
        </w:rPr>
        <w:lastRenderedPageBreak/>
        <w:t>в</w:t>
      </w:r>
      <w:r w:rsidR="00956C76" w:rsidRPr="002C5AC6">
        <w:rPr>
          <w:rFonts w:eastAsia="Calibri"/>
          <w:lang w:eastAsia="en-US"/>
        </w:rPr>
        <w:t>место номера на заповедта за полагане на извънреден труд, в книгата е записан номера на заповедта за изплащане на вече положения такъв</w:t>
      </w:r>
      <w:r w:rsidR="00D70FA8" w:rsidRPr="002C5AC6">
        <w:rPr>
          <w:rStyle w:val="FootnoteReference"/>
          <w:rFonts w:eastAsia="Calibri"/>
          <w:lang w:eastAsia="en-US"/>
        </w:rPr>
        <w:footnoteReference w:id="75"/>
      </w:r>
      <w:r w:rsidR="00F563C2" w:rsidRPr="002C5AC6">
        <w:rPr>
          <w:rFonts w:eastAsia="Calibri"/>
          <w:lang w:eastAsia="en-US"/>
        </w:rPr>
        <w:t>.</w:t>
      </w:r>
    </w:p>
    <w:p w:rsidR="00956C76" w:rsidRPr="002C5AC6" w:rsidRDefault="00956C76" w:rsidP="00917336">
      <w:pPr>
        <w:ind w:firstLine="720"/>
        <w:jc w:val="both"/>
      </w:pPr>
      <w:r w:rsidRPr="002C5AC6">
        <w:t>В съответствие с чл. 149, ал. 2 от Кодекса на труда, на 13.01.2015</w:t>
      </w:r>
      <w:r w:rsidR="00FD4595" w:rsidRPr="002C5AC6">
        <w:t xml:space="preserve"> </w:t>
      </w:r>
      <w:r w:rsidRPr="002C5AC6">
        <w:t xml:space="preserve">г. до </w:t>
      </w:r>
      <w:r w:rsidR="003F6ACA" w:rsidRPr="002C5AC6">
        <w:t xml:space="preserve">инспекцията по труда </w:t>
      </w:r>
      <w:r w:rsidRPr="002C5AC6">
        <w:t>е изпратено уведомление за положения през 2014</w:t>
      </w:r>
      <w:r w:rsidR="009C3BCC" w:rsidRPr="002C5AC6">
        <w:t xml:space="preserve"> </w:t>
      </w:r>
      <w:r w:rsidRPr="002C5AC6">
        <w:t>г. извънреден труд</w:t>
      </w:r>
      <w:r w:rsidRPr="002C5AC6">
        <w:rPr>
          <w:rStyle w:val="FootnoteReference"/>
        </w:rPr>
        <w:footnoteReference w:id="76"/>
      </w:r>
      <w:r w:rsidRPr="002C5AC6">
        <w:t>.</w:t>
      </w:r>
    </w:p>
    <w:p w:rsidR="007D625A" w:rsidRPr="002C5AC6" w:rsidRDefault="00993EF5" w:rsidP="007753FC">
      <w:pPr>
        <w:spacing w:before="120"/>
        <w:ind w:firstLine="709"/>
        <w:jc w:val="both"/>
        <w:rPr>
          <w:i/>
        </w:rPr>
      </w:pPr>
      <w:r w:rsidRPr="002C5AC6">
        <w:rPr>
          <w:i/>
        </w:rPr>
        <w:t>В СРС са въвед</w:t>
      </w:r>
      <w:r w:rsidR="006029FD" w:rsidRPr="002C5AC6">
        <w:rPr>
          <w:i/>
        </w:rPr>
        <w:t>ен</w:t>
      </w:r>
      <w:r w:rsidRPr="002C5AC6">
        <w:rPr>
          <w:i/>
        </w:rPr>
        <w:t xml:space="preserve">и контролни дейности, които минимизират риска от неправилно </w:t>
      </w:r>
      <w:r w:rsidR="003F6ACA" w:rsidRPr="002C5AC6">
        <w:rPr>
          <w:i/>
        </w:rPr>
        <w:t xml:space="preserve">определяне и изплащане </w:t>
      </w:r>
      <w:r w:rsidRPr="002C5AC6">
        <w:rPr>
          <w:i/>
        </w:rPr>
        <w:t>на възна</w:t>
      </w:r>
      <w:r w:rsidR="00FD4595" w:rsidRPr="002C5AC6">
        <w:rPr>
          <w:i/>
        </w:rPr>
        <w:t>гражденията</w:t>
      </w:r>
      <w:r w:rsidRPr="002C5AC6">
        <w:rPr>
          <w:i/>
        </w:rPr>
        <w:t>.</w:t>
      </w:r>
      <w:r w:rsidR="00C61C69" w:rsidRPr="002C5AC6">
        <w:rPr>
          <w:i/>
        </w:rPr>
        <w:t xml:space="preserve"> </w:t>
      </w:r>
      <w:r w:rsidRPr="002C5AC6">
        <w:rPr>
          <w:i/>
        </w:rPr>
        <w:t>За одитирания период е установ</w:t>
      </w:r>
      <w:r w:rsidR="00273705" w:rsidRPr="002C5AC6">
        <w:rPr>
          <w:i/>
        </w:rPr>
        <w:t xml:space="preserve">ено съответствие с нормативните изисквания при определяне и </w:t>
      </w:r>
      <w:r w:rsidR="00806AA9">
        <w:rPr>
          <w:i/>
        </w:rPr>
        <w:t>изплащането</w:t>
      </w:r>
      <w:r w:rsidR="00273705" w:rsidRPr="002C5AC6">
        <w:rPr>
          <w:i/>
        </w:rPr>
        <w:t xml:space="preserve"> </w:t>
      </w:r>
      <w:r w:rsidRPr="002C5AC6">
        <w:rPr>
          <w:i/>
        </w:rPr>
        <w:t>на средства за заплати, възнаграждения и</w:t>
      </w:r>
      <w:r w:rsidR="00273705" w:rsidRPr="002C5AC6">
        <w:rPr>
          <w:i/>
        </w:rPr>
        <w:t xml:space="preserve"> други</w:t>
      </w:r>
      <w:r w:rsidRPr="002C5AC6">
        <w:rPr>
          <w:i/>
        </w:rPr>
        <w:t xml:space="preserve"> плащания на персонала в СРС.</w:t>
      </w:r>
      <w:r w:rsidR="00806AA9">
        <w:rPr>
          <w:i/>
        </w:rPr>
        <w:t xml:space="preserve"> </w:t>
      </w:r>
    </w:p>
    <w:p w:rsidR="00E841B1" w:rsidRPr="002C5AC6" w:rsidRDefault="008B45E1" w:rsidP="00A90676">
      <w:pPr>
        <w:ind w:firstLine="709"/>
        <w:jc w:val="both"/>
        <w:rPr>
          <w:i/>
          <w:iCs/>
        </w:rPr>
      </w:pPr>
      <w:r>
        <w:rPr>
          <w:i/>
        </w:rPr>
        <w:t>Установени са</w:t>
      </w:r>
      <w:r w:rsidRPr="002C5AC6">
        <w:rPr>
          <w:i/>
        </w:rPr>
        <w:t xml:space="preserve"> частичн</w:t>
      </w:r>
      <w:r>
        <w:rPr>
          <w:i/>
        </w:rPr>
        <w:t>и</w:t>
      </w:r>
      <w:r w:rsidRPr="002C5AC6">
        <w:rPr>
          <w:i/>
        </w:rPr>
        <w:t xml:space="preserve"> несъответстви</w:t>
      </w:r>
      <w:r>
        <w:rPr>
          <w:i/>
        </w:rPr>
        <w:t>я</w:t>
      </w:r>
      <w:r w:rsidRPr="002C5AC6">
        <w:rPr>
          <w:i/>
        </w:rPr>
        <w:t xml:space="preserve"> с правната рамка </w:t>
      </w:r>
      <w:r>
        <w:rPr>
          <w:i/>
        </w:rPr>
        <w:t>п</w:t>
      </w:r>
      <w:r w:rsidR="007753FC" w:rsidRPr="002C5AC6">
        <w:rPr>
          <w:i/>
        </w:rPr>
        <w:t>ри документиране полагането и отчитането на извънредния труд</w:t>
      </w:r>
      <w:r>
        <w:rPr>
          <w:i/>
        </w:rPr>
        <w:t xml:space="preserve"> и при извършване на </w:t>
      </w:r>
      <w:r w:rsidR="0054246A" w:rsidRPr="002C5AC6">
        <w:rPr>
          <w:i/>
        </w:rPr>
        <w:t>предварителен контрол върху разходите за заплати и възнаграждения</w:t>
      </w:r>
      <w:r>
        <w:rPr>
          <w:i/>
        </w:rPr>
        <w:t>.</w:t>
      </w:r>
      <w:r w:rsidR="00956C76" w:rsidRPr="002C5AC6">
        <w:rPr>
          <w:i/>
        </w:rPr>
        <w:t xml:space="preserve"> </w:t>
      </w:r>
      <w:r w:rsidR="00E841B1" w:rsidRPr="002C5AC6">
        <w:rPr>
          <w:i/>
          <w:iCs/>
        </w:rPr>
        <w:t xml:space="preserve">Установените несъответствия са </w:t>
      </w:r>
      <w:r w:rsidR="004472AF" w:rsidRPr="002C5AC6">
        <w:rPr>
          <w:i/>
          <w:iCs/>
        </w:rPr>
        <w:t>несъществени и</w:t>
      </w:r>
      <w:r w:rsidR="000D074F" w:rsidRPr="002C5AC6">
        <w:rPr>
          <w:i/>
          <w:iCs/>
        </w:rPr>
        <w:t xml:space="preserve"> не водят до извод за ненадеждност на контролните процедури като цяло.</w:t>
      </w:r>
    </w:p>
    <w:p w:rsidR="005729DD" w:rsidRPr="002C5AC6" w:rsidRDefault="00E661C8" w:rsidP="007753FC">
      <w:pPr>
        <w:pStyle w:val="NoSpacing"/>
        <w:spacing w:before="120" w:after="120"/>
        <w:ind w:firstLine="720"/>
        <w:jc w:val="both"/>
        <w:rPr>
          <w:b/>
        </w:rPr>
      </w:pPr>
      <w:r w:rsidRPr="002C5AC6">
        <w:rPr>
          <w:b/>
        </w:rPr>
        <w:t>І</w:t>
      </w:r>
      <w:r w:rsidR="004472AF" w:rsidRPr="002C5AC6">
        <w:rPr>
          <w:b/>
        </w:rPr>
        <w:t>V</w:t>
      </w:r>
      <w:r w:rsidR="005729DD" w:rsidRPr="002C5AC6">
        <w:rPr>
          <w:b/>
        </w:rPr>
        <w:t>. Разходи за вещи лица</w:t>
      </w:r>
    </w:p>
    <w:p w:rsidR="005729DD" w:rsidRPr="002C5AC6" w:rsidRDefault="005729DD" w:rsidP="007753FC">
      <w:pPr>
        <w:pStyle w:val="NoSpacing"/>
        <w:spacing w:before="120" w:after="120"/>
        <w:ind w:firstLine="720"/>
        <w:jc w:val="both"/>
        <w:rPr>
          <w:b/>
        </w:rPr>
      </w:pPr>
      <w:r w:rsidRPr="002C5AC6">
        <w:rPr>
          <w:b/>
        </w:rPr>
        <w:t>1. Описание на дейността, правна рамка</w:t>
      </w:r>
    </w:p>
    <w:p w:rsidR="00E5594B" w:rsidRPr="002C5AC6" w:rsidRDefault="004472AF" w:rsidP="008B24DB">
      <w:pPr>
        <w:pStyle w:val="NoSpacing"/>
        <w:ind w:firstLine="720"/>
        <w:jc w:val="both"/>
      </w:pPr>
      <w:r w:rsidRPr="002C5AC6">
        <w:t>В</w:t>
      </w:r>
      <w:r w:rsidR="005729DD" w:rsidRPr="002C5AC6">
        <w:t xml:space="preserve"> съответствие с</w:t>
      </w:r>
      <w:r w:rsidRPr="002C5AC6">
        <w:t xml:space="preserve"> изискванията на</w:t>
      </w:r>
      <w:r w:rsidR="005729DD" w:rsidRPr="002C5AC6">
        <w:t xml:space="preserve"> чл. 144 от НПК, чл. 195 от ГПК и Глава двадесет и първа </w:t>
      </w:r>
      <w:r w:rsidR="009824CC" w:rsidRPr="002C5AC6">
        <w:t>„</w:t>
      </w:r>
      <w:r w:rsidR="005729DD" w:rsidRPr="002C5AC6">
        <w:t>Вещи лица</w:t>
      </w:r>
      <w:r w:rsidR="009824CC" w:rsidRPr="002C5AC6">
        <w:t>“</w:t>
      </w:r>
      <w:r w:rsidR="00E946FF" w:rsidRPr="002C5AC6">
        <w:rPr>
          <w:rStyle w:val="FootnoteReference"/>
        </w:rPr>
        <w:footnoteReference w:id="77"/>
      </w:r>
      <w:r w:rsidR="005729DD" w:rsidRPr="002C5AC6">
        <w:t xml:space="preserve"> от </w:t>
      </w:r>
      <w:r w:rsidR="00450EB3" w:rsidRPr="002C5AC6">
        <w:t xml:space="preserve">ЗСВ съдът назначава експертизи, </w:t>
      </w:r>
      <w:r w:rsidR="00E0498C" w:rsidRPr="002C5AC6">
        <w:t>които се извършват от специалисти, утвърдени за вещи лица.</w:t>
      </w:r>
      <w:r w:rsidRPr="002C5AC6">
        <w:t xml:space="preserve"> </w:t>
      </w:r>
      <w:r w:rsidR="003E48DA" w:rsidRPr="002C5AC6">
        <w:t>Възнагражденията им се определят от съда с оглед на извършената работа и направените разноски.</w:t>
      </w:r>
      <w:r w:rsidR="00965E51" w:rsidRPr="002C5AC6">
        <w:t xml:space="preserve">  </w:t>
      </w:r>
    </w:p>
    <w:p w:rsidR="005729DD" w:rsidRPr="002C5AC6" w:rsidRDefault="005729DD" w:rsidP="001D1CBE">
      <w:pPr>
        <w:pStyle w:val="NoSpacing"/>
        <w:ind w:firstLine="720"/>
        <w:jc w:val="both"/>
      </w:pPr>
      <w:r w:rsidRPr="002C5AC6">
        <w:t>Условията и редът за извършването на съдебномедицинските, съдебно-психиатричните и съдебно-психологичните експертизи, включително и за заплащането на разходите на лечебните заведения, се определят с наредба, издадена от министъра на правосъдието, министъра на вътрешните работи и министъра на здравеопазването, съгласувано с Висшия съдебен съвет</w:t>
      </w:r>
      <w:r w:rsidR="003E48DA" w:rsidRPr="002C5AC6">
        <w:rPr>
          <w:rStyle w:val="FootnoteReference"/>
        </w:rPr>
        <w:footnoteReference w:id="78"/>
      </w:r>
      <w:r w:rsidRPr="002C5AC6">
        <w:t>.</w:t>
      </w:r>
    </w:p>
    <w:p w:rsidR="005729DD" w:rsidRPr="002C5AC6" w:rsidDel="00E0498C" w:rsidRDefault="005729DD" w:rsidP="00F61E23">
      <w:pPr>
        <w:pStyle w:val="NoSpacing"/>
        <w:ind w:firstLine="720"/>
        <w:jc w:val="both"/>
      </w:pPr>
      <w:r w:rsidRPr="002C5AC6">
        <w:t xml:space="preserve">През одитирания период редът за назначаването </w:t>
      </w:r>
      <w:r w:rsidR="008B45E1" w:rsidRPr="002C5AC6">
        <w:t xml:space="preserve">на вещите лица </w:t>
      </w:r>
      <w:r w:rsidRPr="002C5AC6">
        <w:t xml:space="preserve">и изплащането на хонорарите </w:t>
      </w:r>
      <w:r w:rsidR="008B45E1">
        <w:t xml:space="preserve">им </w:t>
      </w:r>
      <w:r w:rsidRPr="002C5AC6">
        <w:t xml:space="preserve">е определен с Наредба № 3 от 30.11.2012 г. за вписването, квалификацията и възнагражденията на вещите лица </w:t>
      </w:r>
      <w:r w:rsidR="00E0498C" w:rsidRPr="002C5AC6">
        <w:t>(</w:t>
      </w:r>
      <w:r w:rsidRPr="002C5AC6">
        <w:t>НВКВВЛ № 3</w:t>
      </w:r>
      <w:r w:rsidR="00B814F7" w:rsidRPr="002C5AC6">
        <w:t>,</w:t>
      </w:r>
      <w:r w:rsidR="00D47720" w:rsidRPr="002C5AC6">
        <w:t xml:space="preserve"> отменена</w:t>
      </w:r>
      <w:r w:rsidR="00E946FF" w:rsidRPr="002C5AC6">
        <w:t xml:space="preserve"> с Решение на В</w:t>
      </w:r>
      <w:r w:rsidR="00230A0D">
        <w:t>ърховен административен съд</w:t>
      </w:r>
      <w:r w:rsidR="00E946FF" w:rsidRPr="002C5AC6">
        <w:t xml:space="preserve"> № 2305 от 18.02.2014 г., обн. ДВ, бр.</w:t>
      </w:r>
      <w:r w:rsidR="008B45E1">
        <w:t xml:space="preserve"> </w:t>
      </w:r>
      <w:r w:rsidR="00E946FF" w:rsidRPr="002C5AC6">
        <w:t>86 от 17.10.2014 г., в сила от 17.10.2014 г.)</w:t>
      </w:r>
      <w:r w:rsidR="00851D73" w:rsidRPr="002C5AC6">
        <w:rPr>
          <w:rStyle w:val="FootnoteReference"/>
        </w:rPr>
        <w:footnoteReference w:id="79"/>
      </w:r>
      <w:r w:rsidR="00B814F7" w:rsidRPr="002C5AC6">
        <w:t>.</w:t>
      </w:r>
      <w:r w:rsidRPr="002C5AC6">
        <w:t xml:space="preserve"> </w:t>
      </w:r>
      <w:r w:rsidR="008F3C31" w:rsidRPr="002C5AC6">
        <w:t xml:space="preserve">Вещите лица се назначават от органа, възложил експертизата, </w:t>
      </w:r>
      <w:r w:rsidR="00B814F7" w:rsidRPr="002C5AC6">
        <w:t xml:space="preserve">който ги избира </w:t>
      </w:r>
      <w:r w:rsidR="008F3C31" w:rsidRPr="002C5AC6">
        <w:t>от съответния списък на специалисти, утвърден</w:t>
      </w:r>
      <w:r w:rsidR="00D90FEB" w:rsidRPr="002C5AC6">
        <w:t>и за вещи лица</w:t>
      </w:r>
      <w:r w:rsidR="00D15EEE" w:rsidRPr="002C5AC6">
        <w:rPr>
          <w:rStyle w:val="FootnoteReference"/>
        </w:rPr>
        <w:footnoteReference w:id="80"/>
      </w:r>
      <w:r w:rsidR="00D90FEB" w:rsidRPr="002C5AC6">
        <w:t>.</w:t>
      </w:r>
    </w:p>
    <w:p w:rsidR="005729DD" w:rsidRPr="002C5AC6" w:rsidRDefault="002A135B" w:rsidP="00F61E23">
      <w:pPr>
        <w:pStyle w:val="NoSpacing"/>
        <w:ind w:firstLine="720"/>
        <w:jc w:val="both"/>
      </w:pPr>
      <w:r w:rsidRPr="002C5AC6">
        <w:t xml:space="preserve">През одитирания период </w:t>
      </w:r>
      <w:r w:rsidR="004A07CE" w:rsidRPr="002C5AC6">
        <w:t xml:space="preserve">писмено </w:t>
      </w:r>
      <w:r w:rsidRPr="002C5AC6">
        <w:t>н</w:t>
      </w:r>
      <w:r w:rsidR="005729DD" w:rsidRPr="002C5AC6">
        <w:t>е с</w:t>
      </w:r>
      <w:r w:rsidR="00E0498C" w:rsidRPr="002C5AC6">
        <w:t>а</w:t>
      </w:r>
      <w:r w:rsidR="005729DD" w:rsidRPr="002C5AC6">
        <w:t xml:space="preserve"> разписани </w:t>
      </w:r>
      <w:r w:rsidR="00E0498C" w:rsidRPr="002C5AC6">
        <w:t xml:space="preserve">и утвърдени </w:t>
      </w:r>
      <w:r w:rsidR="005729DD" w:rsidRPr="002C5AC6">
        <w:t>вътрешни правила</w:t>
      </w:r>
      <w:r w:rsidR="005729DD" w:rsidRPr="002C5AC6">
        <w:rPr>
          <w:vertAlign w:val="superscript"/>
        </w:rPr>
        <w:footnoteReference w:id="81"/>
      </w:r>
      <w:r w:rsidR="005729DD" w:rsidRPr="002C5AC6">
        <w:t xml:space="preserve">, регламентиращи </w:t>
      </w:r>
      <w:r w:rsidRPr="002C5AC6">
        <w:t xml:space="preserve">процеса </w:t>
      </w:r>
      <w:r w:rsidR="005729DD" w:rsidRPr="002C5AC6">
        <w:t xml:space="preserve">по определяне и изплащане на възнагражденията на вещите лица в СРС, предвидените контролни процедури, срокове и отговорни </w:t>
      </w:r>
      <w:r w:rsidR="00DC2A7E" w:rsidRPr="002C5AC6">
        <w:t xml:space="preserve">длъжностни </w:t>
      </w:r>
      <w:r w:rsidR="00777019" w:rsidRPr="002C5AC6">
        <w:t>лица</w:t>
      </w:r>
      <w:r w:rsidR="00E0498C" w:rsidRPr="002C5AC6">
        <w:rPr>
          <w:rStyle w:val="FootnoteReference"/>
        </w:rPr>
        <w:footnoteReference w:id="82"/>
      </w:r>
      <w:r w:rsidR="005729DD" w:rsidRPr="002C5AC6">
        <w:t xml:space="preserve">. </w:t>
      </w:r>
    </w:p>
    <w:p w:rsidR="005729DD" w:rsidRPr="002C5AC6" w:rsidRDefault="005729DD" w:rsidP="00F61E23">
      <w:pPr>
        <w:pStyle w:val="NoSpacing"/>
        <w:ind w:firstLine="720"/>
        <w:jc w:val="both"/>
      </w:pPr>
      <w:r w:rsidRPr="002C5AC6">
        <w:t xml:space="preserve">Възнаграждението на вещото лице се определя от </w:t>
      </w:r>
      <w:r w:rsidR="00E946FF" w:rsidRPr="002C5AC6">
        <w:t>органа, възложил/назначил експертизата (</w:t>
      </w:r>
      <w:r w:rsidRPr="002C5AC6">
        <w:t xml:space="preserve">съдията – докладчик </w:t>
      </w:r>
      <w:r w:rsidR="00E946FF" w:rsidRPr="002C5AC6">
        <w:t xml:space="preserve">по делото) </w:t>
      </w:r>
      <w:r w:rsidRPr="002C5AC6">
        <w:t>на база представена справка-декларация</w:t>
      </w:r>
      <w:r w:rsidR="00E946FF" w:rsidRPr="002C5AC6">
        <w:t xml:space="preserve"> от вещото лице и при отчитане обстоятелствата по чл. 29, ал. 1 от НВКВВЛ (отм.)</w:t>
      </w:r>
      <w:r w:rsidRPr="002C5AC6">
        <w:t>.</w:t>
      </w:r>
      <w:r w:rsidR="00965E51" w:rsidRPr="002C5AC6">
        <w:t xml:space="preserve"> </w:t>
      </w:r>
      <w:r w:rsidRPr="002C5AC6">
        <w:t xml:space="preserve">При определяне на възнаграждението, органът възложил експертизата, съобразява и преценява </w:t>
      </w:r>
      <w:r w:rsidRPr="002C5AC6">
        <w:lastRenderedPageBreak/>
        <w:t xml:space="preserve">сложността и спецификата на поставените задачи, компетентността и степента на квалификация на вещото лице, времето, необходимо за извършване на експертизата, обема на извършената работа, необходимите разходи за извършването на експертизата (за използвани материали, консумативи, пособия, технически средства и др.), както и други условия, оказващи влияние върху заплащането за извършената работа. </w:t>
      </w:r>
    </w:p>
    <w:p w:rsidR="00D57054" w:rsidRDefault="00D57054" w:rsidP="00B814F7">
      <w:pPr>
        <w:spacing w:before="120" w:after="120"/>
        <w:ind w:firstLine="709"/>
        <w:jc w:val="both"/>
        <w:rPr>
          <w:b/>
          <w:lang w:val="en-US"/>
        </w:rPr>
      </w:pPr>
    </w:p>
    <w:p w:rsidR="00D57054" w:rsidRDefault="00D57054" w:rsidP="00B814F7">
      <w:pPr>
        <w:spacing w:before="120" w:after="120"/>
        <w:ind w:firstLine="709"/>
        <w:jc w:val="both"/>
        <w:rPr>
          <w:b/>
          <w:lang w:val="en-US"/>
        </w:rPr>
      </w:pPr>
    </w:p>
    <w:p w:rsidR="007E2571" w:rsidRPr="002C5AC6" w:rsidRDefault="007E2571" w:rsidP="00B814F7">
      <w:pPr>
        <w:spacing w:before="120" w:after="120"/>
        <w:ind w:firstLine="709"/>
        <w:jc w:val="both"/>
        <w:rPr>
          <w:b/>
        </w:rPr>
      </w:pPr>
      <w:r w:rsidRPr="002C5AC6">
        <w:rPr>
          <w:b/>
        </w:rPr>
        <w:t>2. Разходи за вещи лица</w:t>
      </w:r>
    </w:p>
    <w:p w:rsidR="005729DD" w:rsidRPr="002C5AC6" w:rsidRDefault="005729DD" w:rsidP="007E2571">
      <w:pPr>
        <w:pStyle w:val="NoSpacing"/>
        <w:ind w:firstLine="720"/>
        <w:jc w:val="both"/>
      </w:pPr>
      <w:r w:rsidRPr="002C5AC6">
        <w:t>Възнаграждението на вещото лице</w:t>
      </w:r>
      <w:r w:rsidR="00646158" w:rsidRPr="002C5AC6">
        <w:t xml:space="preserve"> в зависимост от вида на делото</w:t>
      </w:r>
      <w:r w:rsidRPr="002C5AC6">
        <w:t xml:space="preserve"> се изплаща със средства от депозит </w:t>
      </w:r>
      <w:r w:rsidR="00646158" w:rsidRPr="002C5AC6">
        <w:t xml:space="preserve">на страните по делото </w:t>
      </w:r>
      <w:r w:rsidRPr="002C5AC6">
        <w:t>или със средства от бюджета</w:t>
      </w:r>
      <w:r w:rsidR="00646158" w:rsidRPr="002C5AC6">
        <w:t xml:space="preserve"> на съда</w:t>
      </w:r>
      <w:r w:rsidRPr="002C5AC6">
        <w:t>. През 2014 г. в СРС са извършени разходи от бюджета за възнаграждения на вещи лица в размер 638</w:t>
      </w:r>
      <w:r w:rsidR="00114D02">
        <w:t> </w:t>
      </w:r>
      <w:r w:rsidRPr="002C5AC6">
        <w:t>123</w:t>
      </w:r>
      <w:r w:rsidR="00114D02">
        <w:t> </w:t>
      </w:r>
      <w:r w:rsidRPr="002C5AC6">
        <w:t xml:space="preserve">лв. От тях 58 627 лв. са изплатени </w:t>
      </w:r>
      <w:r w:rsidR="004A07CE" w:rsidRPr="002C5AC6">
        <w:t xml:space="preserve">в брой от </w:t>
      </w:r>
      <w:r w:rsidRPr="002C5AC6">
        <w:t>каса</w:t>
      </w:r>
      <w:r w:rsidR="004A07CE" w:rsidRPr="002C5AC6">
        <w:t>та на СРС</w:t>
      </w:r>
      <w:r w:rsidRPr="002C5AC6">
        <w:t xml:space="preserve"> и 579 496 лв.</w:t>
      </w:r>
      <w:r w:rsidR="00813C61" w:rsidRPr="002C5AC6">
        <w:t xml:space="preserve"> - </w:t>
      </w:r>
      <w:r w:rsidRPr="002C5AC6">
        <w:t xml:space="preserve">по банков път. </w:t>
      </w:r>
    </w:p>
    <w:p w:rsidR="005729DD" w:rsidRPr="002C5AC6" w:rsidRDefault="005729DD" w:rsidP="007E2571">
      <w:pPr>
        <w:ind w:firstLine="720"/>
        <w:jc w:val="both"/>
      </w:pPr>
      <w:r w:rsidRPr="002C5AC6">
        <w:t xml:space="preserve">Изплатените възнаграждения на вещи лица, след внесен депозит, са </w:t>
      </w:r>
      <w:r w:rsidR="000C3CEE" w:rsidRPr="002C5AC6">
        <w:t>з</w:t>
      </w:r>
      <w:r w:rsidRPr="002C5AC6">
        <w:t xml:space="preserve">а 3 064 992 лв. от тях 1 232 722 лв. </w:t>
      </w:r>
      <w:r w:rsidR="000C3CEE" w:rsidRPr="002C5AC6">
        <w:t>са платени</w:t>
      </w:r>
      <w:r w:rsidR="00EB494E" w:rsidRPr="002C5AC6">
        <w:t xml:space="preserve"> </w:t>
      </w:r>
      <w:r w:rsidR="004A07CE" w:rsidRPr="002C5AC6">
        <w:t xml:space="preserve">в брой от </w:t>
      </w:r>
      <w:r w:rsidRPr="002C5AC6">
        <w:t>каса</w:t>
      </w:r>
      <w:r w:rsidR="004A07CE" w:rsidRPr="002C5AC6">
        <w:t>та</w:t>
      </w:r>
      <w:r w:rsidRPr="002C5AC6">
        <w:t xml:space="preserve"> </w:t>
      </w:r>
      <w:r w:rsidR="004A07CE" w:rsidRPr="002C5AC6">
        <w:t xml:space="preserve">на СРС </w:t>
      </w:r>
      <w:r w:rsidRPr="002C5AC6">
        <w:t xml:space="preserve">и 1 832 270 лв. </w:t>
      </w:r>
      <w:r w:rsidR="000C3CEE" w:rsidRPr="002C5AC6">
        <w:t>-</w:t>
      </w:r>
      <w:r w:rsidRPr="002C5AC6">
        <w:t xml:space="preserve"> по банков път</w:t>
      </w:r>
      <w:r w:rsidRPr="002C5AC6">
        <w:rPr>
          <w:vertAlign w:val="superscript"/>
        </w:rPr>
        <w:footnoteReference w:id="83"/>
      </w:r>
      <w:r w:rsidR="000C3CEE" w:rsidRPr="002C5AC6">
        <w:t>.</w:t>
      </w:r>
      <w:r w:rsidRPr="002C5AC6">
        <w:t xml:space="preserve">  </w:t>
      </w:r>
    </w:p>
    <w:p w:rsidR="005D758A" w:rsidRPr="002C5AC6" w:rsidRDefault="005D758A" w:rsidP="007E2571">
      <w:pPr>
        <w:pStyle w:val="NoSpacing"/>
        <w:ind w:firstLine="720"/>
        <w:jc w:val="both"/>
      </w:pPr>
      <w:r w:rsidRPr="002C5AC6">
        <w:t xml:space="preserve">За периода от 01.01.2014 г. до 31.12.2014 г. </w:t>
      </w:r>
      <w:r w:rsidR="00450B91" w:rsidRPr="002C5AC6">
        <w:t xml:space="preserve">за управление и документиране на процеса по назначаване на веши лица и определяне и изплащане на тяхното възнаграждение </w:t>
      </w:r>
      <w:r w:rsidRPr="002C5AC6">
        <w:t>в СРС са използвани програмни продукти „Конто 66“, автоматизираната система за РКО</w:t>
      </w:r>
      <w:r w:rsidR="00A67AD8" w:rsidRPr="002C5AC6">
        <w:t xml:space="preserve"> 98а</w:t>
      </w:r>
      <w:r w:rsidRPr="002C5AC6">
        <w:t xml:space="preserve"> и програмния продукт за заплати и граждански договори „Аладин“, към който има модул за възнагражденията на вещите лица</w:t>
      </w:r>
      <w:r w:rsidR="00A63C96" w:rsidRPr="002C5AC6">
        <w:rPr>
          <w:rStyle w:val="FootnoteReference"/>
        </w:rPr>
        <w:footnoteReference w:id="84"/>
      </w:r>
      <w:r w:rsidRPr="002C5AC6">
        <w:t>.</w:t>
      </w:r>
    </w:p>
    <w:p w:rsidR="005729DD" w:rsidRPr="002C5AC6" w:rsidRDefault="005729DD" w:rsidP="007E2571">
      <w:pPr>
        <w:ind w:firstLine="720"/>
        <w:jc w:val="both"/>
      </w:pPr>
      <w:r w:rsidRPr="002C5AC6">
        <w:t>Извърш</w:t>
      </w:r>
      <w:r w:rsidR="00646158" w:rsidRPr="002C5AC6">
        <w:t>ена</w:t>
      </w:r>
      <w:r w:rsidRPr="002C5AC6">
        <w:t xml:space="preserve"> е проверка чрез случаен подбор на 65 броя плащания </w:t>
      </w:r>
      <w:r w:rsidR="00080D97" w:rsidRPr="002C5AC6">
        <w:t xml:space="preserve">на възнаграждения на вещи лица </w:t>
      </w:r>
      <w:r w:rsidRPr="002C5AC6">
        <w:t>през 2014 г., от които 46 броя</w:t>
      </w:r>
      <w:r w:rsidR="00144CF8" w:rsidRPr="002C5AC6">
        <w:rPr>
          <w:rStyle w:val="FootnoteReference"/>
        </w:rPr>
        <w:footnoteReference w:id="85"/>
      </w:r>
      <w:r w:rsidRPr="002C5AC6">
        <w:t xml:space="preserve"> от бюджета на съда и 19 броя от внесен депозит. </w:t>
      </w:r>
    </w:p>
    <w:p w:rsidR="005729DD" w:rsidRPr="002C5AC6" w:rsidRDefault="005729DD" w:rsidP="007E2571">
      <w:pPr>
        <w:ind w:firstLine="720"/>
        <w:jc w:val="both"/>
      </w:pPr>
      <w:r w:rsidRPr="002C5AC6">
        <w:t>Установ</w:t>
      </w:r>
      <w:r w:rsidR="00F2648C" w:rsidRPr="002C5AC6">
        <w:t>ено</w:t>
      </w:r>
      <w:r w:rsidRPr="002C5AC6">
        <w:t xml:space="preserve"> е съответствие с изискването на чл. 14, Глава Трета „Ред и срокове за предложения за включване и промени на списъците на специалистите, утвърдени за вещи лица, ред за отписване на вещите лица“ от НВКВВЛ № 3 (отм.). </w:t>
      </w:r>
      <w:r w:rsidR="00D15EEE" w:rsidRPr="002C5AC6">
        <w:t>За вещи лица са определяни лица от списъка на специалистите, утвърдени за вещи лица, с което са спазени изискванията на чл. 396, ал. 1 от ЗСВ.</w:t>
      </w:r>
    </w:p>
    <w:p w:rsidR="005729DD" w:rsidRPr="002C5AC6" w:rsidRDefault="005729DD" w:rsidP="007E2571">
      <w:pPr>
        <w:ind w:firstLine="720"/>
        <w:jc w:val="both"/>
      </w:pPr>
      <w:r w:rsidRPr="002C5AC6">
        <w:t xml:space="preserve">Разходът за възнаграждението на вещото лице за извършена експертиза, материали, консумативи, пособия, технически средства, машинно и компютърно време и други необходими разходи са в съответствие с определеното </w:t>
      </w:r>
      <w:r w:rsidR="00C66E5B" w:rsidRPr="002C5AC6">
        <w:t xml:space="preserve">от съдията докладчик </w:t>
      </w:r>
      <w:r w:rsidRPr="002C5AC6">
        <w:t xml:space="preserve">в протокола от съдебното заседание. </w:t>
      </w:r>
    </w:p>
    <w:p w:rsidR="005729DD" w:rsidRPr="002C5AC6" w:rsidRDefault="005729DD" w:rsidP="00A90676">
      <w:pPr>
        <w:ind w:firstLine="720"/>
        <w:jc w:val="both"/>
      </w:pPr>
      <w:r w:rsidRPr="002C5AC6">
        <w:t>За всички плащания на възнаграждения към вещи лица са приложени декларации по чл. 9, ал. 2 и чл. 43, ал. 5 и 6 от ЗДДФЛ.</w:t>
      </w:r>
    </w:p>
    <w:p w:rsidR="005729DD" w:rsidRPr="002C5AC6" w:rsidRDefault="005729DD" w:rsidP="007E2571">
      <w:pPr>
        <w:ind w:firstLine="720"/>
        <w:jc w:val="both"/>
        <w:rPr>
          <w:i/>
        </w:rPr>
      </w:pPr>
      <w:r w:rsidRPr="002C5AC6">
        <w:t xml:space="preserve">В чл. 29, ал. 2 и чл. 33, ал. 1 от НВКВВЛ № 3 (отм.) към експертизите, изготвяни от вещите лица, </w:t>
      </w:r>
      <w:r w:rsidR="00D91168" w:rsidRPr="002C5AC6">
        <w:t xml:space="preserve">е определено </w:t>
      </w:r>
      <w:r w:rsidRPr="002C5AC6">
        <w:t>да се прилага справка-декларация Приложение № 2</w:t>
      </w:r>
      <w:r w:rsidR="00F2648C" w:rsidRPr="002C5AC6">
        <w:t xml:space="preserve"> </w:t>
      </w:r>
      <w:r w:rsidR="0004155C" w:rsidRPr="002C5AC6">
        <w:t xml:space="preserve">за </w:t>
      </w:r>
      <w:r w:rsidR="00D47720" w:rsidRPr="002C5AC6">
        <w:t>деклариране на разхода на време, материали</w:t>
      </w:r>
      <w:r w:rsidR="0004155C" w:rsidRPr="002C5AC6">
        <w:t>, консумативи</w:t>
      </w:r>
      <w:r w:rsidR="00D47720" w:rsidRPr="002C5AC6">
        <w:t xml:space="preserve"> и др.</w:t>
      </w:r>
      <w:r w:rsidR="0004155C" w:rsidRPr="002C5AC6">
        <w:t>, както и обема на извършената работа</w:t>
      </w:r>
      <w:r w:rsidR="00F2648C" w:rsidRPr="002C5AC6">
        <w:t>.</w:t>
      </w:r>
      <w:r w:rsidRPr="002C5AC6">
        <w:t xml:space="preserve"> При одита</w:t>
      </w:r>
      <w:r w:rsidR="00E563B3" w:rsidRPr="002C5AC6">
        <w:rPr>
          <w:rStyle w:val="FootnoteReference"/>
        </w:rPr>
        <w:footnoteReference w:id="86"/>
      </w:r>
      <w:r w:rsidRPr="002C5AC6">
        <w:t xml:space="preserve"> е установ</w:t>
      </w:r>
      <w:r w:rsidR="0004155C" w:rsidRPr="002C5AC6">
        <w:t>ено</w:t>
      </w:r>
      <w:r w:rsidRPr="002C5AC6">
        <w:t xml:space="preserve">, че </w:t>
      </w:r>
      <w:r w:rsidR="005E007F" w:rsidRPr="002C5AC6">
        <w:t xml:space="preserve">справка-декларация Приложение № 2 </w:t>
      </w:r>
      <w:r w:rsidRPr="002C5AC6">
        <w:t>не е прил</w:t>
      </w:r>
      <w:r w:rsidR="0004155C" w:rsidRPr="002C5AC6">
        <w:t>агана</w:t>
      </w:r>
      <w:r w:rsidRPr="002C5AC6">
        <w:t xml:space="preserve"> към експертизите</w:t>
      </w:r>
      <w:r w:rsidR="0004155C" w:rsidRPr="002C5AC6">
        <w:t>,</w:t>
      </w:r>
      <w:r w:rsidRPr="002C5AC6">
        <w:t xml:space="preserve"> изготвени от вещи лица, възнагражденията </w:t>
      </w:r>
      <w:r w:rsidR="0004155C" w:rsidRPr="002C5AC6">
        <w:t>з</w:t>
      </w:r>
      <w:r w:rsidRPr="002C5AC6">
        <w:t xml:space="preserve">а които се изплащат от депозит. При експертизите, които </w:t>
      </w:r>
      <w:r w:rsidR="0004155C" w:rsidRPr="002C5AC6">
        <w:t xml:space="preserve">са </w:t>
      </w:r>
      <w:r w:rsidRPr="002C5AC6">
        <w:t>изпла</w:t>
      </w:r>
      <w:r w:rsidR="0004155C" w:rsidRPr="002C5AC6">
        <w:t>тени</w:t>
      </w:r>
      <w:r w:rsidRPr="002C5AC6">
        <w:t xml:space="preserve"> от бюджета </w:t>
      </w:r>
      <w:r w:rsidR="005E007F" w:rsidRPr="002C5AC6">
        <w:t xml:space="preserve">на СРС </w:t>
      </w:r>
      <w:r w:rsidRPr="002C5AC6">
        <w:t xml:space="preserve">справка-декларация Приложение № 2 е приложена </w:t>
      </w:r>
      <w:r w:rsidR="005D6BEE" w:rsidRPr="002C5AC6">
        <w:t>в</w:t>
      </w:r>
      <w:r w:rsidR="00F5736A" w:rsidRPr="002C5AC6">
        <w:t xml:space="preserve"> незначителен брой</w:t>
      </w:r>
      <w:r w:rsidRPr="002C5AC6">
        <w:t xml:space="preserve"> от проверените плащания</w:t>
      </w:r>
      <w:r w:rsidRPr="002C5AC6">
        <w:rPr>
          <w:rStyle w:val="FootnoteReference"/>
        </w:rPr>
        <w:footnoteReference w:id="87"/>
      </w:r>
      <w:r w:rsidR="0004155C" w:rsidRPr="002C5AC6">
        <w:t>.</w:t>
      </w:r>
      <w:r w:rsidRPr="002C5AC6">
        <w:t xml:space="preserve"> </w:t>
      </w:r>
      <w:r w:rsidR="0004155C" w:rsidRPr="002C5AC6">
        <w:t>При непредставяне на документи за разходите</w:t>
      </w:r>
      <w:r w:rsidR="005E007F" w:rsidRPr="002C5AC6">
        <w:t>,</w:t>
      </w:r>
      <w:r w:rsidR="0004155C" w:rsidRPr="002C5AC6">
        <w:t xml:space="preserve"> </w:t>
      </w:r>
      <w:r w:rsidR="005E007F" w:rsidRPr="002C5AC6">
        <w:t>съгласно изискванията</w:t>
      </w:r>
      <w:r w:rsidR="001A2C8E">
        <w:t xml:space="preserve"> на чл. 29, ал. 3 и чл. 33, </w:t>
      </w:r>
      <w:r w:rsidR="001A2C8E">
        <w:lastRenderedPageBreak/>
        <w:t>ал. 4 от Н</w:t>
      </w:r>
      <w:r w:rsidR="005E007F" w:rsidRPr="002C5AC6">
        <w:t xml:space="preserve">ВКВВЛ № 3 (отм.) </w:t>
      </w:r>
      <w:r w:rsidR="009F4A51" w:rsidRPr="002C5AC6">
        <w:t>експертизата</w:t>
      </w:r>
      <w:r w:rsidR="0004155C" w:rsidRPr="002C5AC6">
        <w:t xml:space="preserve"> се заплаща по пре</w:t>
      </w:r>
      <w:r w:rsidR="005E007F" w:rsidRPr="002C5AC6">
        <w:t>ц</w:t>
      </w:r>
      <w:r w:rsidR="0004155C" w:rsidRPr="002C5AC6">
        <w:t>енка на органа, който я е назначил.</w:t>
      </w:r>
    </w:p>
    <w:p w:rsidR="00A4347E" w:rsidRPr="002C5AC6" w:rsidRDefault="00D34C60" w:rsidP="00B814F7">
      <w:pPr>
        <w:spacing w:before="120" w:after="120"/>
        <w:ind w:firstLine="720"/>
        <w:jc w:val="both"/>
      </w:pPr>
      <w:r w:rsidRPr="002C5AC6">
        <w:rPr>
          <w:b/>
        </w:rPr>
        <w:t>3</w:t>
      </w:r>
      <w:r w:rsidR="005729DD" w:rsidRPr="002C5AC6">
        <w:rPr>
          <w:b/>
        </w:rPr>
        <w:t>. Отчитане на възнагражденията на вещите лица</w:t>
      </w:r>
    </w:p>
    <w:p w:rsidR="005729DD" w:rsidRPr="002C5AC6" w:rsidRDefault="009F4A51" w:rsidP="00B814F7">
      <w:pPr>
        <w:ind w:firstLine="720"/>
        <w:jc w:val="both"/>
      </w:pPr>
      <w:r w:rsidRPr="002C5AC6">
        <w:t xml:space="preserve">Възнаграждението и разходите на вещото лице за направена експертиза се опредеят от органа, който я е назначил, за което в съответното съдебно заседание се издава документ, наречен разходен касов ордер </w:t>
      </w:r>
      <w:r w:rsidR="00C34903" w:rsidRPr="002C5AC6">
        <w:t xml:space="preserve">98а </w:t>
      </w:r>
      <w:r w:rsidRPr="002C5AC6">
        <w:t>(РКО</w:t>
      </w:r>
      <w:r w:rsidR="00C34903" w:rsidRPr="002C5AC6">
        <w:t xml:space="preserve"> 98а</w:t>
      </w:r>
      <w:r w:rsidRPr="002C5AC6">
        <w:t>). За</w:t>
      </w:r>
      <w:r w:rsidR="005729DD" w:rsidRPr="002C5AC6">
        <w:t xml:space="preserve"> изготвяне, регистриране и отпечатване </w:t>
      </w:r>
      <w:r w:rsidR="00F2648C" w:rsidRPr="002C5AC6">
        <w:t xml:space="preserve">на </w:t>
      </w:r>
      <w:r w:rsidR="005729DD" w:rsidRPr="002C5AC6">
        <w:t>РКО 98а в съдебна зала и експорт на данни към файл във формат Microsoft Excel</w:t>
      </w:r>
      <w:r w:rsidRPr="002C5AC6">
        <w:t xml:space="preserve"> е въведена автоматизирана система</w:t>
      </w:r>
      <w:r w:rsidR="005729DD" w:rsidRPr="002C5AC6">
        <w:t>, която не е свързана със счетоводн</w:t>
      </w:r>
      <w:r w:rsidR="00AF4F0C" w:rsidRPr="002C5AC6">
        <w:t>ия</w:t>
      </w:r>
      <w:r w:rsidR="005729DD" w:rsidRPr="002C5AC6">
        <w:t xml:space="preserve"> </w:t>
      </w:r>
      <w:r w:rsidR="00AF4F0C" w:rsidRPr="002C5AC6">
        <w:t>софтуер</w:t>
      </w:r>
      <w:r w:rsidR="005729DD" w:rsidRPr="002C5AC6">
        <w:t>. За възнагражденията на вещи лица, които се изплащат от бюджета на СРС</w:t>
      </w:r>
      <w:r w:rsidR="005112DD" w:rsidRPr="002C5AC6">
        <w:t xml:space="preserve"> в края на всеки месец от главен специалист-счетоводител </w:t>
      </w:r>
      <w:r w:rsidR="005729DD" w:rsidRPr="002C5AC6">
        <w:t>се извлича месечна справка - списък за наличие на задължение към вещите лица от автоматизираната система за РКО 98а (от съдебно заседание)</w:t>
      </w:r>
      <w:r w:rsidR="005112DD" w:rsidRPr="002C5AC6">
        <w:t>.</w:t>
      </w:r>
      <w:r w:rsidR="005729DD" w:rsidRPr="002C5AC6">
        <w:t xml:space="preserve"> Съставя се счетоводна операция за</w:t>
      </w:r>
      <w:r w:rsidR="00F2648C" w:rsidRPr="002C5AC6">
        <w:t xml:space="preserve"> начисляване на</w:t>
      </w:r>
      <w:r w:rsidR="005729DD" w:rsidRPr="002C5AC6">
        <w:t xml:space="preserve"> общата сума</w:t>
      </w:r>
      <w:r w:rsidR="00F2648C" w:rsidRPr="002C5AC6">
        <w:t xml:space="preserve"> на задължението към вещите лица</w:t>
      </w:r>
      <w:r w:rsidR="005729DD" w:rsidRPr="002C5AC6">
        <w:t>. Задълженията не се начисляват в счетоводния продукт „КОНТО 66” аналитично по име на вещото лице в момента на възникването им</w:t>
      </w:r>
      <w:r w:rsidR="00E75F98" w:rsidRPr="002C5AC6">
        <w:t>. Такава информация</w:t>
      </w:r>
      <w:r w:rsidR="005729DD" w:rsidRPr="002C5AC6">
        <w:t xml:space="preserve"> </w:t>
      </w:r>
      <w:r w:rsidR="00E75F98" w:rsidRPr="002C5AC6">
        <w:t>се съдържа само</w:t>
      </w:r>
      <w:r w:rsidR="005729DD" w:rsidRPr="002C5AC6">
        <w:t xml:space="preserve"> </w:t>
      </w:r>
      <w:r w:rsidR="00E75F98" w:rsidRPr="002C5AC6">
        <w:t>в</w:t>
      </w:r>
      <w:r w:rsidR="006E2EC5" w:rsidRPr="002C5AC6">
        <w:t xml:space="preserve"> автоматизирана</w:t>
      </w:r>
      <w:r w:rsidR="00E75F98" w:rsidRPr="002C5AC6">
        <w:t>та</w:t>
      </w:r>
      <w:r w:rsidR="006E2EC5" w:rsidRPr="002C5AC6">
        <w:t xml:space="preserve"> система</w:t>
      </w:r>
      <w:r w:rsidR="00E75F98" w:rsidRPr="002C5AC6">
        <w:t>, която</w:t>
      </w:r>
      <w:r w:rsidR="006E2EC5" w:rsidRPr="002C5AC6">
        <w:t xml:space="preserve"> не е модул от </w:t>
      </w:r>
      <w:r w:rsidR="005729DD" w:rsidRPr="002C5AC6">
        <w:t>счетоводната програма. Задълженията за възнаграждения на вещи лица, които се изплащат от депозит, се начисляват всеки ден, като обща сума</w:t>
      </w:r>
      <w:r w:rsidR="00E75F98" w:rsidRPr="002C5AC6">
        <w:t>, но</w:t>
      </w:r>
      <w:r w:rsidR="005729DD" w:rsidRPr="002C5AC6">
        <w:t xml:space="preserve"> по набирателната сметка на съда</w:t>
      </w:r>
      <w:r w:rsidR="00E75F98" w:rsidRPr="002C5AC6">
        <w:t>, откъдето се и изплащат</w:t>
      </w:r>
      <w:r w:rsidR="005729DD" w:rsidRPr="002C5AC6">
        <w:t xml:space="preserve">. </w:t>
      </w:r>
    </w:p>
    <w:p w:rsidR="005729DD" w:rsidRPr="002C5AC6" w:rsidRDefault="005729DD" w:rsidP="005112DD">
      <w:pPr>
        <w:pStyle w:val="NoSpacing"/>
        <w:ind w:firstLine="720"/>
        <w:jc w:val="both"/>
      </w:pPr>
      <w:r w:rsidRPr="002C5AC6">
        <w:t>За възникналите и изплатени задължения към вещи лица извънсчетоводно се водят регистри</w:t>
      </w:r>
      <w:r w:rsidRPr="002C5AC6">
        <w:rPr>
          <w:vertAlign w:val="superscript"/>
        </w:rPr>
        <w:t xml:space="preserve">  </w:t>
      </w:r>
      <w:r w:rsidRPr="002C5AC6">
        <w:t>„Предстоящи плащания“ и „Справка за изплатените възнаграждения на вещи лица“ с информация за дата на определение, състав, номер на дело, имена на експерта и сума за плащане</w:t>
      </w:r>
      <w:r w:rsidR="00E75F98" w:rsidRPr="002C5AC6">
        <w:t>, както</w:t>
      </w:r>
      <w:r w:rsidRPr="002C5AC6">
        <w:t xml:space="preserve"> </w:t>
      </w:r>
      <w:r w:rsidR="00AF4F0C" w:rsidRPr="002C5AC6">
        <w:t>и източник</w:t>
      </w:r>
      <w:r w:rsidR="00B814F7" w:rsidRPr="002C5AC6">
        <w:t>а</w:t>
      </w:r>
      <w:r w:rsidR="00AF4F0C" w:rsidRPr="002C5AC6">
        <w:t xml:space="preserve"> </w:t>
      </w:r>
      <w:r w:rsidR="00E75F98" w:rsidRPr="002C5AC6">
        <w:t xml:space="preserve">на плащане </w:t>
      </w:r>
      <w:r w:rsidR="00AF4F0C" w:rsidRPr="002C5AC6">
        <w:t>(</w:t>
      </w:r>
      <w:r w:rsidRPr="002C5AC6">
        <w:t xml:space="preserve">от бюджета </w:t>
      </w:r>
      <w:r w:rsidR="00E75F98" w:rsidRPr="002C5AC6">
        <w:t xml:space="preserve">на съда </w:t>
      </w:r>
      <w:r w:rsidRPr="002C5AC6">
        <w:t>или от депозити</w:t>
      </w:r>
      <w:r w:rsidR="00AF4F0C" w:rsidRPr="002C5AC6">
        <w:t>)</w:t>
      </w:r>
      <w:r w:rsidRPr="002C5AC6">
        <w:t>. Регистрите не са свързани със счетоводната програма</w:t>
      </w:r>
      <w:r w:rsidR="00B814F7" w:rsidRPr="002C5AC6">
        <w:t xml:space="preserve"> и</w:t>
      </w:r>
      <w:r w:rsidRPr="002C5AC6">
        <w:t xml:space="preserve"> </w:t>
      </w:r>
      <w:r w:rsidR="00B814F7" w:rsidRPr="002C5AC6">
        <w:t>в тях не</w:t>
      </w:r>
      <w:r w:rsidRPr="002C5AC6">
        <w:t xml:space="preserve"> с</w:t>
      </w:r>
      <w:r w:rsidR="00B814F7" w:rsidRPr="002C5AC6">
        <w:t>а</w:t>
      </w:r>
      <w:r w:rsidRPr="002C5AC6">
        <w:t xml:space="preserve"> залож</w:t>
      </w:r>
      <w:r w:rsidR="00B814F7" w:rsidRPr="002C5AC6">
        <w:t>ени</w:t>
      </w:r>
      <w:r w:rsidRPr="002C5AC6">
        <w:t xml:space="preserve"> автоматизирани контроли, </w:t>
      </w:r>
      <w:r w:rsidR="00877C42">
        <w:t>наличието на кои</w:t>
      </w:r>
      <w:r w:rsidRPr="002C5AC6">
        <w:t xml:space="preserve">то би подобрило работата и би направило информацията по-сигурна. Данните от регистрите е възможно да се използват </w:t>
      </w:r>
      <w:r w:rsidR="00AF4F0C" w:rsidRPr="002C5AC6">
        <w:t xml:space="preserve">за </w:t>
      </w:r>
      <w:r w:rsidR="00B814F7" w:rsidRPr="002C5AC6">
        <w:t>анал</w:t>
      </w:r>
      <w:r w:rsidR="00B70BB3" w:rsidRPr="002C5AC6">
        <w:t xml:space="preserve">изи и </w:t>
      </w:r>
      <w:r w:rsidR="00AF4F0C" w:rsidRPr="002C5AC6">
        <w:t xml:space="preserve">разчети, както </w:t>
      </w:r>
      <w:r w:rsidRPr="002C5AC6">
        <w:t xml:space="preserve">и за аналитично отчитане на задълженията към вещите лица. </w:t>
      </w:r>
    </w:p>
    <w:p w:rsidR="005729DD" w:rsidRPr="002C5AC6" w:rsidRDefault="005729DD" w:rsidP="00EB5ADC">
      <w:pPr>
        <w:pStyle w:val="NoSpacing"/>
        <w:ind w:firstLine="720"/>
        <w:jc w:val="both"/>
      </w:pPr>
      <w:r w:rsidRPr="002C5AC6">
        <w:t xml:space="preserve">През одитирания период в системата за изготвяне, регистриране и отпечатване </w:t>
      </w:r>
      <w:r w:rsidR="00877C42">
        <w:t xml:space="preserve">на </w:t>
      </w:r>
      <w:r w:rsidRPr="002C5AC6">
        <w:t xml:space="preserve">РКО 98а в съдебна зала не е изградена връзка </w:t>
      </w:r>
      <w:r w:rsidR="00B70BB3" w:rsidRPr="002C5AC6">
        <w:t xml:space="preserve">и не са включвани автоматично издадените РКО от III Гражданско отделение на СРС, </w:t>
      </w:r>
      <w:r w:rsidR="0070506D" w:rsidRPr="002C5AC6">
        <w:t>поради разположе</w:t>
      </w:r>
      <w:r w:rsidR="00B814F7" w:rsidRPr="002C5AC6">
        <w:t xml:space="preserve">нието на </w:t>
      </w:r>
      <w:r w:rsidR="00336489" w:rsidRPr="002C5AC6">
        <w:t xml:space="preserve">отделенията на </w:t>
      </w:r>
      <w:r w:rsidR="00B814F7" w:rsidRPr="002C5AC6">
        <w:t>съда в различни сгради</w:t>
      </w:r>
      <w:r w:rsidRPr="002C5AC6">
        <w:t xml:space="preserve">. Задълженията към вещите лица са начислявани след представяне на РКО 98а – втори екземпляр </w:t>
      </w:r>
      <w:r w:rsidR="00C61DB4" w:rsidRPr="002C5AC6">
        <w:t xml:space="preserve">от съдебния секретар </w:t>
      </w:r>
      <w:r w:rsidRPr="002C5AC6">
        <w:t xml:space="preserve">в счетоводството на СРС </w:t>
      </w:r>
      <w:r w:rsidR="00E74B43" w:rsidRPr="002C5AC6">
        <w:t xml:space="preserve">за </w:t>
      </w:r>
      <w:r w:rsidRPr="002C5AC6">
        <w:t>включване в регистъра „Предстоящи плащания“. П</w:t>
      </w:r>
      <w:r w:rsidR="006E2EC5" w:rsidRPr="002C5AC6">
        <w:t>ри п</w:t>
      </w:r>
      <w:r w:rsidRPr="002C5AC6">
        <w:t xml:space="preserve">редставянето на РКО 98а не </w:t>
      </w:r>
      <w:r w:rsidR="006E2EC5" w:rsidRPr="002C5AC6">
        <w:t>е спазван във всички случаи</w:t>
      </w:r>
      <w:r w:rsidRPr="002C5AC6">
        <w:t xml:space="preserve"> определения </w:t>
      </w:r>
      <w:r w:rsidR="006E2EC5" w:rsidRPr="002C5AC6">
        <w:t xml:space="preserve">в </w:t>
      </w:r>
      <w:r w:rsidR="00AF4F0C" w:rsidRPr="002C5AC6">
        <w:t>Правилник</w:t>
      </w:r>
      <w:r w:rsidR="00336489" w:rsidRPr="002C5AC6">
        <w:t>а</w:t>
      </w:r>
      <w:r w:rsidR="00AF4F0C" w:rsidRPr="002C5AC6">
        <w:t xml:space="preserve"> за дви</w:t>
      </w:r>
      <w:r w:rsidR="00336489" w:rsidRPr="002C5AC6">
        <w:t>ж</w:t>
      </w:r>
      <w:r w:rsidR="00AF4F0C" w:rsidRPr="002C5AC6">
        <w:t>ение на счетоводните документи</w:t>
      </w:r>
      <w:r w:rsidR="006E2EC5" w:rsidRPr="002C5AC6">
        <w:t xml:space="preserve"> </w:t>
      </w:r>
      <w:r w:rsidR="00B814F7" w:rsidRPr="002C5AC6">
        <w:t>3-</w:t>
      </w:r>
      <w:r w:rsidRPr="002C5AC6">
        <w:t>дневен срок</w:t>
      </w:r>
      <w:r w:rsidR="00231637" w:rsidRPr="002C5AC6">
        <w:t xml:space="preserve"> </w:t>
      </w:r>
      <w:r w:rsidR="00AF4F0C" w:rsidRPr="002C5AC6">
        <w:t>(</w:t>
      </w:r>
      <w:r w:rsidR="00231637" w:rsidRPr="002C5AC6">
        <w:t>в раздел ІV Функционална структура на счетоводството т.</w:t>
      </w:r>
      <w:r w:rsidR="00AF4F0C" w:rsidRPr="002C5AC6">
        <w:t xml:space="preserve"> </w:t>
      </w:r>
      <w:r w:rsidR="00231637" w:rsidRPr="002C5AC6">
        <w:t>3.1 Касови плащания на възнаграждения на вещи лица от бюджетна сметка и изготвяне на РКО 98а</w:t>
      </w:r>
      <w:r w:rsidR="00AF4F0C" w:rsidRPr="002C5AC6">
        <w:t>)</w:t>
      </w:r>
      <w:r w:rsidR="005A5C9A" w:rsidRPr="002C5AC6">
        <w:rPr>
          <w:rStyle w:val="FootnoteReference"/>
        </w:rPr>
        <w:footnoteReference w:id="88"/>
      </w:r>
      <w:r w:rsidRPr="002C5AC6">
        <w:t xml:space="preserve">. </w:t>
      </w:r>
      <w:r w:rsidR="00872425" w:rsidRPr="002C5AC6">
        <w:t xml:space="preserve">Видно от Таблица № </w:t>
      </w:r>
      <w:r w:rsidR="00877C42">
        <w:t>2 и Таблица № 3</w:t>
      </w:r>
      <w:r w:rsidR="00872425" w:rsidRPr="002C5AC6">
        <w:rPr>
          <w:vertAlign w:val="superscript"/>
        </w:rPr>
        <w:footnoteReference w:id="89"/>
      </w:r>
      <w:r w:rsidR="00872425" w:rsidRPr="002C5AC6">
        <w:rPr>
          <w:vertAlign w:val="superscript"/>
        </w:rPr>
        <w:t>,</w:t>
      </w:r>
      <w:r w:rsidR="00872425" w:rsidRPr="002C5AC6">
        <w:rPr>
          <w:vertAlign w:val="superscript"/>
        </w:rPr>
        <w:footnoteReference w:id="90"/>
      </w:r>
      <w:r w:rsidR="00877C42">
        <w:t xml:space="preserve">, </w:t>
      </w:r>
      <w:r w:rsidR="00872425" w:rsidRPr="002C5AC6">
        <w:t>в</w:t>
      </w:r>
      <w:r w:rsidRPr="002C5AC6">
        <w:t xml:space="preserve"> резултат на то</w:t>
      </w:r>
      <w:r w:rsidR="00AF4F0C" w:rsidRPr="002C5AC6">
        <w:t>ва</w:t>
      </w:r>
      <w:r w:rsidR="00877C42">
        <w:t>,</w:t>
      </w:r>
      <w:r w:rsidRPr="002C5AC6">
        <w:t xml:space="preserve"> </w:t>
      </w:r>
      <w:r w:rsidR="00845B6F" w:rsidRPr="002C5AC6">
        <w:t xml:space="preserve">ежемесечно </w:t>
      </w:r>
      <w:r w:rsidRPr="002C5AC6">
        <w:t xml:space="preserve">са доначислявани задължения към вещи лица, които се отнасят за предходни месеци и дори </w:t>
      </w:r>
      <w:r w:rsidR="00E74B43" w:rsidRPr="002C5AC6">
        <w:t>година</w:t>
      </w:r>
      <w:r w:rsidRPr="002C5AC6">
        <w:t xml:space="preserve">, </w:t>
      </w:r>
      <w:r w:rsidR="00676DEB" w:rsidRPr="002C5AC6">
        <w:t>с което е нарушен един от основните принципи на счетоводството – текущо начисляване, определен в чл. 4, ал. 1, т. 1 от ЗСч (отм).</w:t>
      </w:r>
    </w:p>
    <w:p w:rsidR="0048325F" w:rsidRPr="002C5AC6" w:rsidRDefault="005729DD" w:rsidP="001B6C75">
      <w:pPr>
        <w:spacing w:before="120" w:after="120"/>
        <w:jc w:val="right"/>
        <w:rPr>
          <w:i/>
          <w:spacing w:val="-4"/>
          <w:sz w:val="22"/>
          <w:szCs w:val="22"/>
        </w:rPr>
      </w:pPr>
      <w:r w:rsidRPr="002C5AC6">
        <w:rPr>
          <w:i/>
          <w:spacing w:val="-4"/>
          <w:sz w:val="22"/>
          <w:szCs w:val="22"/>
        </w:rPr>
        <w:t xml:space="preserve">Таблица № </w:t>
      </w:r>
      <w:r w:rsidR="001B6C75" w:rsidRPr="002C5AC6">
        <w:rPr>
          <w:i/>
          <w:spacing w:val="-4"/>
          <w:sz w:val="22"/>
          <w:szCs w:val="22"/>
        </w:rPr>
        <w:t>2</w:t>
      </w:r>
      <w:r w:rsidRPr="002C5AC6">
        <w:rPr>
          <w:i/>
          <w:spacing w:val="-4"/>
          <w:sz w:val="22"/>
          <w:szCs w:val="22"/>
        </w:rPr>
        <w:t xml:space="preserve"> </w:t>
      </w:r>
    </w:p>
    <w:p w:rsidR="005729DD" w:rsidRPr="002C5AC6" w:rsidRDefault="005729DD" w:rsidP="0048325F">
      <w:pPr>
        <w:spacing w:before="120" w:after="120"/>
        <w:jc w:val="center"/>
        <w:rPr>
          <w:b/>
          <w:i/>
          <w:spacing w:val="-4"/>
          <w:sz w:val="22"/>
          <w:szCs w:val="22"/>
        </w:rPr>
      </w:pPr>
      <w:r w:rsidRPr="002C5AC6">
        <w:rPr>
          <w:b/>
          <w:i/>
          <w:spacing w:val="-4"/>
          <w:sz w:val="22"/>
          <w:szCs w:val="22"/>
        </w:rPr>
        <w:t>Доначислени суми за задължения от бюджета</w:t>
      </w:r>
      <w:r w:rsidR="00E74B43" w:rsidRPr="002C5AC6">
        <w:rPr>
          <w:b/>
          <w:i/>
          <w:spacing w:val="-4"/>
          <w:sz w:val="22"/>
          <w:szCs w:val="22"/>
        </w:rPr>
        <w:t xml:space="preserve"> </w:t>
      </w:r>
      <w:r w:rsidRPr="002C5AC6">
        <w:rPr>
          <w:b/>
          <w:i/>
          <w:spacing w:val="-4"/>
          <w:sz w:val="22"/>
          <w:szCs w:val="22"/>
        </w:rPr>
        <w:t>към вещи лица през</w:t>
      </w:r>
      <w:r w:rsidR="007C4943" w:rsidRPr="002C5AC6">
        <w:rPr>
          <w:b/>
          <w:i/>
          <w:spacing w:val="-4"/>
          <w:sz w:val="22"/>
          <w:szCs w:val="22"/>
        </w:rPr>
        <w:t xml:space="preserve"> 2014 </w:t>
      </w:r>
      <w:r w:rsidRPr="002C5AC6">
        <w:rPr>
          <w:b/>
          <w:i/>
          <w:spacing w:val="-4"/>
          <w:sz w:val="22"/>
          <w:szCs w:val="22"/>
        </w:rPr>
        <w:t>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5729DD" w:rsidRPr="002C5AC6" w:rsidTr="00A46967">
        <w:tc>
          <w:tcPr>
            <w:tcW w:w="2268" w:type="dxa"/>
            <w:shd w:val="clear" w:color="auto" w:fill="auto"/>
          </w:tcPr>
          <w:p w:rsidR="005729DD" w:rsidRPr="002C5AC6" w:rsidRDefault="005729DD" w:rsidP="001B6C75">
            <w:pPr>
              <w:spacing w:after="120"/>
              <w:jc w:val="center"/>
              <w:rPr>
                <w:b/>
              </w:rPr>
            </w:pPr>
            <w:r w:rsidRPr="002C5AC6">
              <w:rPr>
                <w:b/>
              </w:rPr>
              <w:t>Месец</w:t>
            </w:r>
          </w:p>
        </w:tc>
        <w:tc>
          <w:tcPr>
            <w:tcW w:w="1985" w:type="dxa"/>
            <w:shd w:val="clear" w:color="auto" w:fill="auto"/>
          </w:tcPr>
          <w:p w:rsidR="005729DD" w:rsidRPr="002C5AC6" w:rsidRDefault="005729DD" w:rsidP="00A46967">
            <w:pPr>
              <w:spacing w:after="120"/>
              <w:jc w:val="both"/>
              <w:rPr>
                <w:b/>
              </w:rPr>
            </w:pPr>
            <w:r w:rsidRPr="002C5AC6">
              <w:rPr>
                <w:b/>
              </w:rPr>
              <w:t>Сума в лева</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Януари</w:t>
            </w:r>
          </w:p>
        </w:tc>
        <w:tc>
          <w:tcPr>
            <w:tcW w:w="1985" w:type="dxa"/>
            <w:shd w:val="clear" w:color="auto" w:fill="auto"/>
          </w:tcPr>
          <w:p w:rsidR="00CB39B9" w:rsidRPr="002C5AC6" w:rsidRDefault="005729DD" w:rsidP="001B6C75">
            <w:pPr>
              <w:spacing w:after="120"/>
              <w:ind w:right="601"/>
              <w:jc w:val="center"/>
              <w:rPr>
                <w:sz w:val="22"/>
                <w:szCs w:val="22"/>
              </w:rPr>
            </w:pPr>
            <w:r w:rsidRPr="002C5AC6">
              <w:rPr>
                <w:sz w:val="22"/>
                <w:szCs w:val="22"/>
              </w:rPr>
              <w:t>-</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Февруари</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4</w:t>
            </w:r>
            <w:r w:rsidR="006E2EC5" w:rsidRPr="002C5AC6">
              <w:rPr>
                <w:sz w:val="22"/>
                <w:szCs w:val="22"/>
              </w:rPr>
              <w:t xml:space="preserve"> </w:t>
            </w:r>
            <w:r w:rsidRPr="002C5AC6">
              <w:rPr>
                <w:sz w:val="22"/>
                <w:szCs w:val="22"/>
              </w:rPr>
              <w:t>985.00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lastRenderedPageBreak/>
              <w:t>Март</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2</w:t>
            </w:r>
            <w:r w:rsidR="006E2EC5" w:rsidRPr="002C5AC6">
              <w:rPr>
                <w:sz w:val="22"/>
                <w:szCs w:val="22"/>
              </w:rPr>
              <w:t xml:space="preserve"> </w:t>
            </w:r>
            <w:r w:rsidRPr="002C5AC6">
              <w:rPr>
                <w:sz w:val="22"/>
                <w:szCs w:val="22"/>
              </w:rPr>
              <w:t>965.00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Април</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105.00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Май</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1</w:t>
            </w:r>
            <w:r w:rsidR="006E2EC5" w:rsidRPr="002C5AC6">
              <w:rPr>
                <w:sz w:val="22"/>
                <w:szCs w:val="22"/>
              </w:rPr>
              <w:t xml:space="preserve"> </w:t>
            </w:r>
            <w:r w:rsidRPr="002C5AC6">
              <w:rPr>
                <w:sz w:val="22"/>
                <w:szCs w:val="22"/>
              </w:rPr>
              <w:t>055.00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Юни</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2</w:t>
            </w:r>
            <w:r w:rsidR="006E2EC5" w:rsidRPr="002C5AC6">
              <w:rPr>
                <w:sz w:val="22"/>
                <w:szCs w:val="22"/>
              </w:rPr>
              <w:t xml:space="preserve"> </w:t>
            </w:r>
            <w:r w:rsidRPr="002C5AC6">
              <w:rPr>
                <w:sz w:val="22"/>
                <w:szCs w:val="22"/>
              </w:rPr>
              <w:t>480.00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Юли</w:t>
            </w:r>
          </w:p>
        </w:tc>
        <w:tc>
          <w:tcPr>
            <w:tcW w:w="1985" w:type="dxa"/>
            <w:shd w:val="clear" w:color="auto" w:fill="auto"/>
          </w:tcPr>
          <w:p w:rsidR="00CB39B9" w:rsidRPr="002C5AC6" w:rsidRDefault="005729DD" w:rsidP="001B6C75">
            <w:pPr>
              <w:spacing w:after="120"/>
              <w:ind w:right="601"/>
              <w:jc w:val="center"/>
              <w:rPr>
                <w:sz w:val="22"/>
                <w:szCs w:val="22"/>
              </w:rPr>
            </w:pPr>
            <w:r w:rsidRPr="002C5AC6">
              <w:rPr>
                <w:sz w:val="22"/>
                <w:szCs w:val="22"/>
              </w:rPr>
              <w:t>-</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Август</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8</w:t>
            </w:r>
            <w:r w:rsidR="006E2EC5" w:rsidRPr="002C5AC6">
              <w:rPr>
                <w:sz w:val="22"/>
                <w:szCs w:val="22"/>
              </w:rPr>
              <w:t xml:space="preserve"> </w:t>
            </w:r>
            <w:r w:rsidRPr="002C5AC6">
              <w:rPr>
                <w:sz w:val="22"/>
                <w:szCs w:val="22"/>
              </w:rPr>
              <w:t>042.50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Септември</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865.00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Октомври</w:t>
            </w:r>
          </w:p>
        </w:tc>
        <w:tc>
          <w:tcPr>
            <w:tcW w:w="1985" w:type="dxa"/>
            <w:shd w:val="clear" w:color="auto" w:fill="auto"/>
          </w:tcPr>
          <w:p w:rsidR="00CB39B9" w:rsidRPr="002C5AC6" w:rsidRDefault="005729DD" w:rsidP="00872425">
            <w:pPr>
              <w:spacing w:after="120"/>
              <w:ind w:right="601"/>
              <w:jc w:val="right"/>
              <w:rPr>
                <w:sz w:val="22"/>
                <w:szCs w:val="22"/>
              </w:rPr>
            </w:pPr>
            <w:r w:rsidRPr="002C5AC6">
              <w:rPr>
                <w:sz w:val="22"/>
                <w:szCs w:val="22"/>
              </w:rPr>
              <w:t>1</w:t>
            </w:r>
            <w:r w:rsidR="006E2EC5" w:rsidRPr="002C5AC6">
              <w:rPr>
                <w:sz w:val="22"/>
                <w:szCs w:val="22"/>
              </w:rPr>
              <w:t xml:space="preserve"> </w:t>
            </w:r>
            <w:r w:rsidRPr="002C5AC6">
              <w:rPr>
                <w:sz w:val="22"/>
                <w:szCs w:val="22"/>
              </w:rPr>
              <w:t>552.00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Ноември</w:t>
            </w:r>
          </w:p>
        </w:tc>
        <w:tc>
          <w:tcPr>
            <w:tcW w:w="1985" w:type="dxa"/>
            <w:shd w:val="clear" w:color="auto" w:fill="auto"/>
          </w:tcPr>
          <w:p w:rsidR="00CB39B9" w:rsidRPr="002C5AC6" w:rsidRDefault="005729DD" w:rsidP="001B6C75">
            <w:pPr>
              <w:spacing w:after="120"/>
              <w:ind w:right="601"/>
              <w:jc w:val="center"/>
              <w:rPr>
                <w:sz w:val="22"/>
                <w:szCs w:val="22"/>
              </w:rPr>
            </w:pPr>
            <w:r w:rsidRPr="002C5AC6">
              <w:rPr>
                <w:sz w:val="22"/>
                <w:szCs w:val="22"/>
              </w:rPr>
              <w:t>-</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Декември</w:t>
            </w:r>
          </w:p>
        </w:tc>
        <w:tc>
          <w:tcPr>
            <w:tcW w:w="1985" w:type="dxa"/>
            <w:shd w:val="clear" w:color="auto" w:fill="auto"/>
          </w:tcPr>
          <w:p w:rsidR="00CB39B9" w:rsidRPr="002C5AC6" w:rsidRDefault="005729DD" w:rsidP="005B67C9">
            <w:pPr>
              <w:spacing w:after="120"/>
              <w:ind w:right="601"/>
              <w:jc w:val="right"/>
              <w:rPr>
                <w:sz w:val="22"/>
                <w:szCs w:val="22"/>
              </w:rPr>
            </w:pPr>
            <w:r w:rsidRPr="002C5AC6">
              <w:rPr>
                <w:sz w:val="22"/>
                <w:szCs w:val="22"/>
              </w:rPr>
              <w:t>810.00</w:t>
            </w:r>
          </w:p>
        </w:tc>
      </w:tr>
    </w:tbl>
    <w:p w:rsidR="0048325F" w:rsidRPr="002C5AC6" w:rsidRDefault="005729DD" w:rsidP="0048325F">
      <w:pPr>
        <w:spacing w:before="120" w:after="120"/>
        <w:jc w:val="right"/>
        <w:rPr>
          <w:i/>
          <w:sz w:val="22"/>
          <w:szCs w:val="22"/>
        </w:rPr>
      </w:pPr>
      <w:r w:rsidRPr="002C5AC6">
        <w:rPr>
          <w:i/>
          <w:sz w:val="22"/>
          <w:szCs w:val="22"/>
        </w:rPr>
        <w:t xml:space="preserve">Таблица № </w:t>
      </w:r>
      <w:r w:rsidR="0048325F" w:rsidRPr="002C5AC6">
        <w:rPr>
          <w:i/>
          <w:sz w:val="22"/>
          <w:szCs w:val="22"/>
        </w:rPr>
        <w:t>3</w:t>
      </w:r>
      <w:r w:rsidRPr="002C5AC6">
        <w:rPr>
          <w:i/>
          <w:sz w:val="22"/>
          <w:szCs w:val="22"/>
        </w:rPr>
        <w:t xml:space="preserve"> </w:t>
      </w:r>
    </w:p>
    <w:p w:rsidR="005729DD" w:rsidRPr="002C5AC6" w:rsidRDefault="005729DD" w:rsidP="007C4943">
      <w:pPr>
        <w:spacing w:before="120" w:after="120"/>
        <w:jc w:val="center"/>
        <w:rPr>
          <w:b/>
          <w:i/>
          <w:sz w:val="22"/>
          <w:szCs w:val="22"/>
        </w:rPr>
      </w:pPr>
      <w:r w:rsidRPr="002C5AC6">
        <w:rPr>
          <w:b/>
          <w:i/>
          <w:sz w:val="22"/>
          <w:szCs w:val="22"/>
        </w:rPr>
        <w:t>Доначислени суми за задължения от бюджета</w:t>
      </w:r>
      <w:r w:rsidR="00E74B43" w:rsidRPr="002C5AC6">
        <w:rPr>
          <w:b/>
          <w:i/>
          <w:sz w:val="22"/>
          <w:szCs w:val="22"/>
        </w:rPr>
        <w:t xml:space="preserve"> </w:t>
      </w:r>
      <w:r w:rsidR="007C4943" w:rsidRPr="002C5AC6">
        <w:rPr>
          <w:b/>
          <w:i/>
          <w:sz w:val="22"/>
          <w:szCs w:val="22"/>
        </w:rPr>
        <w:t>към вещи лица през 2015 </w:t>
      </w:r>
      <w:r w:rsidRPr="002C5AC6">
        <w:rPr>
          <w:b/>
          <w:i/>
          <w:sz w:val="22"/>
          <w:szCs w:val="22"/>
        </w:rPr>
        <w:t>г., отнасящи се за 2014 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5729DD" w:rsidRPr="002C5AC6" w:rsidTr="00A46967">
        <w:tc>
          <w:tcPr>
            <w:tcW w:w="2268" w:type="dxa"/>
            <w:shd w:val="clear" w:color="auto" w:fill="auto"/>
          </w:tcPr>
          <w:p w:rsidR="005729DD" w:rsidRPr="002C5AC6" w:rsidRDefault="005729DD" w:rsidP="0048325F">
            <w:pPr>
              <w:spacing w:after="120"/>
              <w:jc w:val="center"/>
              <w:rPr>
                <w:b/>
              </w:rPr>
            </w:pPr>
            <w:r w:rsidRPr="002C5AC6">
              <w:rPr>
                <w:b/>
              </w:rPr>
              <w:t>Месец</w:t>
            </w:r>
          </w:p>
        </w:tc>
        <w:tc>
          <w:tcPr>
            <w:tcW w:w="1985" w:type="dxa"/>
            <w:shd w:val="clear" w:color="auto" w:fill="auto"/>
          </w:tcPr>
          <w:p w:rsidR="005729DD" w:rsidRPr="002C5AC6" w:rsidRDefault="005729DD" w:rsidP="0048325F">
            <w:pPr>
              <w:spacing w:after="120"/>
              <w:jc w:val="center"/>
              <w:rPr>
                <w:b/>
              </w:rPr>
            </w:pPr>
            <w:r w:rsidRPr="002C5AC6">
              <w:rPr>
                <w:b/>
              </w:rPr>
              <w:t>Сума в лева</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Януари</w:t>
            </w:r>
          </w:p>
        </w:tc>
        <w:tc>
          <w:tcPr>
            <w:tcW w:w="1985" w:type="dxa"/>
            <w:shd w:val="clear" w:color="auto" w:fill="auto"/>
          </w:tcPr>
          <w:p w:rsidR="005729DD" w:rsidRPr="002C5AC6" w:rsidRDefault="005729DD" w:rsidP="0048325F">
            <w:pPr>
              <w:spacing w:after="120"/>
              <w:jc w:val="center"/>
              <w:rPr>
                <w:sz w:val="22"/>
                <w:szCs w:val="22"/>
              </w:rPr>
            </w:pPr>
            <w:r w:rsidRPr="002C5AC6">
              <w:rPr>
                <w:sz w:val="22"/>
                <w:szCs w:val="22"/>
              </w:rPr>
              <w:t>1 200.00</w:t>
            </w:r>
          </w:p>
        </w:tc>
      </w:tr>
      <w:tr w:rsidR="005729DD" w:rsidRPr="002C5AC6" w:rsidTr="00A46967">
        <w:tc>
          <w:tcPr>
            <w:tcW w:w="2268" w:type="dxa"/>
            <w:shd w:val="clear" w:color="auto" w:fill="auto"/>
          </w:tcPr>
          <w:p w:rsidR="005729DD" w:rsidRPr="002C5AC6" w:rsidRDefault="005729DD" w:rsidP="00A46967">
            <w:pPr>
              <w:spacing w:after="120"/>
              <w:jc w:val="both"/>
              <w:rPr>
                <w:sz w:val="22"/>
                <w:szCs w:val="22"/>
              </w:rPr>
            </w:pPr>
            <w:r w:rsidRPr="002C5AC6">
              <w:rPr>
                <w:sz w:val="22"/>
                <w:szCs w:val="22"/>
              </w:rPr>
              <w:t>Февруари</w:t>
            </w:r>
          </w:p>
        </w:tc>
        <w:tc>
          <w:tcPr>
            <w:tcW w:w="1985" w:type="dxa"/>
            <w:shd w:val="clear" w:color="auto" w:fill="auto"/>
          </w:tcPr>
          <w:p w:rsidR="005729DD" w:rsidRPr="002C5AC6" w:rsidRDefault="005729DD" w:rsidP="0048325F">
            <w:pPr>
              <w:spacing w:after="120"/>
              <w:jc w:val="center"/>
              <w:rPr>
                <w:sz w:val="22"/>
                <w:szCs w:val="22"/>
              </w:rPr>
            </w:pPr>
            <w:r w:rsidRPr="002C5AC6">
              <w:rPr>
                <w:sz w:val="22"/>
                <w:szCs w:val="22"/>
              </w:rPr>
              <w:t>3 055.00</w:t>
            </w:r>
          </w:p>
        </w:tc>
      </w:tr>
    </w:tbl>
    <w:p w:rsidR="005729DD" w:rsidRPr="002C5AC6" w:rsidRDefault="005729DD" w:rsidP="007C4943">
      <w:pPr>
        <w:pStyle w:val="NoSpacing"/>
        <w:spacing w:before="120"/>
        <w:ind w:firstLine="720"/>
        <w:jc w:val="both"/>
      </w:pPr>
      <w:r w:rsidRPr="002C5AC6">
        <w:t>При определени обстоятелства</w:t>
      </w:r>
      <w:r w:rsidR="00965E51" w:rsidRPr="002C5AC6">
        <w:t xml:space="preserve"> </w:t>
      </w:r>
      <w:r w:rsidR="00676DEB" w:rsidRPr="002C5AC6">
        <w:t>(</w:t>
      </w:r>
      <w:r w:rsidR="00965E51" w:rsidRPr="002C5AC6">
        <w:t>напр</w:t>
      </w:r>
      <w:r w:rsidR="00450EB3" w:rsidRPr="002C5AC6">
        <w:t>. съдебният секретар, участвал в съдебното заседание е пропуснал да издаде РКО 98а и др.</w:t>
      </w:r>
      <w:r w:rsidR="00676DEB" w:rsidRPr="002C5AC6">
        <w:t>)</w:t>
      </w:r>
      <w:r w:rsidRPr="002C5AC6">
        <w:t xml:space="preserve"> е възможно РКО 98а от съдебно заседание да не бъде регистриран в автоматизираната система, което от своя страна води до неначисляване на задължения за съответния месец към вещи лица и недостоверност на информацията в счетоводната система, респективно в счетоводния отчет</w:t>
      </w:r>
      <w:r w:rsidRPr="002C5AC6">
        <w:rPr>
          <w:vertAlign w:val="superscript"/>
        </w:rPr>
        <w:footnoteReference w:id="91"/>
      </w:r>
      <w:r w:rsidR="00676DEB" w:rsidRPr="002C5AC6">
        <w:t>.</w:t>
      </w:r>
      <w:r w:rsidRPr="002C5AC6">
        <w:t xml:space="preserve"> </w:t>
      </w:r>
    </w:p>
    <w:p w:rsidR="005729DD" w:rsidRPr="002C5AC6" w:rsidRDefault="005729DD" w:rsidP="00CD3CBE">
      <w:pPr>
        <w:pStyle w:val="NoSpacing"/>
        <w:ind w:firstLine="720"/>
        <w:jc w:val="both"/>
      </w:pPr>
      <w:r w:rsidRPr="002C5AC6">
        <w:t xml:space="preserve">В Раздел IV. </w:t>
      </w:r>
      <w:r w:rsidR="00B077F7" w:rsidRPr="002C5AC6">
        <w:t>„</w:t>
      </w:r>
      <w:r w:rsidRPr="002C5AC6">
        <w:t>Функционална структура на счетоводството</w:t>
      </w:r>
      <w:r w:rsidR="00B077F7" w:rsidRPr="002C5AC6">
        <w:t>“</w:t>
      </w:r>
      <w:r w:rsidRPr="002C5AC6">
        <w:t xml:space="preserve">, т. 3.1. </w:t>
      </w:r>
      <w:r w:rsidR="00B077F7" w:rsidRPr="002C5AC6">
        <w:t>„</w:t>
      </w:r>
      <w:r w:rsidRPr="002C5AC6">
        <w:t>Касови плащания на възнаграждения на вещи лица от бюджетна сметка</w:t>
      </w:r>
      <w:r w:rsidR="000024CE" w:rsidRPr="002C5AC6">
        <w:t>“</w:t>
      </w:r>
      <w:r w:rsidRPr="002C5AC6">
        <w:t xml:space="preserve">, </w:t>
      </w:r>
      <w:r w:rsidR="000024CE" w:rsidRPr="002C5AC6">
        <w:t>част „</w:t>
      </w:r>
      <w:r w:rsidRPr="002C5AC6">
        <w:t>Изготвяне на РКО 98а</w:t>
      </w:r>
      <w:r w:rsidR="00B077F7" w:rsidRPr="002C5AC6">
        <w:t>“</w:t>
      </w:r>
      <w:r w:rsidRPr="002C5AC6">
        <w:t xml:space="preserve"> от Правилник за движение на счетоводните документи (ПДСД) е регламентирано, че „РКО се изготвя от съдебния секретар под индиго и индигирания екземпляр се предава в счетоводството </w:t>
      </w:r>
      <w:r w:rsidR="00EC7E2B" w:rsidRPr="002C5AC6">
        <w:t>в тридневен срок от изготвянето</w:t>
      </w:r>
      <w:r w:rsidRPr="002C5AC6">
        <w:t xml:space="preserve">“. През одитирания период РКО са извличани от автоматизираната система за РКО 98а в два екземпляра, а не са писани под индиго от съдебните секретари, т.е. </w:t>
      </w:r>
      <w:r w:rsidR="00450EB3" w:rsidRPr="002C5AC6">
        <w:rPr>
          <w:i/>
        </w:rPr>
        <w:t>ПДСД не е актуализиран с въвеждането на автоматизирана система за РКО 98а</w:t>
      </w:r>
      <w:r w:rsidRPr="002C5AC6">
        <w:t>.</w:t>
      </w:r>
    </w:p>
    <w:p w:rsidR="005729DD" w:rsidRPr="002C5AC6" w:rsidRDefault="005729DD" w:rsidP="00CD3CBE">
      <w:pPr>
        <w:pStyle w:val="NoSpacing"/>
        <w:ind w:firstLine="720"/>
        <w:jc w:val="both"/>
        <w:rPr>
          <w:i/>
        </w:rPr>
      </w:pPr>
      <w:r w:rsidRPr="002C5AC6">
        <w:rPr>
          <w:i/>
        </w:rPr>
        <w:t xml:space="preserve">Счетоводното начисляване и отчитане на възнагражденията на вещите лица не е организирано текущо в съответствие с чл. 5, ал. 1 и </w:t>
      </w:r>
      <w:r w:rsidR="00676DEB" w:rsidRPr="002C5AC6">
        <w:rPr>
          <w:i/>
        </w:rPr>
        <w:t xml:space="preserve">чл. </w:t>
      </w:r>
      <w:r w:rsidRPr="002C5AC6">
        <w:rPr>
          <w:i/>
        </w:rPr>
        <w:t>12 от ЗСч</w:t>
      </w:r>
      <w:r w:rsidR="00AC0865" w:rsidRPr="002C5AC6">
        <w:rPr>
          <w:i/>
        </w:rPr>
        <w:t xml:space="preserve"> (отм</w:t>
      </w:r>
      <w:r w:rsidR="0038528E" w:rsidRPr="002C5AC6">
        <w:rPr>
          <w:i/>
        </w:rPr>
        <w:t>.</w:t>
      </w:r>
      <w:r w:rsidR="00AC0865" w:rsidRPr="002C5AC6">
        <w:rPr>
          <w:i/>
        </w:rPr>
        <w:t>)</w:t>
      </w:r>
      <w:r w:rsidRPr="002C5AC6">
        <w:rPr>
          <w:i/>
        </w:rPr>
        <w:t>. Не е предвидена контролна процедура и</w:t>
      </w:r>
      <w:r w:rsidR="007C4943" w:rsidRPr="002C5AC6">
        <w:rPr>
          <w:i/>
        </w:rPr>
        <w:t xml:space="preserve"> отговорен служител за проверка</w:t>
      </w:r>
      <w:r w:rsidRPr="002C5AC6">
        <w:rPr>
          <w:i/>
        </w:rPr>
        <w:t xml:space="preserve"> </w:t>
      </w:r>
      <w:r w:rsidR="00006D7E" w:rsidRPr="002C5AC6">
        <w:rPr>
          <w:i/>
        </w:rPr>
        <w:t xml:space="preserve">по </w:t>
      </w:r>
      <w:r w:rsidRPr="002C5AC6">
        <w:rPr>
          <w:i/>
        </w:rPr>
        <w:t xml:space="preserve">спазването на тридневния срок за представяне на РКО 98а в счетоводството, както и </w:t>
      </w:r>
      <w:r w:rsidR="00CC07C5" w:rsidRPr="002C5AC6">
        <w:rPr>
          <w:i/>
        </w:rPr>
        <w:t xml:space="preserve">за </w:t>
      </w:r>
      <w:r w:rsidRPr="002C5AC6">
        <w:rPr>
          <w:i/>
        </w:rPr>
        <w:t>докладване на административния ръководител.</w:t>
      </w:r>
    </w:p>
    <w:p w:rsidR="005729DD" w:rsidRPr="002C5AC6" w:rsidRDefault="005729DD" w:rsidP="00CD3CBE">
      <w:pPr>
        <w:pStyle w:val="NoSpacing"/>
        <w:ind w:firstLine="720"/>
        <w:jc w:val="both"/>
        <w:rPr>
          <w:i/>
        </w:rPr>
      </w:pPr>
      <w:r w:rsidRPr="002C5AC6">
        <w:rPr>
          <w:i/>
        </w:rPr>
        <w:t xml:space="preserve">Несвоевременното начисляване на задължения към вещи лица е предпоставка за недостоверност на информацията в счетоводната система респ. счетоводния отчет. </w:t>
      </w:r>
      <w:r w:rsidR="00A26857" w:rsidRPr="002C5AC6">
        <w:rPr>
          <w:i/>
        </w:rPr>
        <w:t>Липсата</w:t>
      </w:r>
      <w:r w:rsidRPr="002C5AC6">
        <w:rPr>
          <w:i/>
        </w:rPr>
        <w:t xml:space="preserve"> на </w:t>
      </w:r>
      <w:r w:rsidR="00A26857" w:rsidRPr="002C5AC6">
        <w:rPr>
          <w:i/>
        </w:rPr>
        <w:t xml:space="preserve">софтуерна </w:t>
      </w:r>
      <w:r w:rsidRPr="002C5AC6">
        <w:rPr>
          <w:i/>
        </w:rPr>
        <w:t xml:space="preserve">връзка на счетоводната програма „КОНТО 66” с автоматизираната система за РКО 98а (от съдебно заседание) </w:t>
      </w:r>
      <w:r w:rsidR="00A26857" w:rsidRPr="002C5AC6">
        <w:rPr>
          <w:i/>
        </w:rPr>
        <w:t>н</w:t>
      </w:r>
      <w:r w:rsidRPr="002C5AC6">
        <w:rPr>
          <w:i/>
        </w:rPr>
        <w:t>е позвол</w:t>
      </w:r>
      <w:r w:rsidR="00A26857" w:rsidRPr="002C5AC6">
        <w:rPr>
          <w:i/>
        </w:rPr>
        <w:t>ява</w:t>
      </w:r>
      <w:r w:rsidRPr="002C5AC6">
        <w:rPr>
          <w:i/>
        </w:rPr>
        <w:t xml:space="preserve"> задълженията към вещите лица да се начисляват текущо и отчитат аналитично по име на вещото лице в съответствие с </w:t>
      </w:r>
      <w:r w:rsidR="00CC07C5" w:rsidRPr="002C5AC6">
        <w:rPr>
          <w:i/>
        </w:rPr>
        <w:t xml:space="preserve">изискванията на </w:t>
      </w:r>
      <w:r w:rsidRPr="002C5AC6">
        <w:rPr>
          <w:i/>
        </w:rPr>
        <w:t>чл. 2 и чл.</w:t>
      </w:r>
      <w:r w:rsidR="00676DEB" w:rsidRPr="002C5AC6">
        <w:rPr>
          <w:i/>
        </w:rPr>
        <w:t xml:space="preserve"> </w:t>
      </w:r>
      <w:r w:rsidRPr="002C5AC6">
        <w:rPr>
          <w:i/>
        </w:rPr>
        <w:t>4, ал.</w:t>
      </w:r>
      <w:r w:rsidR="00302C8D" w:rsidRPr="002C5AC6">
        <w:rPr>
          <w:i/>
        </w:rPr>
        <w:t xml:space="preserve"> </w:t>
      </w:r>
      <w:r w:rsidRPr="002C5AC6">
        <w:rPr>
          <w:i/>
        </w:rPr>
        <w:t>1, т.</w:t>
      </w:r>
      <w:r w:rsidR="00302C8D" w:rsidRPr="002C5AC6">
        <w:rPr>
          <w:i/>
        </w:rPr>
        <w:t xml:space="preserve"> </w:t>
      </w:r>
      <w:r w:rsidRPr="002C5AC6">
        <w:rPr>
          <w:i/>
        </w:rPr>
        <w:t>1, чл. 5, ал.</w:t>
      </w:r>
      <w:r w:rsidR="00302C8D" w:rsidRPr="002C5AC6">
        <w:rPr>
          <w:i/>
        </w:rPr>
        <w:t xml:space="preserve"> </w:t>
      </w:r>
      <w:r w:rsidRPr="002C5AC6">
        <w:rPr>
          <w:i/>
        </w:rPr>
        <w:t>1, чл.</w:t>
      </w:r>
      <w:r w:rsidR="00302C8D" w:rsidRPr="002C5AC6">
        <w:rPr>
          <w:i/>
        </w:rPr>
        <w:t xml:space="preserve"> </w:t>
      </w:r>
      <w:r w:rsidRPr="002C5AC6">
        <w:rPr>
          <w:i/>
        </w:rPr>
        <w:t>9, ал.</w:t>
      </w:r>
      <w:r w:rsidR="00302C8D" w:rsidRPr="002C5AC6">
        <w:rPr>
          <w:i/>
        </w:rPr>
        <w:t xml:space="preserve"> </w:t>
      </w:r>
      <w:r w:rsidRPr="002C5AC6">
        <w:rPr>
          <w:i/>
        </w:rPr>
        <w:t>1,</w:t>
      </w:r>
      <w:r w:rsidR="00006D7E" w:rsidRPr="002C5AC6">
        <w:rPr>
          <w:i/>
        </w:rPr>
        <w:t xml:space="preserve"> </w:t>
      </w:r>
      <w:r w:rsidRPr="002C5AC6">
        <w:rPr>
          <w:i/>
        </w:rPr>
        <w:t>т.</w:t>
      </w:r>
      <w:r w:rsidR="00302C8D" w:rsidRPr="002C5AC6">
        <w:rPr>
          <w:i/>
        </w:rPr>
        <w:t xml:space="preserve"> </w:t>
      </w:r>
      <w:r w:rsidRPr="002C5AC6">
        <w:rPr>
          <w:i/>
        </w:rPr>
        <w:t>1 и чл.</w:t>
      </w:r>
      <w:r w:rsidR="00302C8D" w:rsidRPr="002C5AC6">
        <w:rPr>
          <w:i/>
        </w:rPr>
        <w:t xml:space="preserve"> </w:t>
      </w:r>
      <w:r w:rsidRPr="002C5AC6">
        <w:rPr>
          <w:i/>
        </w:rPr>
        <w:t>23</w:t>
      </w:r>
      <w:r w:rsidR="00A923D0" w:rsidRPr="002C5AC6">
        <w:rPr>
          <w:i/>
        </w:rPr>
        <w:t>, ал. 2</w:t>
      </w:r>
      <w:r w:rsidRPr="002C5AC6">
        <w:rPr>
          <w:i/>
        </w:rPr>
        <w:t xml:space="preserve"> от ЗСч</w:t>
      </w:r>
      <w:r w:rsidR="00AC0865" w:rsidRPr="002C5AC6">
        <w:rPr>
          <w:i/>
        </w:rPr>
        <w:t xml:space="preserve"> (отм.)</w:t>
      </w:r>
      <w:r w:rsidRPr="002C5AC6">
        <w:rPr>
          <w:i/>
        </w:rPr>
        <w:t xml:space="preserve">. </w:t>
      </w:r>
    </w:p>
    <w:p w:rsidR="00CB39B9" w:rsidRPr="002C5AC6" w:rsidRDefault="00E661C8" w:rsidP="007C4943">
      <w:pPr>
        <w:spacing w:before="120" w:after="120"/>
        <w:ind w:firstLine="709"/>
        <w:jc w:val="both"/>
        <w:rPr>
          <w:b/>
        </w:rPr>
      </w:pPr>
      <w:r w:rsidRPr="002C5AC6">
        <w:rPr>
          <w:b/>
        </w:rPr>
        <w:lastRenderedPageBreak/>
        <w:t>4</w:t>
      </w:r>
      <w:r w:rsidR="005729DD" w:rsidRPr="002C5AC6">
        <w:rPr>
          <w:b/>
        </w:rPr>
        <w:t>. Изплащане на възнагражденията</w:t>
      </w:r>
    </w:p>
    <w:p w:rsidR="005729DD" w:rsidRPr="002C5AC6" w:rsidRDefault="009705BE" w:rsidP="006176B5">
      <w:pPr>
        <w:pStyle w:val="NoSpacing"/>
        <w:ind w:firstLine="720"/>
        <w:jc w:val="both"/>
      </w:pPr>
      <w:r w:rsidRPr="002C5AC6">
        <w:t>Изп</w:t>
      </w:r>
      <w:r w:rsidR="005729DD" w:rsidRPr="002C5AC6">
        <w:t xml:space="preserve">лащането на сумите </w:t>
      </w:r>
      <w:r w:rsidR="007C4943" w:rsidRPr="002C5AC6">
        <w:t xml:space="preserve">за възнаграждение на вещите лица </w:t>
      </w:r>
      <w:r w:rsidR="005729DD" w:rsidRPr="002C5AC6">
        <w:t xml:space="preserve">се извършва след представяне от вещото лице на документ РКО 98а в касата на СРС и проверка </w:t>
      </w:r>
      <w:r w:rsidRPr="002C5AC6">
        <w:t xml:space="preserve">от отговорен счетоводител </w:t>
      </w:r>
      <w:r w:rsidR="005729DD" w:rsidRPr="002C5AC6">
        <w:t>за наличие на задължение към експерта. Проверява се дали задължението фигурира в регистър „Предстоящи плащания“ или „Справка за изплатените възнаграждения на вещи лица“.</w:t>
      </w:r>
      <w:r w:rsidRPr="002C5AC6">
        <w:t xml:space="preserve"> </w:t>
      </w:r>
    </w:p>
    <w:p w:rsidR="005729DD" w:rsidRPr="002C5AC6" w:rsidRDefault="009705BE" w:rsidP="007C4943">
      <w:pPr>
        <w:pStyle w:val="NoSpacing"/>
        <w:spacing w:after="120"/>
        <w:ind w:firstLine="720"/>
        <w:jc w:val="both"/>
      </w:pPr>
      <w:r w:rsidRPr="002C5AC6">
        <w:t>Изп</w:t>
      </w:r>
      <w:r w:rsidR="005729DD" w:rsidRPr="002C5AC6">
        <w:t>лащането на възнагражденията на вещи</w:t>
      </w:r>
      <w:r w:rsidRPr="002C5AC6">
        <w:t>те</w:t>
      </w:r>
      <w:r w:rsidR="005729DD" w:rsidRPr="002C5AC6">
        <w:t xml:space="preserve"> лица се извършва по два начина - </w:t>
      </w:r>
      <w:r w:rsidRPr="002C5AC6">
        <w:t xml:space="preserve">в брой от </w:t>
      </w:r>
      <w:r w:rsidR="005729DD" w:rsidRPr="002C5AC6">
        <w:t>каса</w:t>
      </w:r>
      <w:r w:rsidRPr="002C5AC6">
        <w:t>та на СРС</w:t>
      </w:r>
      <w:r w:rsidR="005729DD" w:rsidRPr="002C5AC6">
        <w:t xml:space="preserve"> и безкасово. </w:t>
      </w:r>
    </w:p>
    <w:p w:rsidR="005729DD" w:rsidRPr="002C5AC6" w:rsidRDefault="00E661C8" w:rsidP="006176B5">
      <w:pPr>
        <w:pStyle w:val="NoSpacing"/>
        <w:ind w:firstLine="720"/>
        <w:jc w:val="both"/>
      </w:pPr>
      <w:r w:rsidRPr="002C5AC6">
        <w:t>4</w:t>
      </w:r>
      <w:r w:rsidR="009E05EB" w:rsidRPr="002C5AC6">
        <w:t>.1</w:t>
      </w:r>
      <w:r w:rsidR="005729DD" w:rsidRPr="002C5AC6">
        <w:t xml:space="preserve">. Изплатените безкасово възнаграждения на вещи лица през 2014 г. са в размер 2 411 766 лв. В края на 2014 г. плащанията са предимно </w:t>
      </w:r>
      <w:r w:rsidR="00751E6B" w:rsidRPr="002C5AC6">
        <w:t xml:space="preserve">безкасови - </w:t>
      </w:r>
      <w:r w:rsidR="005729DD" w:rsidRPr="002C5AC6">
        <w:t>по банкова сметка на вещ</w:t>
      </w:r>
      <w:r w:rsidR="00B638F7" w:rsidRPr="002C5AC6">
        <w:t>ото</w:t>
      </w:r>
      <w:r w:rsidR="005729DD" w:rsidRPr="002C5AC6">
        <w:t xml:space="preserve"> лиц</w:t>
      </w:r>
      <w:r w:rsidR="00B638F7" w:rsidRPr="002C5AC6">
        <w:t>е</w:t>
      </w:r>
      <w:r w:rsidR="005729DD" w:rsidRPr="002C5AC6">
        <w:t>, с което процес</w:t>
      </w:r>
      <w:r w:rsidR="00056698" w:rsidRPr="002C5AC6">
        <w:t>ът</w:t>
      </w:r>
      <w:r w:rsidR="005729DD" w:rsidRPr="002C5AC6">
        <w:t xml:space="preserve"> е оптимизира</w:t>
      </w:r>
      <w:r w:rsidR="00056698" w:rsidRPr="002C5AC6">
        <w:t>н</w:t>
      </w:r>
      <w:r w:rsidR="005729DD" w:rsidRPr="002C5AC6">
        <w:t xml:space="preserve">. </w:t>
      </w:r>
    </w:p>
    <w:p w:rsidR="005729DD" w:rsidRPr="002C5AC6" w:rsidRDefault="006176B5" w:rsidP="009E05EB">
      <w:pPr>
        <w:tabs>
          <w:tab w:val="left" w:pos="851"/>
        </w:tabs>
        <w:ind w:firstLine="720"/>
        <w:jc w:val="both"/>
      </w:pPr>
      <w:r w:rsidRPr="002C5AC6">
        <w:t>С</w:t>
      </w:r>
      <w:r w:rsidR="005729DD" w:rsidRPr="002C5AC6">
        <w:t xml:space="preserve">ъгласно чл. 27, ал. 1 от приетата </w:t>
      </w:r>
      <w:r w:rsidR="006316B8" w:rsidRPr="002C5AC6">
        <w:t xml:space="preserve">след одитирания период </w:t>
      </w:r>
      <w:r w:rsidR="005729DD" w:rsidRPr="002C5AC6">
        <w:t>Наредба № 2 от 29.06.2015</w:t>
      </w:r>
      <w:r w:rsidR="000024CE" w:rsidRPr="002C5AC6">
        <w:t> </w:t>
      </w:r>
      <w:r w:rsidR="005729DD" w:rsidRPr="002C5AC6">
        <w:t>г.</w:t>
      </w:r>
      <w:r w:rsidR="007C4943" w:rsidRPr="002C5AC6">
        <w:t xml:space="preserve"> </w:t>
      </w:r>
      <w:r w:rsidR="005729DD" w:rsidRPr="002C5AC6">
        <w:t>за вписването, квалификацията и възнагражденията на вещите лица</w:t>
      </w:r>
      <w:r w:rsidR="006316B8" w:rsidRPr="002C5AC6">
        <w:t>,</w:t>
      </w:r>
      <w:r w:rsidR="005729DD" w:rsidRPr="002C5AC6">
        <w:t xml:space="preserve"> хонорарите се изплащат по банкова сметка в срок до 60 дни от приемането на експертизата</w:t>
      </w:r>
      <w:r w:rsidR="00302C8D" w:rsidRPr="002C5AC6">
        <w:t xml:space="preserve">, какъвто срок </w:t>
      </w:r>
      <w:r w:rsidR="006316B8" w:rsidRPr="002C5AC6">
        <w:t xml:space="preserve">при сравнение </w:t>
      </w:r>
      <w:r w:rsidR="00302C8D" w:rsidRPr="002C5AC6">
        <w:t>липсва в действащата през одитирания период НВКВВЛ № 3</w:t>
      </w:r>
      <w:r w:rsidR="005729DD" w:rsidRPr="002C5AC6">
        <w:t xml:space="preserve">. </w:t>
      </w:r>
      <w:r w:rsidR="006316B8" w:rsidRPr="002C5AC6">
        <w:t>Д</w:t>
      </w:r>
      <w:r w:rsidR="00E031E6" w:rsidRPr="002C5AC6">
        <w:t>ействащия в условията на НВКВВЛ № 3 ред за изплащане</w:t>
      </w:r>
      <w:r w:rsidR="00B343E8">
        <w:t xml:space="preserve"> на възнагражденията в брой не </w:t>
      </w:r>
      <w:r w:rsidR="00E031E6" w:rsidRPr="002C5AC6">
        <w:t>създад</w:t>
      </w:r>
      <w:r w:rsidR="006316B8" w:rsidRPr="002C5AC6">
        <w:t>ава</w:t>
      </w:r>
      <w:r w:rsidR="00E031E6" w:rsidRPr="002C5AC6">
        <w:t xml:space="preserve"> предпоставки за ритмично и навременно изплащане на дължимите суми към вещи</w:t>
      </w:r>
      <w:r w:rsidR="006316B8" w:rsidRPr="002C5AC6">
        <w:t>те</w:t>
      </w:r>
      <w:r w:rsidR="00E031E6" w:rsidRPr="002C5AC6">
        <w:t xml:space="preserve"> лица, тъй като </w:t>
      </w:r>
      <w:r w:rsidR="006316B8" w:rsidRPr="002C5AC6">
        <w:t xml:space="preserve">за иницииране на плащането </w:t>
      </w:r>
      <w:r w:rsidR="00E031E6" w:rsidRPr="002C5AC6">
        <w:t>се разчита на тяхното явяване в касата</w:t>
      </w:r>
      <w:r w:rsidR="006316B8" w:rsidRPr="002C5AC6">
        <w:t xml:space="preserve"> на СРС</w:t>
      </w:r>
      <w:r w:rsidR="00E031E6" w:rsidRPr="002C5AC6">
        <w:t>. Т</w:t>
      </w:r>
      <w:r w:rsidR="00CE426B" w:rsidRPr="002C5AC6">
        <w:t>ази организация на процеса</w:t>
      </w:r>
      <w:r w:rsidR="00E031E6" w:rsidRPr="002C5AC6">
        <w:t xml:space="preserve"> </w:t>
      </w:r>
      <w:r w:rsidR="00D93EBB" w:rsidRPr="002C5AC6">
        <w:t xml:space="preserve">изисква от </w:t>
      </w:r>
      <w:r w:rsidR="00CE426B" w:rsidRPr="002C5AC6">
        <w:t xml:space="preserve">администрацията на </w:t>
      </w:r>
      <w:r w:rsidR="00D93EBB" w:rsidRPr="002C5AC6">
        <w:t>съда поддържане на определена касова наличност и затруднява планирането на разходите.</w:t>
      </w:r>
    </w:p>
    <w:p w:rsidR="005729DD" w:rsidRPr="002C5AC6" w:rsidRDefault="005729DD" w:rsidP="009E05EB">
      <w:pPr>
        <w:ind w:firstLine="720"/>
        <w:jc w:val="both"/>
      </w:pPr>
      <w:r w:rsidRPr="002C5AC6">
        <w:t xml:space="preserve">През 2014 г. при безкасово изплащане на възнаграждения на вещи лица, в началото на всеки календарен месец, </w:t>
      </w:r>
      <w:r w:rsidR="00302C8D" w:rsidRPr="002C5AC6">
        <w:t xml:space="preserve">от </w:t>
      </w:r>
      <w:r w:rsidRPr="002C5AC6">
        <w:t xml:space="preserve">главен специалист „счетоводител“ и старши специалист „счетоводител“ </w:t>
      </w:r>
      <w:r w:rsidR="00E659CA" w:rsidRPr="002C5AC6">
        <w:t>е</w:t>
      </w:r>
      <w:r w:rsidR="00302C8D" w:rsidRPr="002C5AC6">
        <w:t xml:space="preserve"> </w:t>
      </w:r>
      <w:r w:rsidRPr="002C5AC6">
        <w:t>изготвя</w:t>
      </w:r>
      <w:r w:rsidR="00302C8D" w:rsidRPr="002C5AC6">
        <w:t>н</w:t>
      </w:r>
      <w:r w:rsidR="00E659CA" w:rsidRPr="002C5AC6">
        <w:t>а</w:t>
      </w:r>
      <w:r w:rsidRPr="002C5AC6">
        <w:t xml:space="preserve"> ведомост за плащания от бюджета на съда или от внесен депозит</w:t>
      </w:r>
      <w:r w:rsidR="00BC0BCA" w:rsidRPr="002C5AC6">
        <w:t xml:space="preserve"> по представените РКО 98а</w:t>
      </w:r>
      <w:r w:rsidRPr="002C5AC6">
        <w:t xml:space="preserve">. Възнагражденията от депозит </w:t>
      </w:r>
      <w:r w:rsidR="00BC0BCA" w:rsidRPr="002C5AC6">
        <w:t xml:space="preserve">са изплащани </w:t>
      </w:r>
      <w:r w:rsidRPr="002C5AC6">
        <w:t>след проверка дали сумата е постъпила по набирателната сметка</w:t>
      </w:r>
      <w:r w:rsidR="00BC0BCA" w:rsidRPr="002C5AC6">
        <w:t xml:space="preserve"> на СРС</w:t>
      </w:r>
      <w:r w:rsidRPr="002C5AC6">
        <w:t xml:space="preserve">. </w:t>
      </w:r>
      <w:r w:rsidR="00546038" w:rsidRPr="002C5AC6">
        <w:t>Окончателният размер на дължимите суми е определян с</w:t>
      </w:r>
      <w:r w:rsidRPr="002C5AC6">
        <w:t>лед попълване на документ по чл. 9, ал.</w:t>
      </w:r>
      <w:r w:rsidR="00B343E8">
        <w:t xml:space="preserve"> 2 от ЗДДФЛ и декларация по чл. </w:t>
      </w:r>
      <w:r w:rsidRPr="002C5AC6">
        <w:t xml:space="preserve">43, ал. 5 и ал. 6 от ЗДДФЛ. </w:t>
      </w:r>
      <w:r w:rsidR="00360DBD" w:rsidRPr="002C5AC6">
        <w:t>Окончателната ведомост за плащанията за месеца е изготвяна в</w:t>
      </w:r>
      <w:r w:rsidRPr="002C5AC6">
        <w:t xml:space="preserve"> периода от 7-мо до 15-то число </w:t>
      </w:r>
      <w:r w:rsidR="009E05EB" w:rsidRPr="002C5AC6">
        <w:t>на всеки месец</w:t>
      </w:r>
      <w:r w:rsidRPr="002C5AC6">
        <w:t xml:space="preserve">. </w:t>
      </w:r>
    </w:p>
    <w:p w:rsidR="005729DD" w:rsidRPr="002C5AC6" w:rsidRDefault="005729DD" w:rsidP="007C4943">
      <w:pPr>
        <w:spacing w:after="120"/>
        <w:ind w:firstLine="720"/>
        <w:jc w:val="both"/>
      </w:pPr>
      <w:r w:rsidRPr="002C5AC6">
        <w:t>След получаване на извлечение от банката за извършеното плащане от бюджета или от набирателната сметка е съставя</w:t>
      </w:r>
      <w:r w:rsidR="00A7542D" w:rsidRPr="002C5AC6">
        <w:t>н</w:t>
      </w:r>
      <w:r w:rsidRPr="002C5AC6">
        <w:t xml:space="preserve"> мемориален ордер за счетоводните операции. Мемориалните ордери</w:t>
      </w:r>
      <w:r w:rsidRPr="002C5AC6">
        <w:rPr>
          <w:rStyle w:val="FootnoteReference"/>
        </w:rPr>
        <w:footnoteReference w:id="92"/>
      </w:r>
      <w:r w:rsidRPr="002C5AC6">
        <w:t xml:space="preserve"> не са подписани от главн</w:t>
      </w:r>
      <w:r w:rsidR="0035742C" w:rsidRPr="002C5AC6">
        <w:t>ия</w:t>
      </w:r>
      <w:r w:rsidRPr="002C5AC6">
        <w:t xml:space="preserve"> счетоводител, с което не е удостоверено дали е осъществен контрол върху верността на счетоводните записвания.</w:t>
      </w:r>
    </w:p>
    <w:p w:rsidR="005729DD" w:rsidRPr="002C5AC6" w:rsidRDefault="00E661C8" w:rsidP="009E05EB">
      <w:pPr>
        <w:ind w:firstLine="720"/>
        <w:jc w:val="both"/>
      </w:pPr>
      <w:r w:rsidRPr="002C5AC6">
        <w:t>4</w:t>
      </w:r>
      <w:r w:rsidR="009E05EB" w:rsidRPr="002C5AC6">
        <w:t>.2</w:t>
      </w:r>
      <w:r w:rsidR="005729DD" w:rsidRPr="002C5AC6">
        <w:t xml:space="preserve">. През одитирания период в </w:t>
      </w:r>
      <w:r w:rsidR="00BB39A2" w:rsidRPr="002C5AC6">
        <w:t>брой от</w:t>
      </w:r>
      <w:r w:rsidR="005729DD" w:rsidRPr="002C5AC6">
        <w:t xml:space="preserve"> каса</w:t>
      </w:r>
      <w:r w:rsidR="00BB39A2" w:rsidRPr="002C5AC6">
        <w:t>та</w:t>
      </w:r>
      <w:r w:rsidR="005729DD" w:rsidRPr="002C5AC6">
        <w:t xml:space="preserve"> </w:t>
      </w:r>
      <w:r w:rsidR="00BB39A2" w:rsidRPr="002C5AC6">
        <w:t xml:space="preserve">на СРС </w:t>
      </w:r>
      <w:r w:rsidR="005729DD" w:rsidRPr="002C5AC6">
        <w:t>са изплатени 1 291 349 лв. (от бюджета на съда и от депозит)</w:t>
      </w:r>
      <w:r w:rsidR="00BB39A2" w:rsidRPr="002C5AC6">
        <w:t xml:space="preserve">, което представлява </w:t>
      </w:r>
      <w:r w:rsidR="005729DD" w:rsidRPr="002C5AC6">
        <w:t xml:space="preserve">35 </w:t>
      </w:r>
      <w:r w:rsidR="00BB39A2" w:rsidRPr="002C5AC6">
        <w:t>на сто</w:t>
      </w:r>
      <w:r w:rsidR="005729DD" w:rsidRPr="002C5AC6">
        <w:t xml:space="preserve"> от общата сума на изплатените възнаграждения на вещи лица. </w:t>
      </w:r>
    </w:p>
    <w:p w:rsidR="005729DD" w:rsidRPr="002C5AC6" w:rsidRDefault="00947C03" w:rsidP="009E05EB">
      <w:pPr>
        <w:tabs>
          <w:tab w:val="left" w:pos="1260"/>
        </w:tabs>
        <w:ind w:firstLine="720"/>
        <w:jc w:val="both"/>
      </w:pPr>
      <w:r w:rsidRPr="002C5AC6">
        <w:t>При проверката е установено, че п</w:t>
      </w:r>
      <w:r w:rsidR="005729DD" w:rsidRPr="002C5AC6">
        <w:t>ри изплащане</w:t>
      </w:r>
      <w:r w:rsidRPr="002C5AC6">
        <w:t>то</w:t>
      </w:r>
      <w:r w:rsidR="005729DD" w:rsidRPr="002C5AC6">
        <w:t xml:space="preserve"> </w:t>
      </w:r>
      <w:r w:rsidRPr="002C5AC6">
        <w:t xml:space="preserve">в брой </w:t>
      </w:r>
      <w:r w:rsidR="005729DD" w:rsidRPr="002C5AC6">
        <w:t xml:space="preserve">на възнаграждения на вещи лица от бюджета или от депозит, в СРС </w:t>
      </w:r>
      <w:r w:rsidR="00AF7542" w:rsidRPr="002C5AC6">
        <w:t>се прилагат</w:t>
      </w:r>
      <w:r w:rsidR="005729DD" w:rsidRPr="002C5AC6">
        <w:t xml:space="preserve"> 3 различни</w:t>
      </w:r>
      <w:r w:rsidR="004C3170" w:rsidRPr="002C5AC6">
        <w:t xml:space="preserve"> по съдържание и предназначение </w:t>
      </w:r>
      <w:r w:rsidR="005729DD" w:rsidRPr="002C5AC6">
        <w:t>РКО</w:t>
      </w:r>
      <w:r w:rsidR="004C3170" w:rsidRPr="002C5AC6">
        <w:t>, в т.ч.:</w:t>
      </w:r>
      <w:r w:rsidR="005729DD" w:rsidRPr="002C5AC6">
        <w:t xml:space="preserve"> </w:t>
      </w:r>
    </w:p>
    <w:p w:rsidR="005729DD" w:rsidRPr="002C5AC6" w:rsidRDefault="004C3170" w:rsidP="009E05EB">
      <w:pPr>
        <w:ind w:firstLine="720"/>
        <w:jc w:val="both"/>
      </w:pPr>
      <w:r w:rsidRPr="002C5AC6">
        <w:t xml:space="preserve">а) </w:t>
      </w:r>
      <w:r w:rsidRPr="002C5AC6">
        <w:rPr>
          <w:i/>
        </w:rPr>
        <w:t>п</w:t>
      </w:r>
      <w:r w:rsidR="005729DD" w:rsidRPr="002C5AC6">
        <w:rPr>
          <w:i/>
        </w:rPr>
        <w:t>ървият</w:t>
      </w:r>
      <w:r w:rsidR="005729DD" w:rsidRPr="002C5AC6">
        <w:t xml:space="preserve"> е РКО 98а, издаден в съдебно заседание с разпореждане (определение) на съдията по делото от автоматизираната система за РКО 98а</w:t>
      </w:r>
      <w:r w:rsidR="00AF7542" w:rsidRPr="002C5AC6">
        <w:t xml:space="preserve"> е с характер на първичен счетоводен документ</w:t>
      </w:r>
      <w:r w:rsidR="006A7C71" w:rsidRPr="002C5AC6">
        <w:t xml:space="preserve"> и има неговите белези, определени в чл. 7, ал. 2 от ЗСч (отм.)</w:t>
      </w:r>
      <w:r w:rsidR="005729DD" w:rsidRPr="002C5AC6">
        <w:t xml:space="preserve">. Въз основа на </w:t>
      </w:r>
      <w:r w:rsidR="00F60BF6" w:rsidRPr="002C5AC6">
        <w:t>него</w:t>
      </w:r>
      <w:r w:rsidR="005729DD" w:rsidRPr="002C5AC6">
        <w:t xml:space="preserve"> се извършва плащане </w:t>
      </w:r>
      <w:r w:rsidR="00947C03" w:rsidRPr="002C5AC6">
        <w:t>в брой</w:t>
      </w:r>
      <w:r w:rsidR="00947C03" w:rsidRPr="002C5AC6" w:rsidDel="00947C03">
        <w:t xml:space="preserve"> </w:t>
      </w:r>
      <w:r w:rsidR="00947C03" w:rsidRPr="002C5AC6">
        <w:t xml:space="preserve">от </w:t>
      </w:r>
      <w:r w:rsidR="005729DD" w:rsidRPr="002C5AC6">
        <w:t>каса</w:t>
      </w:r>
      <w:r w:rsidR="00947C03" w:rsidRPr="002C5AC6">
        <w:t>та</w:t>
      </w:r>
      <w:r w:rsidR="005729DD" w:rsidRPr="002C5AC6">
        <w:t xml:space="preserve"> или по банков път.</w:t>
      </w:r>
    </w:p>
    <w:p w:rsidR="005729DD" w:rsidRPr="002C5AC6" w:rsidRDefault="005729DD" w:rsidP="009E05EB">
      <w:pPr>
        <w:ind w:firstLine="720"/>
        <w:jc w:val="both"/>
      </w:pPr>
      <w:r w:rsidRPr="002C5AC6">
        <w:t xml:space="preserve">РКО 98а съдържа </w:t>
      </w:r>
      <w:r w:rsidR="00201AC2" w:rsidRPr="002C5AC6">
        <w:t xml:space="preserve">имената на вещото лице, </w:t>
      </w:r>
      <w:r w:rsidRPr="002C5AC6">
        <w:t xml:space="preserve">данни за № на делото, съдебния състав, дата на издаване и сума за плащане. Издава се в </w:t>
      </w:r>
      <w:r w:rsidR="0024353A" w:rsidRPr="002C5AC6">
        <w:t xml:space="preserve">два </w:t>
      </w:r>
      <w:r w:rsidRPr="002C5AC6">
        <w:t>екземпляра</w:t>
      </w:r>
      <w:r w:rsidR="0024353A" w:rsidRPr="002C5AC6">
        <w:t xml:space="preserve"> – един за съда и един за вещото лице</w:t>
      </w:r>
      <w:r w:rsidRPr="002C5AC6">
        <w:t xml:space="preserve">. Върху първия екземпляр на РКО 98а се полага първи подпис от председателите </w:t>
      </w:r>
      <w:r w:rsidRPr="002C5AC6">
        <w:lastRenderedPageBreak/>
        <w:t xml:space="preserve">на съдебните състави, съдебен секретар </w:t>
      </w:r>
      <w:r w:rsidR="00F60BF6" w:rsidRPr="002C5AC6">
        <w:t>и получател, съгласно заповед № </w:t>
      </w:r>
      <w:r w:rsidRPr="002C5AC6">
        <w:t>АС - 92/23.05.2012</w:t>
      </w:r>
      <w:r w:rsidR="00B343E8">
        <w:t> </w:t>
      </w:r>
      <w:r w:rsidRPr="002C5AC6">
        <w:t>г. Няма подпис на касиер и</w:t>
      </w:r>
      <w:r w:rsidR="00BF0203" w:rsidRPr="002C5AC6">
        <w:t>/или</w:t>
      </w:r>
      <w:r w:rsidRPr="002C5AC6">
        <w:t xml:space="preserve"> счетоводител. Поставя се печата на съда</w:t>
      </w:r>
      <w:r w:rsidR="004C3170" w:rsidRPr="002C5AC6">
        <w:t>;</w:t>
      </w:r>
      <w:r w:rsidRPr="002C5AC6">
        <w:t xml:space="preserve"> </w:t>
      </w:r>
    </w:p>
    <w:p w:rsidR="005729DD" w:rsidRPr="002C5AC6" w:rsidRDefault="004C3170" w:rsidP="009E05EB">
      <w:pPr>
        <w:ind w:firstLine="720"/>
        <w:jc w:val="both"/>
      </w:pPr>
      <w:r w:rsidRPr="002C5AC6">
        <w:t>б) п</w:t>
      </w:r>
      <w:r w:rsidR="005729DD" w:rsidRPr="002C5AC6">
        <w:t xml:space="preserve">лащанията </w:t>
      </w:r>
      <w:r w:rsidR="00947C03" w:rsidRPr="002C5AC6">
        <w:t>в брой от</w:t>
      </w:r>
      <w:r w:rsidR="005729DD" w:rsidRPr="002C5AC6">
        <w:t xml:space="preserve"> каса</w:t>
      </w:r>
      <w:r w:rsidR="00947C03" w:rsidRPr="002C5AC6">
        <w:t>та</w:t>
      </w:r>
      <w:r w:rsidR="005729DD" w:rsidRPr="002C5AC6">
        <w:t xml:space="preserve"> в СРС се извършват след представяне от вещото лице на</w:t>
      </w:r>
      <w:r w:rsidR="005C00A1" w:rsidRPr="002C5AC6">
        <w:t xml:space="preserve"> </w:t>
      </w:r>
      <w:r w:rsidR="005729DD" w:rsidRPr="002C5AC6">
        <w:t xml:space="preserve">екземпляр </w:t>
      </w:r>
      <w:r w:rsidRPr="002C5AC6">
        <w:t>от</w:t>
      </w:r>
      <w:r w:rsidR="005729DD" w:rsidRPr="002C5AC6">
        <w:t xml:space="preserve"> РКО 98а, издаден в съдебно заседание, за който или които, в зависимост от броя на представените РКО 98а, се съставя </w:t>
      </w:r>
      <w:r w:rsidR="005729DD" w:rsidRPr="002C5AC6">
        <w:rPr>
          <w:i/>
        </w:rPr>
        <w:t>втори</w:t>
      </w:r>
      <w:r w:rsidR="005729DD" w:rsidRPr="002C5AC6">
        <w:t xml:space="preserve"> РКО - обобщаващ за общата сума на всички представени РКО 98а за деня от вещото лице. Вторият РКО е платежен документ за извършено плащане и се подписва от вещото лице, </w:t>
      </w:r>
      <w:r w:rsidR="00F60BF6" w:rsidRPr="002C5AC6">
        <w:t xml:space="preserve">от </w:t>
      </w:r>
      <w:r w:rsidR="005729DD" w:rsidRPr="002C5AC6">
        <w:t>касиер, главен счетоводител и счетоводител. Върху втория РКО, не е положен първи подпис за ръководител</w:t>
      </w:r>
      <w:r w:rsidR="00AF50D2" w:rsidRPr="002C5AC6">
        <w:t>, което не съответства на изискванията на чл. 13, ал. 3, т. 3 от ЗФУКПС</w:t>
      </w:r>
      <w:r w:rsidR="005729DD" w:rsidRPr="002C5AC6">
        <w:t xml:space="preserve">. </w:t>
      </w:r>
    </w:p>
    <w:p w:rsidR="005729DD" w:rsidRPr="002C5AC6" w:rsidRDefault="005729DD" w:rsidP="009E05EB">
      <w:pPr>
        <w:tabs>
          <w:tab w:val="left" w:pos="851"/>
        </w:tabs>
        <w:ind w:firstLine="720"/>
        <w:jc w:val="both"/>
      </w:pPr>
      <w:r w:rsidRPr="002C5AC6">
        <w:t>Към втория РКО се прилага Сметка – документ по чл. 9, ал. 2 от ЗДДФЛ и декларация по чл. 43, ал. 5 от ЗДДФЛ, която се извлича от програмния продукт за заплати и граждански договори „Аладин“. Изплатените суми на вещи лица се записват от старши специалист - счетоводител в регистъра „Справка за изплатените възнаграждения на вещи лица“. Регистър</w:t>
      </w:r>
      <w:r w:rsidR="005C00A1" w:rsidRPr="002C5AC6">
        <w:t>ът</w:t>
      </w:r>
      <w:r w:rsidRPr="002C5AC6">
        <w:t xml:space="preserve"> се води извънсчетоводно</w:t>
      </w:r>
      <w:r w:rsidR="004C3170" w:rsidRPr="002C5AC6">
        <w:t>;</w:t>
      </w:r>
    </w:p>
    <w:p w:rsidR="005729DD" w:rsidRPr="002C5AC6" w:rsidRDefault="004C3170" w:rsidP="009E05EB">
      <w:pPr>
        <w:tabs>
          <w:tab w:val="left" w:pos="851"/>
        </w:tabs>
        <w:ind w:firstLine="720"/>
        <w:jc w:val="both"/>
      </w:pPr>
      <w:r w:rsidRPr="002C5AC6">
        <w:t xml:space="preserve">в) </w:t>
      </w:r>
      <w:r w:rsidRPr="002C5AC6">
        <w:rPr>
          <w:i/>
        </w:rPr>
        <w:t>т</w:t>
      </w:r>
      <w:r w:rsidR="005729DD" w:rsidRPr="002C5AC6">
        <w:rPr>
          <w:i/>
        </w:rPr>
        <w:t>ретият</w:t>
      </w:r>
      <w:r w:rsidR="005729DD" w:rsidRPr="002C5AC6">
        <w:t xml:space="preserve"> РКО е обобщаващ и се издава от касиера на СРС в края на всеки ден. Той е за общата сума от всички РКО 98а на всички вещи лица, които са ги представили в касата на СРС през деня. Третият РКО се вписва в Касовата книга и се съставя счетоводна операция. Към него се прилага обобщена ведомост за изплатените</w:t>
      </w:r>
      <w:r w:rsidR="00B343E8">
        <w:t xml:space="preserve"> граждански договори и хонорари</w:t>
      </w:r>
      <w:r w:rsidR="005729DD" w:rsidRPr="002C5AC6">
        <w:rPr>
          <w:vertAlign w:val="superscript"/>
        </w:rPr>
        <w:footnoteReference w:id="93"/>
      </w:r>
      <w:r w:rsidR="005729DD" w:rsidRPr="002C5AC6">
        <w:t xml:space="preserve">, която не е подписана за </w:t>
      </w:r>
      <w:r w:rsidR="00C44865" w:rsidRPr="002C5AC6">
        <w:t>реквизитите „</w:t>
      </w:r>
      <w:r w:rsidR="005729DD" w:rsidRPr="002C5AC6">
        <w:t>изготвил</w:t>
      </w:r>
      <w:r w:rsidR="00C44865" w:rsidRPr="002C5AC6">
        <w:t>“</w:t>
      </w:r>
      <w:r w:rsidR="005729DD" w:rsidRPr="002C5AC6">
        <w:t xml:space="preserve"> и </w:t>
      </w:r>
      <w:r w:rsidR="00C44865" w:rsidRPr="002C5AC6">
        <w:t>„</w:t>
      </w:r>
      <w:r w:rsidR="005729DD" w:rsidRPr="002C5AC6">
        <w:t>проверил</w:t>
      </w:r>
      <w:r w:rsidR="00C44865" w:rsidRPr="002C5AC6">
        <w:t>“</w:t>
      </w:r>
      <w:r w:rsidR="005729DD" w:rsidRPr="002C5AC6">
        <w:t>. Прилага се Контролен лист за извършване на предварителен контрол от финансовия контрольор. На третия РКО няма подпис за получател</w:t>
      </w:r>
      <w:r w:rsidR="00F60BF6" w:rsidRPr="002C5AC6">
        <w:t>,</w:t>
      </w:r>
      <w:r w:rsidR="005729DD" w:rsidRPr="002C5AC6">
        <w:t xml:space="preserve"> тъй като е обобщаващ за всички вещи лица</w:t>
      </w:r>
      <w:r w:rsidR="00F60BF6" w:rsidRPr="002C5AC6">
        <w:t>,</w:t>
      </w:r>
      <w:r w:rsidR="005729DD" w:rsidRPr="002C5AC6">
        <w:t xml:space="preserve"> получили възнаграждение </w:t>
      </w:r>
      <w:r w:rsidR="00C44865" w:rsidRPr="002C5AC6">
        <w:t xml:space="preserve">през </w:t>
      </w:r>
      <w:r w:rsidR="005729DD" w:rsidRPr="002C5AC6">
        <w:t>съответния ден.</w:t>
      </w:r>
    </w:p>
    <w:p w:rsidR="005729DD" w:rsidRPr="002C5AC6" w:rsidRDefault="00DB4267" w:rsidP="009E05EB">
      <w:pPr>
        <w:ind w:firstLine="720"/>
        <w:jc w:val="both"/>
      </w:pPr>
      <w:r w:rsidRPr="002C5AC6">
        <w:t xml:space="preserve">Въведената </w:t>
      </w:r>
      <w:r w:rsidR="00450EB3" w:rsidRPr="002C5AC6">
        <w:t xml:space="preserve">практика </w:t>
      </w:r>
      <w:r w:rsidR="008355B2" w:rsidRPr="002C5AC6">
        <w:t>н</w:t>
      </w:r>
      <w:r w:rsidR="00450EB3" w:rsidRPr="002C5AC6">
        <w:t xml:space="preserve">е </w:t>
      </w:r>
      <w:r w:rsidR="008355B2" w:rsidRPr="002C5AC6">
        <w:t>съо</w:t>
      </w:r>
      <w:r w:rsidRPr="002C5AC6">
        <w:t xml:space="preserve">тветства на изискванията на </w:t>
      </w:r>
      <w:r w:rsidR="00450EB3" w:rsidRPr="002C5AC6">
        <w:t>чл.</w:t>
      </w:r>
      <w:r w:rsidR="00F60BF6" w:rsidRPr="002C5AC6">
        <w:t xml:space="preserve"> </w:t>
      </w:r>
      <w:r w:rsidR="00450EB3" w:rsidRPr="002C5AC6">
        <w:t>13, ал.</w:t>
      </w:r>
      <w:r w:rsidR="00F60BF6" w:rsidRPr="002C5AC6">
        <w:t xml:space="preserve"> </w:t>
      </w:r>
      <w:r w:rsidR="00450EB3" w:rsidRPr="002C5AC6">
        <w:t>3, т.</w:t>
      </w:r>
      <w:r w:rsidR="00F60BF6" w:rsidRPr="002C5AC6">
        <w:t xml:space="preserve"> </w:t>
      </w:r>
      <w:r w:rsidR="00450EB3" w:rsidRPr="002C5AC6">
        <w:t>3 от</w:t>
      </w:r>
      <w:r w:rsidR="00450EB3" w:rsidRPr="002C5AC6">
        <w:rPr>
          <w:i/>
        </w:rPr>
        <w:t xml:space="preserve"> </w:t>
      </w:r>
      <w:r w:rsidR="00450EB3" w:rsidRPr="002C5AC6">
        <w:t>ЗФУКПС, чл.</w:t>
      </w:r>
      <w:r w:rsidR="00F60BF6" w:rsidRPr="002C5AC6">
        <w:t xml:space="preserve"> </w:t>
      </w:r>
      <w:r w:rsidR="00450EB3" w:rsidRPr="002C5AC6">
        <w:t>4, ал.</w:t>
      </w:r>
      <w:r w:rsidR="00F60BF6" w:rsidRPr="002C5AC6">
        <w:t xml:space="preserve"> </w:t>
      </w:r>
      <w:r w:rsidR="00450EB3" w:rsidRPr="002C5AC6">
        <w:t>1, т.</w:t>
      </w:r>
      <w:r w:rsidR="00F60BF6" w:rsidRPr="002C5AC6">
        <w:t xml:space="preserve"> </w:t>
      </w:r>
      <w:r w:rsidR="00450EB3" w:rsidRPr="002C5AC6">
        <w:t>1</w:t>
      </w:r>
      <w:r w:rsidR="00C44865" w:rsidRPr="002C5AC6">
        <w:t xml:space="preserve"> </w:t>
      </w:r>
      <w:r w:rsidR="00450EB3" w:rsidRPr="002C5AC6">
        <w:t>и чл. 12 от ЗСч</w:t>
      </w:r>
      <w:r w:rsidR="00AC0865" w:rsidRPr="002C5AC6">
        <w:t xml:space="preserve"> (отм.)</w:t>
      </w:r>
      <w:r w:rsidR="00450EB3" w:rsidRPr="002C5AC6">
        <w:t xml:space="preserve">, утвърдените Счетоводна политика и Правилник за движението на счетоводните документи на СРС по отношение на </w:t>
      </w:r>
      <w:r w:rsidR="00F63043" w:rsidRPr="002C5AC6">
        <w:t>прилагането</w:t>
      </w:r>
      <w:r w:rsidR="00450EB3" w:rsidRPr="002C5AC6">
        <w:t xml:space="preserve"> на системата на двойния подпис, текущото начисляване и </w:t>
      </w:r>
      <w:r w:rsidR="00267599" w:rsidRPr="002C5AC6">
        <w:t xml:space="preserve">осигуряване на </w:t>
      </w:r>
      <w:r w:rsidR="00FC11EA" w:rsidRPr="002C5AC6">
        <w:t>хронолигично и систематично счетоводно отчитане</w:t>
      </w:r>
      <w:r w:rsidR="00450EB3" w:rsidRPr="002C5AC6">
        <w:t>.</w:t>
      </w:r>
      <w:r w:rsidR="005729DD" w:rsidRPr="002C5AC6">
        <w:t xml:space="preserve"> </w:t>
      </w:r>
    </w:p>
    <w:p w:rsidR="006A7C71" w:rsidRPr="002C5AC6" w:rsidRDefault="00CD705C" w:rsidP="006A7C71">
      <w:pPr>
        <w:ind w:firstLine="720"/>
        <w:jc w:val="both"/>
      </w:pPr>
      <w:r w:rsidRPr="002C5AC6">
        <w:t>По данни на одитираната организация п</w:t>
      </w:r>
      <w:r w:rsidR="005729DD" w:rsidRPr="002C5AC6">
        <w:t xml:space="preserve">рез месец ноември 2014 г. е </w:t>
      </w:r>
      <w:r w:rsidRPr="002C5AC6">
        <w:t>възникнал</w:t>
      </w:r>
      <w:r w:rsidR="005729DD" w:rsidRPr="002C5AC6">
        <w:t xml:space="preserve"> срив в информационната система</w:t>
      </w:r>
      <w:r w:rsidRPr="002C5AC6">
        <w:t xml:space="preserve"> на съда</w:t>
      </w:r>
      <w:r w:rsidR="005729DD" w:rsidRPr="002C5AC6">
        <w:t xml:space="preserve">. В резултат са </w:t>
      </w:r>
      <w:r w:rsidRPr="002C5AC6">
        <w:t xml:space="preserve">били </w:t>
      </w:r>
      <w:r w:rsidR="005729DD" w:rsidRPr="002C5AC6">
        <w:t>унищожени всички файлове с разширение “doc” и „xls“, които съдържат справки, писма, отчети и др., отнасящи се до начисляване и изплащане на възнаграждения на вещи лица и съдебни гаранции</w:t>
      </w:r>
      <w:r w:rsidR="005729DD" w:rsidRPr="002C5AC6">
        <w:rPr>
          <w:vertAlign w:val="superscript"/>
        </w:rPr>
        <w:footnoteReference w:id="94"/>
      </w:r>
      <w:r w:rsidR="005729DD" w:rsidRPr="002C5AC6">
        <w:t xml:space="preserve">. </w:t>
      </w:r>
      <w:r w:rsidRPr="002C5AC6">
        <w:t>Към момента на срива и</w:t>
      </w:r>
      <w:r w:rsidR="005729DD" w:rsidRPr="002C5AC6">
        <w:t xml:space="preserve">нформацията не е </w:t>
      </w:r>
      <w:r w:rsidRPr="002C5AC6">
        <w:t xml:space="preserve">била </w:t>
      </w:r>
      <w:r w:rsidR="005729DD" w:rsidRPr="002C5AC6">
        <w:t>съхранява</w:t>
      </w:r>
      <w:r w:rsidRPr="002C5AC6">
        <w:t>н</w:t>
      </w:r>
      <w:r w:rsidR="005729DD" w:rsidRPr="002C5AC6">
        <w:t>а на сървъра на съда и не е била архивирана на външно записващо устройство</w:t>
      </w:r>
      <w:r w:rsidRPr="002C5AC6">
        <w:t>, поради което е била в</w:t>
      </w:r>
      <w:r w:rsidR="005729DD" w:rsidRPr="002C5AC6">
        <w:t xml:space="preserve">ъзстановена от хартиените носители. </w:t>
      </w:r>
    </w:p>
    <w:p w:rsidR="005729DD" w:rsidRPr="002C5AC6" w:rsidRDefault="00DE2C4C" w:rsidP="009E05EB">
      <w:pPr>
        <w:spacing w:after="120"/>
        <w:ind w:firstLine="720"/>
        <w:jc w:val="both"/>
        <w:rPr>
          <w:i/>
        </w:rPr>
      </w:pPr>
      <w:r w:rsidRPr="002C5AC6">
        <w:rPr>
          <w:i/>
        </w:rPr>
        <w:t>От р</w:t>
      </w:r>
      <w:r w:rsidR="005729DD" w:rsidRPr="002C5AC6">
        <w:rPr>
          <w:i/>
        </w:rPr>
        <w:t xml:space="preserve">ъководителя на СРС </w:t>
      </w:r>
      <w:r w:rsidRPr="002C5AC6">
        <w:rPr>
          <w:i/>
        </w:rPr>
        <w:t xml:space="preserve">писмено </w:t>
      </w:r>
      <w:r w:rsidR="005729DD" w:rsidRPr="002C5AC6">
        <w:rPr>
          <w:i/>
        </w:rPr>
        <w:t xml:space="preserve">не </w:t>
      </w:r>
      <w:r w:rsidRPr="002C5AC6">
        <w:rPr>
          <w:i/>
        </w:rPr>
        <w:t>са</w:t>
      </w:r>
      <w:r w:rsidR="005729DD" w:rsidRPr="002C5AC6">
        <w:rPr>
          <w:i/>
        </w:rPr>
        <w:t xml:space="preserve"> определ</w:t>
      </w:r>
      <w:r w:rsidRPr="002C5AC6">
        <w:rPr>
          <w:i/>
        </w:rPr>
        <w:t>ени и въведени</w:t>
      </w:r>
      <w:r w:rsidR="005729DD" w:rsidRPr="002C5AC6">
        <w:rPr>
          <w:i/>
        </w:rPr>
        <w:t xml:space="preserve"> политики и процедури за движението и съхранението на информацията</w:t>
      </w:r>
      <w:r w:rsidRPr="002C5AC6">
        <w:rPr>
          <w:i/>
        </w:rPr>
        <w:t xml:space="preserve"> на хартиен и електронен носител</w:t>
      </w:r>
      <w:r w:rsidR="005729DD" w:rsidRPr="002C5AC6">
        <w:rPr>
          <w:i/>
        </w:rPr>
        <w:t>, включително счетоводна</w:t>
      </w:r>
      <w:r w:rsidRPr="002C5AC6">
        <w:rPr>
          <w:i/>
        </w:rPr>
        <w:t>та</w:t>
      </w:r>
      <w:r w:rsidR="005729DD" w:rsidRPr="002C5AC6">
        <w:rPr>
          <w:i/>
        </w:rPr>
        <w:t xml:space="preserve">, </w:t>
      </w:r>
      <w:r w:rsidRPr="002C5AC6">
        <w:rPr>
          <w:i/>
        </w:rPr>
        <w:t xml:space="preserve">във </w:t>
      </w:r>
      <w:r w:rsidR="005729DD" w:rsidRPr="002C5AC6">
        <w:rPr>
          <w:i/>
        </w:rPr>
        <w:t>в</w:t>
      </w:r>
      <w:r w:rsidRPr="002C5AC6">
        <w:rPr>
          <w:i/>
        </w:rPr>
        <w:t>р</w:t>
      </w:r>
      <w:r w:rsidR="005729DD" w:rsidRPr="002C5AC6">
        <w:rPr>
          <w:i/>
        </w:rPr>
        <w:t>ъз</w:t>
      </w:r>
      <w:r w:rsidRPr="002C5AC6">
        <w:rPr>
          <w:i/>
        </w:rPr>
        <w:t>к</w:t>
      </w:r>
      <w:r w:rsidR="005729DD" w:rsidRPr="002C5AC6">
        <w:rPr>
          <w:i/>
        </w:rPr>
        <w:t>а с дейността по изплащане възнагражденията на вещи</w:t>
      </w:r>
      <w:r w:rsidRPr="002C5AC6">
        <w:rPr>
          <w:i/>
        </w:rPr>
        <w:t>те</w:t>
      </w:r>
      <w:r w:rsidR="005729DD" w:rsidRPr="002C5AC6">
        <w:rPr>
          <w:i/>
        </w:rPr>
        <w:t xml:space="preserve"> лица от момента на нейното създаване </w:t>
      </w:r>
      <w:r w:rsidR="00FC11EA" w:rsidRPr="002C5AC6">
        <w:rPr>
          <w:i/>
        </w:rPr>
        <w:t>в съдебна зала</w:t>
      </w:r>
      <w:r w:rsidRPr="002C5AC6">
        <w:rPr>
          <w:i/>
        </w:rPr>
        <w:t xml:space="preserve"> </w:t>
      </w:r>
      <w:r w:rsidR="00AF50D2" w:rsidRPr="002C5AC6">
        <w:rPr>
          <w:i/>
        </w:rPr>
        <w:t>до</w:t>
      </w:r>
      <w:r w:rsidR="006235B8" w:rsidRPr="002C5AC6">
        <w:rPr>
          <w:i/>
        </w:rPr>
        <w:t xml:space="preserve"> </w:t>
      </w:r>
      <w:r w:rsidR="004C5BCD" w:rsidRPr="002C5AC6">
        <w:rPr>
          <w:i/>
        </w:rPr>
        <w:t xml:space="preserve">момента на </w:t>
      </w:r>
      <w:r w:rsidR="006235B8" w:rsidRPr="002C5AC6">
        <w:rPr>
          <w:i/>
        </w:rPr>
        <w:t>отразяване</w:t>
      </w:r>
      <w:r w:rsidR="00DB0178" w:rsidRPr="002C5AC6">
        <w:rPr>
          <w:i/>
        </w:rPr>
        <w:t xml:space="preserve">то </w:t>
      </w:r>
      <w:r w:rsidRPr="002C5AC6">
        <w:rPr>
          <w:i/>
        </w:rPr>
        <w:t>ѝ</w:t>
      </w:r>
      <w:r w:rsidR="00DB0178" w:rsidRPr="002C5AC6">
        <w:rPr>
          <w:i/>
        </w:rPr>
        <w:t xml:space="preserve"> в</w:t>
      </w:r>
      <w:r w:rsidR="00AF50D2" w:rsidRPr="002C5AC6">
        <w:rPr>
          <w:i/>
        </w:rPr>
        <w:t xml:space="preserve"> </w:t>
      </w:r>
      <w:r w:rsidR="00DB0178" w:rsidRPr="002C5AC6">
        <w:rPr>
          <w:i/>
        </w:rPr>
        <w:t>счетоводните регистри</w:t>
      </w:r>
      <w:r w:rsidR="00AF50D2" w:rsidRPr="002C5AC6">
        <w:rPr>
          <w:i/>
        </w:rPr>
        <w:t>,</w:t>
      </w:r>
      <w:r w:rsidR="00DB0178" w:rsidRPr="002C5AC6">
        <w:rPr>
          <w:i/>
        </w:rPr>
        <w:t xml:space="preserve"> </w:t>
      </w:r>
      <w:r w:rsidR="003806C1" w:rsidRPr="002C5AC6">
        <w:rPr>
          <w:i/>
        </w:rPr>
        <w:t xml:space="preserve">който да </w:t>
      </w:r>
      <w:r w:rsidR="004C5BCD" w:rsidRPr="002C5AC6">
        <w:rPr>
          <w:i/>
        </w:rPr>
        <w:t xml:space="preserve">гарантира спазването на изискванията на </w:t>
      </w:r>
      <w:r w:rsidR="005729DD" w:rsidRPr="002C5AC6">
        <w:rPr>
          <w:i/>
        </w:rPr>
        <w:t xml:space="preserve">чл. 5, ал. 2, т. 2 и 4 </w:t>
      </w:r>
      <w:r w:rsidR="00AF50D2" w:rsidRPr="002C5AC6">
        <w:rPr>
          <w:i/>
        </w:rPr>
        <w:t xml:space="preserve">от </w:t>
      </w:r>
      <w:r w:rsidR="005729DD" w:rsidRPr="002C5AC6">
        <w:rPr>
          <w:i/>
        </w:rPr>
        <w:t>ЗФУКПС и чл. 44 от ЗСч</w:t>
      </w:r>
      <w:r w:rsidR="0038528E" w:rsidRPr="002C5AC6">
        <w:rPr>
          <w:i/>
        </w:rPr>
        <w:t xml:space="preserve"> (отм.)</w:t>
      </w:r>
      <w:r w:rsidR="005729DD" w:rsidRPr="002C5AC6">
        <w:rPr>
          <w:i/>
        </w:rPr>
        <w:t xml:space="preserve">. </w:t>
      </w:r>
      <w:r w:rsidR="004C5BCD" w:rsidRPr="002C5AC6">
        <w:rPr>
          <w:i/>
        </w:rPr>
        <w:t>О</w:t>
      </w:r>
      <w:r w:rsidR="005729DD" w:rsidRPr="002C5AC6">
        <w:rPr>
          <w:i/>
        </w:rPr>
        <w:t xml:space="preserve">т главния счетоводител </w:t>
      </w:r>
      <w:r w:rsidR="004C5BCD" w:rsidRPr="002C5AC6">
        <w:rPr>
          <w:i/>
        </w:rPr>
        <w:t xml:space="preserve">не е извършван текущ контрол </w:t>
      </w:r>
      <w:r w:rsidR="005729DD" w:rsidRPr="002C5AC6">
        <w:rPr>
          <w:i/>
        </w:rPr>
        <w:t>върху верността на счетоводните записвания.</w:t>
      </w:r>
    </w:p>
    <w:p w:rsidR="005729DD" w:rsidRPr="002C5AC6" w:rsidRDefault="00E661C8" w:rsidP="00AF50D2">
      <w:pPr>
        <w:tabs>
          <w:tab w:val="left" w:pos="0"/>
        </w:tabs>
        <w:spacing w:before="120" w:after="120"/>
        <w:ind w:firstLine="720"/>
        <w:jc w:val="both"/>
        <w:rPr>
          <w:b/>
        </w:rPr>
      </w:pPr>
      <w:r w:rsidRPr="002C5AC6">
        <w:rPr>
          <w:b/>
        </w:rPr>
        <w:t>5</w:t>
      </w:r>
      <w:r w:rsidR="005729DD" w:rsidRPr="002C5AC6">
        <w:rPr>
          <w:b/>
        </w:rPr>
        <w:t>.</w:t>
      </w:r>
      <w:r w:rsidR="005729DD" w:rsidRPr="002C5AC6">
        <w:rPr>
          <w:b/>
          <w:i/>
        </w:rPr>
        <w:t xml:space="preserve"> </w:t>
      </w:r>
      <w:r w:rsidR="005729DD" w:rsidRPr="002C5AC6">
        <w:rPr>
          <w:b/>
        </w:rPr>
        <w:t xml:space="preserve">Предварителен контрол за законосъобразност и </w:t>
      </w:r>
      <w:r w:rsidR="00E07ED8" w:rsidRPr="002C5AC6">
        <w:rPr>
          <w:b/>
        </w:rPr>
        <w:t xml:space="preserve">система </w:t>
      </w:r>
      <w:r w:rsidR="005102B3" w:rsidRPr="002C5AC6">
        <w:rPr>
          <w:b/>
        </w:rPr>
        <w:t xml:space="preserve">на двоен подпис </w:t>
      </w:r>
      <w:r w:rsidR="00E07ED8" w:rsidRPr="002C5AC6">
        <w:rPr>
          <w:b/>
        </w:rPr>
        <w:t>пр</w:t>
      </w:r>
      <w:r w:rsidR="005729DD" w:rsidRPr="002C5AC6">
        <w:rPr>
          <w:b/>
        </w:rPr>
        <w:t>и плащанията на вещи лица</w:t>
      </w:r>
    </w:p>
    <w:p w:rsidR="005729DD" w:rsidRPr="002C5AC6" w:rsidRDefault="00EC7E2B" w:rsidP="009E05EB">
      <w:pPr>
        <w:ind w:firstLine="720"/>
        <w:jc w:val="both"/>
      </w:pPr>
      <w:r w:rsidRPr="002C5AC6">
        <w:t>5</w:t>
      </w:r>
      <w:r w:rsidR="00F830A6" w:rsidRPr="002C5AC6">
        <w:t xml:space="preserve">.1. </w:t>
      </w:r>
      <w:r w:rsidR="00AC7FA0" w:rsidRPr="002C5AC6">
        <w:t>Съгласно</w:t>
      </w:r>
      <w:r w:rsidR="005729DD" w:rsidRPr="002C5AC6">
        <w:t xml:space="preserve"> чл. 13, ал. 3, т. 5 от ЗФУКПС предварителен контрол за законосъобразност може да се извършва от назначени за целта финансови контрольори или </w:t>
      </w:r>
      <w:r w:rsidR="005729DD" w:rsidRPr="002C5AC6">
        <w:lastRenderedPageBreak/>
        <w:t xml:space="preserve">други лица, определени от ръководителя на организацията. </w:t>
      </w:r>
      <w:r w:rsidR="00AC7FA0" w:rsidRPr="002C5AC6">
        <w:t>Предварителният контрол в</w:t>
      </w:r>
      <w:r w:rsidR="005729DD" w:rsidRPr="002C5AC6">
        <w:t xml:space="preserve"> СРС е регламентиран с работни инструкции РИ 02-01 „Поемане на задължение“, Инструкция 02-02 „Извършване на разход” и 02-04 „Действия при несъответствие при предварителния контрол“ от СФУК</w:t>
      </w:r>
      <w:r w:rsidR="005729DD" w:rsidRPr="002C5AC6">
        <w:rPr>
          <w:vertAlign w:val="superscript"/>
        </w:rPr>
        <w:footnoteReference w:id="95"/>
      </w:r>
      <w:r w:rsidR="005729DD" w:rsidRPr="002C5AC6">
        <w:t xml:space="preserve">. </w:t>
      </w:r>
      <w:r w:rsidR="00D76199" w:rsidRPr="002C5AC6">
        <w:t>С работните инструкции ф</w:t>
      </w:r>
      <w:r w:rsidR="005729DD" w:rsidRPr="002C5AC6">
        <w:t xml:space="preserve">ункцията е възложена на главния счетоводител. </w:t>
      </w:r>
      <w:r w:rsidR="00AC7FA0" w:rsidRPr="002C5AC6">
        <w:t>От п</w:t>
      </w:r>
      <w:r w:rsidR="005729DD" w:rsidRPr="002C5AC6">
        <w:t>редседателя на СРС не е определ</w:t>
      </w:r>
      <w:r w:rsidR="00AC7FA0" w:rsidRPr="002C5AC6">
        <w:t>ен</w:t>
      </w:r>
      <w:r w:rsidR="005729DD" w:rsidRPr="002C5AC6">
        <w:t xml:space="preserve"> </w:t>
      </w:r>
      <w:r w:rsidR="00E07ED8" w:rsidRPr="002C5AC6">
        <w:t xml:space="preserve">друг </w:t>
      </w:r>
      <w:r w:rsidR="005729DD" w:rsidRPr="002C5AC6">
        <w:t>служител</w:t>
      </w:r>
      <w:r w:rsidR="00AC7FA0" w:rsidRPr="002C5AC6">
        <w:t>, който</w:t>
      </w:r>
      <w:r w:rsidR="005729DD" w:rsidRPr="002C5AC6">
        <w:t xml:space="preserve"> да изпълнява функциите на финансов контрольор при негово отсъствие. </w:t>
      </w:r>
    </w:p>
    <w:p w:rsidR="005729DD" w:rsidRPr="002C5AC6" w:rsidRDefault="005729DD" w:rsidP="00F830A6">
      <w:pPr>
        <w:ind w:firstLine="709"/>
        <w:jc w:val="both"/>
        <w:rPr>
          <w:color w:val="1F497D" w:themeColor="text2"/>
          <w:u w:val="single"/>
        </w:rPr>
      </w:pPr>
      <w:r w:rsidRPr="002C5AC6">
        <w:t>При одита е установ</w:t>
      </w:r>
      <w:r w:rsidR="005C00A1" w:rsidRPr="002C5AC6">
        <w:t>ено</w:t>
      </w:r>
      <w:r w:rsidRPr="002C5AC6">
        <w:t>, че длъжностната характеристика за длъжност</w:t>
      </w:r>
      <w:r w:rsidR="00AC7FA0" w:rsidRPr="002C5AC6">
        <w:t>та</w:t>
      </w:r>
      <w:r w:rsidRPr="002C5AC6">
        <w:t xml:space="preserve"> „главен счетоводител“ е утвърдена от председателя на СРС на 02.09.2009 г. и не е актуализирана в съответствие с </w:t>
      </w:r>
      <w:r w:rsidR="005C00A1" w:rsidRPr="002C5AC6">
        <w:t>променената</w:t>
      </w:r>
      <w:r w:rsidRPr="002C5AC6">
        <w:t xml:space="preserve"> организационна структура</w:t>
      </w:r>
      <w:r w:rsidR="00AC7FA0" w:rsidRPr="002C5AC6">
        <w:t xml:space="preserve"> на съда</w:t>
      </w:r>
      <w:r w:rsidR="00C3331A" w:rsidRPr="002C5AC6">
        <w:rPr>
          <w:rStyle w:val="FootnoteReference"/>
        </w:rPr>
        <w:footnoteReference w:id="96"/>
      </w:r>
      <w:r w:rsidRPr="002C5AC6">
        <w:t>.</w:t>
      </w:r>
      <w:r w:rsidR="00AC7FA0" w:rsidRPr="002C5AC6">
        <w:t xml:space="preserve"> </w:t>
      </w:r>
      <w:r w:rsidR="00C2396F" w:rsidRPr="002C5AC6">
        <w:t xml:space="preserve">В раздел „Длъжностни задължения“ не е предвидено главният счетоводител да осъществява предварителен контрол за законосъобразност, а само общ „контрол в работата и дейността на съдебните служители от звено „Финансова дейност и снабдяване“ при СРС. </w:t>
      </w:r>
      <w:r w:rsidR="00AC7FA0" w:rsidRPr="002C5AC6">
        <w:t>В</w:t>
      </w:r>
      <w:r w:rsidRPr="002C5AC6">
        <w:t>идно от Длъжностно щатно разписание и Поименно щатно разписание на СРС</w:t>
      </w:r>
      <w:r w:rsidR="00AC7FA0" w:rsidRPr="002C5AC6">
        <w:t xml:space="preserve"> в структурата на </w:t>
      </w:r>
      <w:r w:rsidR="001649CD" w:rsidRPr="002C5AC6">
        <w:t>съда</w:t>
      </w:r>
      <w:r w:rsidR="00AC7FA0" w:rsidRPr="002C5AC6">
        <w:t xml:space="preserve"> за 2014 г. не съществува звено „Финансова дейност и снабдяване“</w:t>
      </w:r>
      <w:r w:rsidRPr="002C5AC6">
        <w:t>. В случаите, когато главният счетоводител е отсъствал</w:t>
      </w:r>
      <w:r w:rsidR="00002204" w:rsidRPr="002C5AC6">
        <w:t xml:space="preserve">, същият </w:t>
      </w:r>
      <w:r w:rsidRPr="002C5AC6">
        <w:t>е заместван от главен специалист „счетоводител“</w:t>
      </w:r>
      <w:r w:rsidR="00450EB3" w:rsidRPr="002C5AC6">
        <w:rPr>
          <w:vertAlign w:val="superscript"/>
        </w:rPr>
        <w:footnoteReference w:id="97"/>
      </w:r>
      <w:r w:rsidR="00450EB3" w:rsidRPr="002C5AC6">
        <w:t>.</w:t>
      </w:r>
    </w:p>
    <w:p w:rsidR="005729DD" w:rsidRPr="002C5AC6" w:rsidRDefault="005729DD" w:rsidP="00F830A6">
      <w:pPr>
        <w:ind w:firstLine="709"/>
        <w:jc w:val="both"/>
      </w:pPr>
      <w:r w:rsidRPr="002C5AC6">
        <w:t xml:space="preserve">При </w:t>
      </w:r>
      <w:r w:rsidR="008A25C9" w:rsidRPr="002C5AC6">
        <w:t xml:space="preserve">извършената проверка на </w:t>
      </w:r>
      <w:r w:rsidRPr="002C5AC6">
        <w:t>осъществяван</w:t>
      </w:r>
      <w:r w:rsidR="008A25C9" w:rsidRPr="002C5AC6">
        <w:t>ия</w:t>
      </w:r>
      <w:r w:rsidRPr="002C5AC6">
        <w:t xml:space="preserve"> предварителен контрол за законосъобразност </w:t>
      </w:r>
      <w:r w:rsidR="008A25C9" w:rsidRPr="002C5AC6">
        <w:t xml:space="preserve">преди </w:t>
      </w:r>
      <w:r w:rsidRPr="002C5AC6">
        <w:t>извършване на разход</w:t>
      </w:r>
      <w:r w:rsidR="00AB5610" w:rsidRPr="002C5AC6">
        <w:t>/</w:t>
      </w:r>
      <w:r w:rsidRPr="002C5AC6">
        <w:t>изплащане на възнаграждения на вещи лица от бюджета с</w:t>
      </w:r>
      <w:r w:rsidR="008A25C9" w:rsidRPr="002C5AC6">
        <w:t>а</w:t>
      </w:r>
      <w:r w:rsidRPr="002C5AC6">
        <w:t xml:space="preserve"> установ</w:t>
      </w:r>
      <w:r w:rsidR="008A25C9" w:rsidRPr="002C5AC6">
        <w:t>ен</w:t>
      </w:r>
      <w:r w:rsidRPr="002C5AC6">
        <w:t>и</w:t>
      </w:r>
      <w:r w:rsidR="008A25C9" w:rsidRPr="002C5AC6">
        <w:t xml:space="preserve"> случаи на съставяне на </w:t>
      </w:r>
      <w:r w:rsidR="00AF50D2" w:rsidRPr="002C5AC6">
        <w:t>контролни</w:t>
      </w:r>
      <w:r w:rsidR="001576E8" w:rsidRPr="002C5AC6">
        <w:t xml:space="preserve"> листове за осъществен предварителен контрол след извършване на плащането</w:t>
      </w:r>
      <w:r w:rsidR="009F7773" w:rsidRPr="002C5AC6">
        <w:t>, което не съответства на целт</w:t>
      </w:r>
      <w:r w:rsidR="00AF50D2" w:rsidRPr="002C5AC6">
        <w:t>а на контролната процедура</w:t>
      </w:r>
      <w:r w:rsidR="00962482" w:rsidRPr="002C5AC6">
        <w:rPr>
          <w:rStyle w:val="FootnoteReference"/>
        </w:rPr>
        <w:footnoteReference w:id="98"/>
      </w:r>
      <w:r w:rsidRPr="002C5AC6">
        <w:t xml:space="preserve">. </w:t>
      </w:r>
    </w:p>
    <w:p w:rsidR="005729DD" w:rsidRPr="002C5AC6" w:rsidRDefault="005729DD" w:rsidP="00F830A6">
      <w:pPr>
        <w:ind w:firstLine="709"/>
        <w:jc w:val="both"/>
      </w:pPr>
      <w:r w:rsidRPr="002C5AC6">
        <w:t xml:space="preserve">През одитирания период не е осъществяван предварителен контрол за законосъобразност преди извършване на разход </w:t>
      </w:r>
      <w:r w:rsidR="007A3C6A" w:rsidRPr="002C5AC6">
        <w:t xml:space="preserve">за възнагражденията на </w:t>
      </w:r>
      <w:r w:rsidRPr="002C5AC6">
        <w:t>вещи лица, които се изплаща</w:t>
      </w:r>
      <w:r w:rsidR="007A3C6A" w:rsidRPr="002C5AC6">
        <w:t>т</w:t>
      </w:r>
      <w:r w:rsidRPr="002C5AC6">
        <w:t xml:space="preserve"> от внесен депозит.</w:t>
      </w:r>
    </w:p>
    <w:p w:rsidR="005729DD" w:rsidRPr="002C5AC6" w:rsidRDefault="005E0DD1" w:rsidP="00F830A6">
      <w:pPr>
        <w:ind w:firstLine="709"/>
        <w:jc w:val="both"/>
      </w:pPr>
      <w:r w:rsidRPr="002C5AC6">
        <w:t>По този начин обхватът на предварителния контрол в</w:t>
      </w:r>
      <w:r w:rsidR="005729DD" w:rsidRPr="002C5AC6">
        <w:t xml:space="preserve"> СРС </w:t>
      </w:r>
      <w:r w:rsidRPr="002C5AC6">
        <w:t xml:space="preserve">е стеснен и </w:t>
      </w:r>
      <w:r w:rsidR="005729DD" w:rsidRPr="002C5AC6">
        <w:t xml:space="preserve">не </w:t>
      </w:r>
      <w:r w:rsidRPr="002C5AC6">
        <w:t xml:space="preserve">осигурява в пълна степен </w:t>
      </w:r>
      <w:r w:rsidR="00A468FE" w:rsidRPr="002C5AC6">
        <w:t xml:space="preserve">съответствие с </w:t>
      </w:r>
      <w:r w:rsidRPr="002C5AC6">
        <w:t xml:space="preserve">изискванията </w:t>
      </w:r>
      <w:r w:rsidR="005729DD" w:rsidRPr="002C5AC6">
        <w:t>на ЗФУКПС</w:t>
      </w:r>
      <w:r w:rsidR="00A468FE" w:rsidRPr="002C5AC6">
        <w:t xml:space="preserve"> </w:t>
      </w:r>
      <w:r w:rsidR="005729DD" w:rsidRPr="002C5AC6">
        <w:t>– предварителен контрол да се извършва не само при вземането на решения, които имат пряко финансово изражение</w:t>
      </w:r>
      <w:r w:rsidR="00B2186B" w:rsidRPr="002C5AC6">
        <w:t xml:space="preserve"> по бюджета на организацията</w:t>
      </w:r>
      <w:r w:rsidR="005729DD" w:rsidRPr="002C5AC6">
        <w:t xml:space="preserve">, а и при осъществяване на цялостната дейност на организациите в публичния сектор. В случая независимо, че паричните средства не са от бюджета на съда, </w:t>
      </w:r>
      <w:r w:rsidR="00BD1008" w:rsidRPr="002C5AC6">
        <w:t>те</w:t>
      </w:r>
      <w:r w:rsidR="005729DD" w:rsidRPr="002C5AC6">
        <w:t xml:space="preserve"> са постъпили</w:t>
      </w:r>
      <w:r w:rsidRPr="002C5AC6">
        <w:t>/постъпват</w:t>
      </w:r>
      <w:r w:rsidR="005729DD" w:rsidRPr="002C5AC6">
        <w:t xml:space="preserve"> по набирателната сметка на СРС и </w:t>
      </w:r>
      <w:r w:rsidRPr="002C5AC6">
        <w:t>председателят на съда</w:t>
      </w:r>
      <w:r w:rsidR="00A77877" w:rsidRPr="002C5AC6">
        <w:t xml:space="preserve"> </w:t>
      </w:r>
      <w:r w:rsidR="005729DD" w:rsidRPr="002C5AC6">
        <w:t>се разпорежда с тях</w:t>
      </w:r>
      <w:r w:rsidR="00B2186B" w:rsidRPr="002C5AC6">
        <w:t xml:space="preserve"> като нарежда съответните плащания</w:t>
      </w:r>
      <w:r w:rsidR="005729DD" w:rsidRPr="002C5AC6">
        <w:t xml:space="preserve">, </w:t>
      </w:r>
      <w:r w:rsidR="009F47BA" w:rsidRPr="002C5AC6">
        <w:t>което е основание за прилагането на същите контролни процедури</w:t>
      </w:r>
      <w:r w:rsidRPr="002C5AC6">
        <w:t xml:space="preserve">, както </w:t>
      </w:r>
      <w:r w:rsidR="009F47BA" w:rsidRPr="002C5AC6">
        <w:t xml:space="preserve">при разходването </w:t>
      </w:r>
      <w:r w:rsidRPr="002C5AC6">
        <w:t>на бюджетните средства</w:t>
      </w:r>
      <w:r w:rsidR="005729DD" w:rsidRPr="002C5AC6">
        <w:t>.</w:t>
      </w:r>
    </w:p>
    <w:p w:rsidR="005729DD" w:rsidRPr="002C5AC6" w:rsidRDefault="00EC7E2B" w:rsidP="00F830A6">
      <w:pPr>
        <w:ind w:firstLine="709"/>
        <w:jc w:val="both"/>
      </w:pPr>
      <w:r w:rsidRPr="002C5AC6">
        <w:t>5</w:t>
      </w:r>
      <w:r w:rsidR="00F830A6" w:rsidRPr="002C5AC6">
        <w:t xml:space="preserve">.2. </w:t>
      </w:r>
      <w:r w:rsidR="005729DD" w:rsidRPr="002C5AC6">
        <w:t>Съгласно чл. 13, ал. 3, т. 3 от ЗФУКПС “Ръководителите създават и прилагат контролни дейности, които включват най-малко: система за двоен подпис, която не разрешава поемането на финансово задължение или извършване на плащане без подписите на ръководителя на организацията по чл. 2 и лицето, отговорно за счетоводните записвания”.</w:t>
      </w:r>
    </w:p>
    <w:p w:rsidR="005729DD" w:rsidRPr="002C5AC6" w:rsidRDefault="005729DD" w:rsidP="00F830A6">
      <w:pPr>
        <w:ind w:firstLine="709"/>
        <w:jc w:val="both"/>
      </w:pPr>
      <w:r w:rsidRPr="002C5AC6">
        <w:t xml:space="preserve">Системата на двойния подпис </w:t>
      </w:r>
      <w:r w:rsidR="00074749" w:rsidRPr="002C5AC6">
        <w:t xml:space="preserve">в СРС </w:t>
      </w:r>
      <w:r w:rsidRPr="002C5AC6">
        <w:t>е регламентирана с отделни заповеди на административния ръководител.</w:t>
      </w:r>
    </w:p>
    <w:p w:rsidR="005729DD" w:rsidRPr="002C5AC6" w:rsidRDefault="005729DD" w:rsidP="00F830A6">
      <w:pPr>
        <w:ind w:firstLine="709"/>
        <w:jc w:val="both"/>
      </w:pPr>
      <w:r w:rsidRPr="002C5AC6">
        <w:t>При извършената проверка за спазване на процедурата се установи:</w:t>
      </w:r>
    </w:p>
    <w:p w:rsidR="005729DD" w:rsidRPr="002C5AC6" w:rsidRDefault="005102B3" w:rsidP="00F830A6">
      <w:pPr>
        <w:ind w:firstLine="709"/>
        <w:jc w:val="both"/>
      </w:pPr>
      <w:r w:rsidRPr="002C5AC6">
        <w:t>а) н</w:t>
      </w:r>
      <w:r w:rsidR="005729DD" w:rsidRPr="002C5AC6">
        <w:t>а основание чл. 80, ал. 1, т. 1 от З</w:t>
      </w:r>
      <w:r w:rsidR="00804082" w:rsidRPr="002C5AC6">
        <w:t>СВ</w:t>
      </w:r>
      <w:r w:rsidR="005729DD" w:rsidRPr="002C5AC6">
        <w:t xml:space="preserve"> председателят на съда е определил със заповед</w:t>
      </w:r>
      <w:r w:rsidR="005729DD" w:rsidRPr="002C5AC6">
        <w:rPr>
          <w:rStyle w:val="FootnoteReference"/>
        </w:rPr>
        <w:footnoteReference w:id="99"/>
      </w:r>
      <w:r w:rsidR="005729DD" w:rsidRPr="002C5AC6">
        <w:t xml:space="preserve"> заместник – председателите да подписват с </w:t>
      </w:r>
      <w:r w:rsidR="00804082" w:rsidRPr="002C5AC6">
        <w:t xml:space="preserve">право на </w:t>
      </w:r>
      <w:r w:rsidR="005729DD" w:rsidRPr="002C5AC6">
        <w:t>първи подпис, както и главният счетоводител да подписва с</w:t>
      </w:r>
      <w:r w:rsidR="00804082" w:rsidRPr="002C5AC6">
        <w:t xml:space="preserve"> право на</w:t>
      </w:r>
      <w:r w:rsidR="005729DD" w:rsidRPr="002C5AC6">
        <w:t xml:space="preserve"> втори подпис платежните документи на СРС.</w:t>
      </w:r>
      <w:r w:rsidR="009E2D94" w:rsidRPr="002C5AC6">
        <w:t xml:space="preserve"> </w:t>
      </w:r>
      <w:r w:rsidR="009E2D94" w:rsidRPr="002C5AC6">
        <w:lastRenderedPageBreak/>
        <w:t>Запов</w:t>
      </w:r>
      <w:r w:rsidRPr="002C5AC6">
        <w:t xml:space="preserve">едта не е изпълнявана при касовото </w:t>
      </w:r>
      <w:r w:rsidR="00436D6E" w:rsidRPr="002C5AC6">
        <w:t xml:space="preserve">(в брой) </w:t>
      </w:r>
      <w:r w:rsidRPr="002C5AC6">
        <w:t xml:space="preserve">изплащане на възнагражденията на вещите лица, </w:t>
      </w:r>
      <w:r w:rsidR="00074749" w:rsidRPr="002C5AC6">
        <w:t xml:space="preserve">поради което съставените </w:t>
      </w:r>
      <w:r w:rsidRPr="002C5AC6">
        <w:t xml:space="preserve">РКО не са подписани </w:t>
      </w:r>
      <w:r w:rsidR="00436D6E" w:rsidRPr="002C5AC6">
        <w:t>н</w:t>
      </w:r>
      <w:r w:rsidRPr="002C5AC6">
        <w:t xml:space="preserve">а </w:t>
      </w:r>
      <w:r w:rsidR="00074749" w:rsidRPr="002C5AC6">
        <w:t>реквизита „</w:t>
      </w:r>
      <w:r w:rsidRPr="002C5AC6">
        <w:t>ръководител</w:t>
      </w:r>
      <w:r w:rsidR="00074749" w:rsidRPr="002C5AC6">
        <w:t>“</w:t>
      </w:r>
      <w:r w:rsidRPr="002C5AC6">
        <w:t>;</w:t>
      </w:r>
    </w:p>
    <w:p w:rsidR="005729DD" w:rsidRPr="008843E5" w:rsidRDefault="005102B3" w:rsidP="00F830A6">
      <w:pPr>
        <w:ind w:firstLine="709"/>
        <w:jc w:val="both"/>
      </w:pPr>
      <w:r w:rsidRPr="002C5AC6">
        <w:t>б) с</w:t>
      </w:r>
      <w:r w:rsidR="005729DD" w:rsidRPr="002C5AC6">
        <w:t xml:space="preserve"> друга заповед</w:t>
      </w:r>
      <w:r w:rsidR="005729DD" w:rsidRPr="002C5AC6">
        <w:rPr>
          <w:rStyle w:val="FootnoteReference"/>
        </w:rPr>
        <w:footnoteReference w:id="100"/>
      </w:r>
      <w:r w:rsidR="005729DD" w:rsidRPr="002C5AC6">
        <w:t>, председателят на съда е оправомощил за полагане на втори подпис върху разпореждането за плащ</w:t>
      </w:r>
      <w:r w:rsidR="00C71D82" w:rsidRPr="002C5AC6">
        <w:t>ане на „…. в</w:t>
      </w:r>
      <w:r w:rsidR="005729DD" w:rsidRPr="002C5AC6">
        <w:t xml:space="preserve">ъзнаграждения за приети експертизи, ….“ старши специалист – счетоводител, който по длъжностна характеристика тегли парични средства от бюджетната сметка на СРС, изготвя платежни документи, изплаща хонорарите от бюджетната сметка, тегли парични средства от набирателната сметка на СРС, приема и изплаща парични средства от депозитната каса на СРС и др. </w:t>
      </w:r>
      <w:r w:rsidR="00D654BA" w:rsidRPr="002C5AC6">
        <w:t xml:space="preserve">Прегледът на възложените задължения показва, че </w:t>
      </w:r>
      <w:r w:rsidR="008515BC" w:rsidRPr="002C5AC6">
        <w:t xml:space="preserve">при определянето им </w:t>
      </w:r>
      <w:r w:rsidR="00734C00" w:rsidRPr="002C5AC6">
        <w:t>са нарушени изискванията на чл. 13, ал.</w:t>
      </w:r>
      <w:r w:rsidR="00C15416" w:rsidRPr="002C5AC6">
        <w:t xml:space="preserve"> </w:t>
      </w:r>
      <w:r w:rsidR="00734C00" w:rsidRPr="002C5AC6">
        <w:t xml:space="preserve">3, </w:t>
      </w:r>
      <w:r w:rsidR="00C15416" w:rsidRPr="002C5AC6">
        <w:t xml:space="preserve">т. 2 </w:t>
      </w:r>
      <w:r w:rsidR="00734C00" w:rsidRPr="002C5AC6">
        <w:t>от ЗФУКПС</w:t>
      </w:r>
      <w:r w:rsidR="00C15416" w:rsidRPr="002C5AC6">
        <w:t xml:space="preserve"> и</w:t>
      </w:r>
      <w:r w:rsidR="00734C00" w:rsidRPr="002C5AC6">
        <w:t xml:space="preserve"> </w:t>
      </w:r>
      <w:r w:rsidR="00D654BA" w:rsidRPr="002C5AC6">
        <w:t>о</w:t>
      </w:r>
      <w:r w:rsidR="005729DD" w:rsidRPr="002C5AC6">
        <w:t>тговорностите не са разделени по начин, който да не позволява един служител едновременно да има отговорност по одобряване, изпълнение, осчетоводяване и контрол</w:t>
      </w:r>
      <w:r w:rsidR="009D583D" w:rsidRPr="002C5AC6">
        <w:t>. Съгласно чл. 7, ал.</w:t>
      </w:r>
      <w:r w:rsidR="008515BC" w:rsidRPr="002C5AC6">
        <w:t xml:space="preserve"> </w:t>
      </w:r>
      <w:r w:rsidR="009D583D" w:rsidRPr="002C5AC6">
        <w:t>1, т. 8 от ЗФУКПС отговорността за разделянето на отговорностите е на ръков</w:t>
      </w:r>
      <w:r w:rsidR="008515BC" w:rsidRPr="002C5AC6">
        <w:t>о</w:t>
      </w:r>
      <w:r w:rsidR="009D583D" w:rsidRPr="002C5AC6">
        <w:t>дителя на организацията</w:t>
      </w:r>
      <w:r w:rsidR="008843E5">
        <w:t>;</w:t>
      </w:r>
    </w:p>
    <w:p w:rsidR="005729DD" w:rsidRPr="002C5AC6" w:rsidRDefault="005102B3" w:rsidP="00F830A6">
      <w:pPr>
        <w:ind w:firstLine="709"/>
        <w:jc w:val="both"/>
      </w:pPr>
      <w:r w:rsidRPr="002C5AC6">
        <w:t xml:space="preserve">в) </w:t>
      </w:r>
      <w:r w:rsidR="001D19B1" w:rsidRPr="002C5AC6">
        <w:t xml:space="preserve">по време на одита, </w:t>
      </w:r>
      <w:r w:rsidRPr="002C5AC6">
        <w:t>с</w:t>
      </w:r>
      <w:r w:rsidR="005729DD" w:rsidRPr="002C5AC6">
        <w:t>лед доклад на главния счетоводител от 11.09.2015 г., делегирането на правомощието на старши специалист – счетоводител да полага втори подпис</w:t>
      </w:r>
      <w:r w:rsidR="00941A2D" w:rsidRPr="002C5AC6">
        <w:t xml:space="preserve"> е отменено от председателя на съда</w:t>
      </w:r>
      <w:r w:rsidR="005729DD" w:rsidRPr="002C5AC6">
        <w:t>.</w:t>
      </w:r>
    </w:p>
    <w:p w:rsidR="005729DD" w:rsidRPr="002C5AC6" w:rsidRDefault="005729DD" w:rsidP="00F830A6">
      <w:pPr>
        <w:ind w:firstLine="709"/>
        <w:jc w:val="both"/>
        <w:rPr>
          <w:i/>
        </w:rPr>
      </w:pPr>
      <w:r w:rsidRPr="002C5AC6">
        <w:rPr>
          <w:i/>
        </w:rPr>
        <w:t xml:space="preserve">Не е осъществяван предварителен контрол за законосъобразност преди извършване на разход </w:t>
      </w:r>
      <w:r w:rsidR="00802B90" w:rsidRPr="002C5AC6">
        <w:rPr>
          <w:i/>
        </w:rPr>
        <w:t xml:space="preserve">за </w:t>
      </w:r>
      <w:r w:rsidRPr="002C5AC6">
        <w:rPr>
          <w:i/>
        </w:rPr>
        <w:t xml:space="preserve">възнагражденията на вещи лица, изплащани от депозит. </w:t>
      </w:r>
      <w:r w:rsidR="00761E7E" w:rsidRPr="002C5AC6">
        <w:rPr>
          <w:i/>
        </w:rPr>
        <w:t>Н</w:t>
      </w:r>
      <w:r w:rsidRPr="002C5AC6">
        <w:rPr>
          <w:i/>
        </w:rPr>
        <w:t xml:space="preserve">е е </w:t>
      </w:r>
      <w:r w:rsidR="00761E7E" w:rsidRPr="002C5AC6">
        <w:rPr>
          <w:i/>
        </w:rPr>
        <w:t>прилагана</w:t>
      </w:r>
      <w:r w:rsidRPr="002C5AC6">
        <w:rPr>
          <w:i/>
        </w:rPr>
        <w:t xml:space="preserve"> системата за двоен подпис при плащане </w:t>
      </w:r>
      <w:r w:rsidR="00802B90" w:rsidRPr="002C5AC6">
        <w:rPr>
          <w:i/>
        </w:rPr>
        <w:t xml:space="preserve">в брой от </w:t>
      </w:r>
      <w:r w:rsidRPr="002C5AC6">
        <w:rPr>
          <w:i/>
        </w:rPr>
        <w:t>каса</w:t>
      </w:r>
      <w:r w:rsidR="00802B90" w:rsidRPr="002C5AC6">
        <w:rPr>
          <w:i/>
        </w:rPr>
        <w:t>та на СРС</w:t>
      </w:r>
      <w:r w:rsidRPr="002C5AC6">
        <w:rPr>
          <w:i/>
        </w:rPr>
        <w:t xml:space="preserve"> на възнагражденията на вещите лица</w:t>
      </w:r>
      <w:r w:rsidR="00761E7E" w:rsidRPr="002C5AC6">
        <w:rPr>
          <w:i/>
        </w:rPr>
        <w:t>, като платежните документи не са подписани от ръководител</w:t>
      </w:r>
      <w:r w:rsidRPr="002C5AC6">
        <w:rPr>
          <w:i/>
        </w:rPr>
        <w:t>.</w:t>
      </w:r>
    </w:p>
    <w:p w:rsidR="005729DD" w:rsidRPr="002C5AC6" w:rsidRDefault="005729DD" w:rsidP="00F830A6">
      <w:pPr>
        <w:ind w:firstLine="709"/>
        <w:jc w:val="both"/>
        <w:rPr>
          <w:i/>
        </w:rPr>
      </w:pPr>
      <w:r w:rsidRPr="002C5AC6">
        <w:rPr>
          <w:i/>
        </w:rPr>
        <w:t>Несъответствията не са разкрити, докладвани и отстранени своевременно, поради липса</w:t>
      </w:r>
      <w:r w:rsidR="005C50FA" w:rsidRPr="002C5AC6">
        <w:rPr>
          <w:i/>
        </w:rPr>
        <w:t>та</w:t>
      </w:r>
      <w:r w:rsidRPr="002C5AC6">
        <w:rPr>
          <w:i/>
        </w:rPr>
        <w:t xml:space="preserve"> на </w:t>
      </w:r>
      <w:r w:rsidR="005C50FA" w:rsidRPr="002C5AC6">
        <w:rPr>
          <w:i/>
        </w:rPr>
        <w:t>ясни/</w:t>
      </w:r>
      <w:r w:rsidRPr="002C5AC6">
        <w:rPr>
          <w:i/>
        </w:rPr>
        <w:t>точн</w:t>
      </w:r>
      <w:r w:rsidR="005C50FA" w:rsidRPr="002C5AC6">
        <w:rPr>
          <w:i/>
        </w:rPr>
        <w:t>и правила/</w:t>
      </w:r>
      <w:r w:rsidRPr="002C5AC6">
        <w:rPr>
          <w:i/>
        </w:rPr>
        <w:t xml:space="preserve">регламент във вътрешните правила. Системата </w:t>
      </w:r>
      <w:r w:rsidR="005C50FA" w:rsidRPr="002C5AC6">
        <w:rPr>
          <w:i/>
        </w:rPr>
        <w:t>за финансов</w:t>
      </w:r>
      <w:r w:rsidR="000514FF">
        <w:rPr>
          <w:i/>
        </w:rPr>
        <w:t>о</w:t>
      </w:r>
      <w:r w:rsidR="005C50FA" w:rsidRPr="002C5AC6">
        <w:rPr>
          <w:i/>
        </w:rPr>
        <w:t xml:space="preserve"> управление и контрол </w:t>
      </w:r>
      <w:r w:rsidRPr="002C5AC6">
        <w:rPr>
          <w:i/>
        </w:rPr>
        <w:t>не</w:t>
      </w:r>
      <w:r w:rsidR="00761E7E" w:rsidRPr="002C5AC6">
        <w:rPr>
          <w:i/>
        </w:rPr>
        <w:t xml:space="preserve"> е</w:t>
      </w:r>
      <w:r w:rsidR="002748B2">
        <w:rPr>
          <w:i/>
        </w:rPr>
        <w:t xml:space="preserve"> </w:t>
      </w:r>
      <w:r w:rsidR="005C50FA" w:rsidRPr="002C5AC6">
        <w:rPr>
          <w:i/>
        </w:rPr>
        <w:t xml:space="preserve">изградена и не е </w:t>
      </w:r>
      <w:r w:rsidRPr="002C5AC6">
        <w:rPr>
          <w:i/>
        </w:rPr>
        <w:t>действа</w:t>
      </w:r>
      <w:r w:rsidR="00761E7E" w:rsidRPr="002C5AC6">
        <w:rPr>
          <w:i/>
        </w:rPr>
        <w:t>ла</w:t>
      </w:r>
      <w:r w:rsidRPr="002C5AC6">
        <w:rPr>
          <w:i/>
        </w:rPr>
        <w:t xml:space="preserve"> в съответствие с нормативните изисквания и указанията на МФ. Контролните дейности не са адекватни,</w:t>
      </w:r>
      <w:r w:rsidR="008227BE" w:rsidRPr="002C5AC6">
        <w:rPr>
          <w:i/>
        </w:rPr>
        <w:t xml:space="preserve"> на рисковете, които е следвало да ограничат в допустимите граници, </w:t>
      </w:r>
      <w:r w:rsidRPr="002C5AC6">
        <w:rPr>
          <w:i/>
        </w:rPr>
        <w:t>което</w:t>
      </w:r>
      <w:r w:rsidR="008621C9">
        <w:rPr>
          <w:i/>
        </w:rPr>
        <w:t xml:space="preserve"> е предпоставка за</w:t>
      </w:r>
      <w:r w:rsidRPr="002C5AC6">
        <w:rPr>
          <w:i/>
        </w:rPr>
        <w:t xml:space="preserve"> неефективн</w:t>
      </w:r>
      <w:r w:rsidR="008227BE" w:rsidRPr="002C5AC6">
        <w:rPr>
          <w:i/>
        </w:rPr>
        <w:t>ост на вътрешния контрол</w:t>
      </w:r>
      <w:r w:rsidRPr="002C5AC6">
        <w:rPr>
          <w:i/>
        </w:rPr>
        <w:t>.</w:t>
      </w:r>
    </w:p>
    <w:p w:rsidR="00AD0BA6" w:rsidRPr="002C5AC6" w:rsidRDefault="00761E7E" w:rsidP="00761E7E">
      <w:pPr>
        <w:ind w:firstLine="709"/>
        <w:jc w:val="both"/>
        <w:rPr>
          <w:i/>
        </w:rPr>
      </w:pPr>
      <w:r w:rsidRPr="002C5AC6">
        <w:rPr>
          <w:i/>
        </w:rPr>
        <w:t xml:space="preserve">При изплащането на възнагражденията на вещите лица </w:t>
      </w:r>
      <w:r w:rsidR="005729DD" w:rsidRPr="002C5AC6">
        <w:rPr>
          <w:i/>
        </w:rPr>
        <w:t>е установено</w:t>
      </w:r>
      <w:r w:rsidR="008621C9">
        <w:rPr>
          <w:i/>
        </w:rPr>
        <w:t xml:space="preserve"> несъответствие (отклонение) с</w:t>
      </w:r>
      <w:r w:rsidR="005729DD" w:rsidRPr="002C5AC6">
        <w:rPr>
          <w:i/>
        </w:rPr>
        <w:t xml:space="preserve"> изискванията на правната рамка</w:t>
      </w:r>
      <w:r w:rsidRPr="002C5AC6">
        <w:rPr>
          <w:i/>
        </w:rPr>
        <w:t>, определена с</w:t>
      </w:r>
      <w:r w:rsidR="005729DD" w:rsidRPr="002C5AC6">
        <w:rPr>
          <w:i/>
        </w:rPr>
        <w:t xml:space="preserve"> чл.</w:t>
      </w:r>
      <w:r w:rsidRPr="002C5AC6">
        <w:rPr>
          <w:i/>
        </w:rPr>
        <w:t xml:space="preserve"> </w:t>
      </w:r>
      <w:r w:rsidR="005729DD" w:rsidRPr="002C5AC6">
        <w:rPr>
          <w:i/>
        </w:rPr>
        <w:t>13, ал.3</w:t>
      </w:r>
      <w:r w:rsidR="00C15416" w:rsidRPr="002C5AC6">
        <w:rPr>
          <w:i/>
        </w:rPr>
        <w:t>, т. 2</w:t>
      </w:r>
      <w:r w:rsidR="005729DD" w:rsidRPr="002C5AC6">
        <w:rPr>
          <w:i/>
        </w:rPr>
        <w:t xml:space="preserve">, чл. 5, ал. 2, т. </w:t>
      </w:r>
      <w:r w:rsidR="00C15416" w:rsidRPr="002C5AC6">
        <w:rPr>
          <w:i/>
        </w:rPr>
        <w:t xml:space="preserve">1, </w:t>
      </w:r>
      <w:r w:rsidR="005729DD" w:rsidRPr="002C5AC6">
        <w:rPr>
          <w:i/>
        </w:rPr>
        <w:t>2 и 4 от ЗФУКПС и чл. 2, чл. 4, чл. 5, чл.</w:t>
      </w:r>
      <w:r w:rsidRPr="002C5AC6">
        <w:rPr>
          <w:i/>
        </w:rPr>
        <w:t xml:space="preserve"> </w:t>
      </w:r>
      <w:r w:rsidR="005729DD" w:rsidRPr="002C5AC6">
        <w:rPr>
          <w:i/>
        </w:rPr>
        <w:t>7, чл. 9 и чл. 12 от ЗСч</w:t>
      </w:r>
      <w:r w:rsidR="0038528E" w:rsidRPr="002C5AC6">
        <w:rPr>
          <w:i/>
        </w:rPr>
        <w:t xml:space="preserve"> </w:t>
      </w:r>
      <w:r w:rsidR="0038528E" w:rsidRPr="008843E5">
        <w:rPr>
          <w:i/>
        </w:rPr>
        <w:t>(отм.)</w:t>
      </w:r>
      <w:r w:rsidR="005729DD" w:rsidRPr="002C5AC6">
        <w:rPr>
          <w:i/>
        </w:rPr>
        <w:t>. Не е осъществяван предварителен контрол за законосъобразност върху всички управленски решения преди възникване на задължение и преди извършване на разход, не е спазвана системата на двоен подпис и не е осигурено текущо счетоводно отчитане.</w:t>
      </w:r>
      <w:r w:rsidRPr="002C5AC6">
        <w:rPr>
          <w:i/>
        </w:rPr>
        <w:t xml:space="preserve"> Не са осигурени условия за защита и опазване на информацията от извънсчетоводните регистри.</w:t>
      </w:r>
    </w:p>
    <w:p w:rsidR="00AD0BA6" w:rsidRPr="002C5AC6" w:rsidRDefault="00AD0BA6" w:rsidP="00761E7E">
      <w:pPr>
        <w:spacing w:before="120" w:after="120"/>
        <w:ind w:firstLine="709"/>
        <w:jc w:val="both"/>
        <w:rPr>
          <w:b/>
          <w:i/>
        </w:rPr>
      </w:pPr>
      <w:r w:rsidRPr="002C5AC6">
        <w:rPr>
          <w:b/>
          <w:lang w:eastAsia="en-US"/>
        </w:rPr>
        <w:t>V. Обществени поръчки</w:t>
      </w:r>
    </w:p>
    <w:p w:rsidR="00AD0BA6" w:rsidRPr="002C5AC6" w:rsidRDefault="00AD0BA6" w:rsidP="00761E7E">
      <w:pPr>
        <w:spacing w:before="120" w:after="120"/>
        <w:ind w:firstLine="709"/>
        <w:jc w:val="both"/>
        <w:rPr>
          <w:b/>
        </w:rPr>
      </w:pPr>
      <w:r w:rsidRPr="002C5AC6">
        <w:rPr>
          <w:b/>
        </w:rPr>
        <w:t>1. Обща информация</w:t>
      </w:r>
    </w:p>
    <w:p w:rsidR="00231692" w:rsidRPr="002C5AC6" w:rsidRDefault="00AD0BA6" w:rsidP="00203814">
      <w:pPr>
        <w:ind w:firstLine="709"/>
        <w:jc w:val="both"/>
        <w:rPr>
          <w:rFonts w:eastAsia="Calibri"/>
          <w:lang w:eastAsia="en-US"/>
        </w:rPr>
      </w:pPr>
      <w:r w:rsidRPr="002C5AC6">
        <w:t xml:space="preserve">Софийският районен съд </w:t>
      </w:r>
      <w:r w:rsidRPr="002C5AC6">
        <w:rPr>
          <w:rFonts w:eastAsia="Calibri"/>
          <w:lang w:eastAsia="en-US"/>
        </w:rPr>
        <w:t xml:space="preserve">е </w:t>
      </w:r>
      <w:r w:rsidR="00731C42" w:rsidRPr="002C5AC6">
        <w:rPr>
          <w:rFonts w:eastAsia="Calibri"/>
          <w:lang w:eastAsia="en-US"/>
        </w:rPr>
        <w:t>възложител</w:t>
      </w:r>
      <w:r w:rsidRPr="002C5AC6">
        <w:rPr>
          <w:rFonts w:eastAsia="Calibri"/>
          <w:lang w:eastAsia="en-US"/>
        </w:rPr>
        <w:t xml:space="preserve"> на обществени поръчки по смисъла на чл.</w:t>
      </w:r>
      <w:r w:rsidR="00486A23" w:rsidRPr="002C5AC6">
        <w:rPr>
          <w:rFonts w:eastAsia="Calibri"/>
          <w:lang w:eastAsia="en-US"/>
        </w:rPr>
        <w:t xml:space="preserve"> </w:t>
      </w:r>
      <w:r w:rsidRPr="002C5AC6">
        <w:rPr>
          <w:rFonts w:eastAsia="Calibri"/>
          <w:lang w:eastAsia="en-US"/>
        </w:rPr>
        <w:t>7, т.1 от Закона за обществените поръчки (</w:t>
      </w:r>
      <w:r w:rsidR="00203814" w:rsidRPr="002C5AC6">
        <w:rPr>
          <w:rFonts w:eastAsia="Calibri"/>
          <w:lang w:eastAsia="en-US"/>
        </w:rPr>
        <w:t>отм.</w:t>
      </w:r>
      <w:r w:rsidRPr="002C5AC6">
        <w:rPr>
          <w:rFonts w:eastAsia="Calibri"/>
          <w:lang w:eastAsia="en-US"/>
        </w:rPr>
        <w:t xml:space="preserve">), </w:t>
      </w:r>
      <w:r w:rsidRPr="002C5AC6">
        <w:rPr>
          <w:rFonts w:eastAsia="Calibri"/>
          <w:i/>
          <w:lang w:eastAsia="en-US"/>
        </w:rPr>
        <w:t>а неговият председател извършва фактическите действия по възлагане като лице по чл.</w:t>
      </w:r>
      <w:r w:rsidR="00203814" w:rsidRPr="002C5AC6">
        <w:rPr>
          <w:rFonts w:eastAsia="Calibri"/>
          <w:i/>
          <w:lang w:eastAsia="en-US"/>
        </w:rPr>
        <w:t xml:space="preserve"> </w:t>
      </w:r>
      <w:r w:rsidRPr="002C5AC6">
        <w:rPr>
          <w:rFonts w:eastAsia="Calibri"/>
          <w:i/>
          <w:lang w:eastAsia="en-US"/>
        </w:rPr>
        <w:t>8, ал.</w:t>
      </w:r>
      <w:r w:rsidR="00203814" w:rsidRPr="002C5AC6">
        <w:rPr>
          <w:rFonts w:eastAsia="Calibri"/>
          <w:i/>
          <w:lang w:eastAsia="en-US"/>
        </w:rPr>
        <w:t xml:space="preserve"> </w:t>
      </w:r>
      <w:r w:rsidRPr="002C5AC6">
        <w:rPr>
          <w:rFonts w:eastAsia="Calibri"/>
          <w:i/>
          <w:lang w:eastAsia="en-US"/>
        </w:rPr>
        <w:t xml:space="preserve">3 от </w:t>
      </w:r>
      <w:r w:rsidR="000449F4" w:rsidRPr="002C5AC6">
        <w:rPr>
          <w:rFonts w:eastAsia="Calibri"/>
          <w:i/>
          <w:lang w:eastAsia="en-US"/>
        </w:rPr>
        <w:t>ЗОП (</w:t>
      </w:r>
      <w:r w:rsidR="001E1060" w:rsidRPr="002C5AC6">
        <w:rPr>
          <w:rFonts w:eastAsia="Calibri"/>
          <w:i/>
          <w:lang w:eastAsia="en-US"/>
        </w:rPr>
        <w:t>отм.</w:t>
      </w:r>
      <w:r w:rsidR="000449F4" w:rsidRPr="002C5AC6">
        <w:rPr>
          <w:rFonts w:eastAsia="Calibri"/>
          <w:i/>
          <w:lang w:eastAsia="en-US"/>
        </w:rPr>
        <w:t>)</w:t>
      </w:r>
      <w:r w:rsidRPr="002C5AC6">
        <w:rPr>
          <w:rFonts w:eastAsia="Calibri"/>
          <w:lang w:eastAsia="en-US"/>
        </w:rPr>
        <w:t>. През одитирания период обществените поръчки са възлагани само от председа</w:t>
      </w:r>
      <w:r w:rsidR="00203814" w:rsidRPr="002C5AC6">
        <w:rPr>
          <w:rFonts w:eastAsia="Calibri"/>
          <w:lang w:eastAsia="en-US"/>
        </w:rPr>
        <w:t>теля на СРС в качеството му на в</w:t>
      </w:r>
      <w:r w:rsidRPr="002C5AC6">
        <w:rPr>
          <w:rFonts w:eastAsia="Calibri"/>
          <w:lang w:eastAsia="en-US"/>
        </w:rPr>
        <w:t>ъзложител</w:t>
      </w:r>
      <w:r w:rsidR="00486A23" w:rsidRPr="002C5AC6">
        <w:rPr>
          <w:rFonts w:eastAsia="Calibri"/>
          <w:lang w:eastAsia="en-US"/>
        </w:rPr>
        <w:t xml:space="preserve"> и</w:t>
      </w:r>
      <w:r w:rsidRPr="002C5AC6">
        <w:rPr>
          <w:rFonts w:eastAsia="Calibri"/>
          <w:lang w:eastAsia="en-US"/>
        </w:rPr>
        <w:t xml:space="preserve"> </w:t>
      </w:r>
      <w:r w:rsidR="00486A23" w:rsidRPr="002C5AC6">
        <w:rPr>
          <w:rFonts w:eastAsia="Calibri"/>
          <w:lang w:eastAsia="en-US"/>
        </w:rPr>
        <w:t>д</w:t>
      </w:r>
      <w:r w:rsidRPr="002C5AC6">
        <w:rPr>
          <w:rFonts w:eastAsia="Calibri"/>
          <w:lang w:eastAsia="en-US"/>
        </w:rPr>
        <w:t>руги длъжностни лица не са упълномощавани да възлагат обществени поръчки на основание чл.</w:t>
      </w:r>
      <w:r w:rsidR="00486A23" w:rsidRPr="002C5AC6">
        <w:rPr>
          <w:rFonts w:eastAsia="Calibri"/>
          <w:lang w:eastAsia="en-US"/>
        </w:rPr>
        <w:t xml:space="preserve"> </w:t>
      </w:r>
      <w:r w:rsidRPr="002C5AC6">
        <w:rPr>
          <w:rFonts w:eastAsia="Calibri"/>
          <w:lang w:eastAsia="en-US"/>
        </w:rPr>
        <w:t>8, ал.</w:t>
      </w:r>
      <w:r w:rsidR="00486A23" w:rsidRPr="002C5AC6">
        <w:rPr>
          <w:rFonts w:eastAsia="Calibri"/>
          <w:lang w:eastAsia="en-US"/>
        </w:rPr>
        <w:t xml:space="preserve"> </w:t>
      </w:r>
      <w:r w:rsidRPr="002C5AC6">
        <w:rPr>
          <w:rFonts w:eastAsia="Calibri"/>
          <w:lang w:eastAsia="en-US"/>
        </w:rPr>
        <w:t xml:space="preserve">2 от </w:t>
      </w:r>
      <w:r w:rsidR="001E1060" w:rsidRPr="002C5AC6">
        <w:rPr>
          <w:rFonts w:eastAsia="Calibri"/>
          <w:lang w:eastAsia="en-US"/>
        </w:rPr>
        <w:t>ЗОП</w:t>
      </w:r>
      <w:r w:rsidR="003464BE" w:rsidRPr="002C5AC6">
        <w:rPr>
          <w:rFonts w:eastAsia="Calibri"/>
          <w:lang w:eastAsia="en-US"/>
        </w:rPr>
        <w:t xml:space="preserve"> (отм.)</w:t>
      </w:r>
      <w:r w:rsidRPr="002C5AC6">
        <w:rPr>
          <w:rFonts w:eastAsia="Calibri"/>
          <w:lang w:eastAsia="en-US"/>
        </w:rPr>
        <w:t>. Въз основа на договор за удостоверителни услуги административният секретар на съда въвежда необходимата информация в Регистър</w:t>
      </w:r>
      <w:r w:rsidR="00486A23" w:rsidRPr="002C5AC6">
        <w:rPr>
          <w:rFonts w:eastAsia="Calibri"/>
          <w:lang w:eastAsia="en-US"/>
        </w:rPr>
        <w:t>а</w:t>
      </w:r>
      <w:r w:rsidRPr="002C5AC6">
        <w:rPr>
          <w:rFonts w:eastAsia="Calibri"/>
          <w:lang w:eastAsia="en-US"/>
        </w:rPr>
        <w:t xml:space="preserve"> на обществените поръчки (РОП)</w:t>
      </w:r>
      <w:r w:rsidR="00203814" w:rsidRPr="002C5AC6">
        <w:rPr>
          <w:rFonts w:eastAsia="Calibri"/>
          <w:lang w:eastAsia="en-US"/>
        </w:rPr>
        <w:t xml:space="preserve"> на АОП чрез електронен подпис</w:t>
      </w:r>
      <w:r w:rsidRPr="002C5AC6">
        <w:rPr>
          <w:rFonts w:eastAsia="Calibri"/>
          <w:vertAlign w:val="superscript"/>
          <w:lang w:eastAsia="en-US"/>
        </w:rPr>
        <w:footnoteReference w:id="101"/>
      </w:r>
      <w:r w:rsidR="00203814" w:rsidRPr="002C5AC6">
        <w:rPr>
          <w:rFonts w:eastAsia="Calibri"/>
          <w:lang w:eastAsia="en-US"/>
        </w:rPr>
        <w:t>.</w:t>
      </w:r>
      <w:r w:rsidRPr="002C5AC6">
        <w:rPr>
          <w:rFonts w:eastAsia="Calibri"/>
          <w:lang w:eastAsia="en-US"/>
        </w:rPr>
        <w:t xml:space="preserve"> </w:t>
      </w:r>
      <w:r w:rsidR="00486A23" w:rsidRPr="002C5AC6">
        <w:rPr>
          <w:rFonts w:eastAsia="Calibri"/>
          <w:lang w:eastAsia="en-US"/>
        </w:rPr>
        <w:t xml:space="preserve">За 2014 г. </w:t>
      </w:r>
      <w:r w:rsidRPr="002C5AC6">
        <w:rPr>
          <w:rFonts w:eastAsia="Calibri"/>
          <w:lang w:eastAsia="en-US"/>
        </w:rPr>
        <w:t xml:space="preserve">обобщената </w:t>
      </w:r>
      <w:r w:rsidRPr="002C5AC6">
        <w:rPr>
          <w:rFonts w:eastAsia="Calibri"/>
          <w:lang w:eastAsia="en-US"/>
        </w:rPr>
        <w:lastRenderedPageBreak/>
        <w:t>информация на основание чл.</w:t>
      </w:r>
      <w:r w:rsidR="00486A23" w:rsidRPr="002C5AC6">
        <w:rPr>
          <w:rFonts w:eastAsia="Calibri"/>
          <w:lang w:eastAsia="en-US"/>
        </w:rPr>
        <w:t xml:space="preserve"> </w:t>
      </w:r>
      <w:r w:rsidRPr="002C5AC6">
        <w:rPr>
          <w:rFonts w:eastAsia="Calibri"/>
          <w:lang w:eastAsia="en-US"/>
        </w:rPr>
        <w:t>44, ал.</w:t>
      </w:r>
      <w:r w:rsidR="00486A23" w:rsidRPr="002C5AC6">
        <w:rPr>
          <w:rFonts w:eastAsia="Calibri"/>
          <w:lang w:eastAsia="en-US"/>
        </w:rPr>
        <w:t xml:space="preserve"> </w:t>
      </w:r>
      <w:r w:rsidRPr="002C5AC6">
        <w:rPr>
          <w:rFonts w:eastAsia="Calibri"/>
          <w:lang w:eastAsia="en-US"/>
        </w:rPr>
        <w:t xml:space="preserve">10 от </w:t>
      </w:r>
      <w:r w:rsidR="001E1060" w:rsidRPr="002C5AC6">
        <w:rPr>
          <w:rFonts w:eastAsia="Calibri"/>
          <w:lang w:eastAsia="en-US"/>
        </w:rPr>
        <w:t>ЗОП</w:t>
      </w:r>
      <w:r w:rsidR="003464BE" w:rsidRPr="002C5AC6">
        <w:rPr>
          <w:rFonts w:eastAsia="Calibri"/>
          <w:lang w:eastAsia="en-US"/>
        </w:rPr>
        <w:t xml:space="preserve"> (отм.)</w:t>
      </w:r>
      <w:r w:rsidRPr="002C5AC6">
        <w:rPr>
          <w:rStyle w:val="FootnoteReference"/>
          <w:rFonts w:eastAsia="Calibri"/>
          <w:lang w:eastAsia="en-US"/>
        </w:rPr>
        <w:footnoteReference w:id="102"/>
      </w:r>
      <w:r w:rsidRPr="002C5AC6">
        <w:rPr>
          <w:rFonts w:eastAsia="Calibri"/>
          <w:lang w:eastAsia="en-US"/>
        </w:rPr>
        <w:t xml:space="preserve"> </w:t>
      </w:r>
      <w:r w:rsidR="00486A23" w:rsidRPr="002C5AC6">
        <w:rPr>
          <w:rFonts w:eastAsia="Calibri"/>
          <w:lang w:eastAsia="en-US"/>
        </w:rPr>
        <w:t xml:space="preserve">е изпратена до АОП. </w:t>
      </w:r>
      <w:r w:rsidRPr="002C5AC6">
        <w:rPr>
          <w:rFonts w:eastAsia="Calibri"/>
          <w:lang w:eastAsia="en-US"/>
        </w:rPr>
        <w:t xml:space="preserve">През одитирания период предварително обявление по чл. 23 от </w:t>
      </w:r>
      <w:r w:rsidR="001E1060" w:rsidRPr="002C5AC6">
        <w:rPr>
          <w:rFonts w:eastAsia="Calibri"/>
          <w:lang w:eastAsia="en-US"/>
        </w:rPr>
        <w:t xml:space="preserve">ЗОП </w:t>
      </w:r>
      <w:r w:rsidR="003464BE" w:rsidRPr="002C5AC6">
        <w:rPr>
          <w:rFonts w:eastAsia="Calibri"/>
          <w:lang w:eastAsia="en-US"/>
        </w:rPr>
        <w:t>(отм.)</w:t>
      </w:r>
      <w:r w:rsidRPr="002C5AC6">
        <w:rPr>
          <w:rFonts w:eastAsia="Calibri"/>
          <w:vertAlign w:val="superscript"/>
          <w:lang w:eastAsia="en-US"/>
        </w:rPr>
        <w:footnoteReference w:id="103"/>
      </w:r>
      <w:r w:rsidRPr="002C5AC6">
        <w:rPr>
          <w:rFonts w:eastAsia="Calibri"/>
          <w:lang w:eastAsia="en-US"/>
        </w:rPr>
        <w:t xml:space="preserve"> </w:t>
      </w:r>
      <w:r w:rsidR="00414E67" w:rsidRPr="002C5AC6">
        <w:rPr>
          <w:rFonts w:eastAsia="Calibri"/>
          <w:lang w:eastAsia="en-US"/>
        </w:rPr>
        <w:t>не е изпращано.</w:t>
      </w:r>
    </w:p>
    <w:p w:rsidR="000F7BC1" w:rsidRPr="002C5AC6" w:rsidRDefault="00231692" w:rsidP="000F7BC1">
      <w:pPr>
        <w:ind w:firstLine="709"/>
        <w:jc w:val="both"/>
        <w:rPr>
          <w:rFonts w:eastAsia="Calibri"/>
          <w:lang w:eastAsia="en-US"/>
        </w:rPr>
      </w:pPr>
      <w:r w:rsidRPr="002C5AC6">
        <w:rPr>
          <w:rFonts w:eastAsia="Calibri"/>
          <w:lang w:eastAsia="en-US"/>
        </w:rPr>
        <w:t>З</w:t>
      </w:r>
      <w:r w:rsidR="00AD0BA6" w:rsidRPr="002C5AC6">
        <w:rPr>
          <w:rFonts w:eastAsia="Calibri"/>
          <w:lang w:eastAsia="en-US"/>
        </w:rPr>
        <w:t>а периода от 01.01.2014 до 31.12.2014</w:t>
      </w:r>
      <w:r w:rsidRPr="002C5AC6">
        <w:rPr>
          <w:rFonts w:eastAsia="Calibri"/>
          <w:lang w:eastAsia="en-US"/>
        </w:rPr>
        <w:t> </w:t>
      </w:r>
      <w:r w:rsidR="00AD0BA6" w:rsidRPr="002C5AC6">
        <w:rPr>
          <w:rFonts w:eastAsia="Calibri"/>
          <w:lang w:eastAsia="en-US"/>
        </w:rPr>
        <w:t xml:space="preserve">г. са проведени четири открити процедури и едно договаряне без обявление по </w:t>
      </w:r>
      <w:r w:rsidR="001E1060" w:rsidRPr="002C5AC6">
        <w:rPr>
          <w:rFonts w:eastAsia="Calibri"/>
          <w:lang w:eastAsia="en-US"/>
        </w:rPr>
        <w:t xml:space="preserve">ЗОП </w:t>
      </w:r>
      <w:r w:rsidR="00617826" w:rsidRPr="002C5AC6">
        <w:rPr>
          <w:rFonts w:eastAsia="Calibri"/>
          <w:lang w:eastAsia="en-US"/>
        </w:rPr>
        <w:t>(отм.)</w:t>
      </w:r>
      <w:r w:rsidRPr="002C5AC6">
        <w:rPr>
          <w:rFonts w:eastAsia="Calibri"/>
          <w:lang w:eastAsia="en-US"/>
        </w:rPr>
        <w:t>.</w:t>
      </w:r>
      <w:r w:rsidR="00AD0BA6" w:rsidRPr="002C5AC6">
        <w:rPr>
          <w:rFonts w:eastAsia="Calibri"/>
          <w:lang w:eastAsia="en-US"/>
        </w:rPr>
        <w:t xml:space="preserve"> </w:t>
      </w:r>
      <w:r w:rsidRPr="002C5AC6">
        <w:rPr>
          <w:rFonts w:eastAsia="Calibri"/>
          <w:lang w:eastAsia="en-US"/>
        </w:rPr>
        <w:t>О</w:t>
      </w:r>
      <w:r w:rsidR="00AD0BA6" w:rsidRPr="002C5AC6">
        <w:rPr>
          <w:rFonts w:eastAsia="Calibri"/>
          <w:lang w:eastAsia="en-US"/>
        </w:rPr>
        <w:t>бща</w:t>
      </w:r>
      <w:r w:rsidRPr="002C5AC6">
        <w:rPr>
          <w:rFonts w:eastAsia="Calibri"/>
          <w:lang w:eastAsia="en-US"/>
        </w:rPr>
        <w:t>та стойност на</w:t>
      </w:r>
      <w:r w:rsidR="00AD0BA6" w:rsidRPr="002C5AC6">
        <w:rPr>
          <w:rFonts w:eastAsia="Calibri"/>
          <w:lang w:eastAsia="en-US"/>
        </w:rPr>
        <w:t xml:space="preserve"> договорите</w:t>
      </w:r>
      <w:r w:rsidRPr="002C5AC6">
        <w:rPr>
          <w:rFonts w:eastAsia="Calibri"/>
          <w:lang w:eastAsia="en-US"/>
        </w:rPr>
        <w:t xml:space="preserve"> е</w:t>
      </w:r>
      <w:r w:rsidR="00AD0BA6" w:rsidRPr="002C5AC6">
        <w:rPr>
          <w:rFonts w:eastAsia="Calibri"/>
          <w:lang w:eastAsia="en-US"/>
        </w:rPr>
        <w:t xml:space="preserve"> 2 547</w:t>
      </w:r>
      <w:r w:rsidR="00912AC4">
        <w:rPr>
          <w:rFonts w:eastAsia="Calibri"/>
          <w:lang w:eastAsia="en-US"/>
        </w:rPr>
        <w:t> </w:t>
      </w:r>
      <w:r w:rsidR="00AD0BA6" w:rsidRPr="002C5AC6">
        <w:rPr>
          <w:rFonts w:eastAsia="Calibri"/>
          <w:lang w:eastAsia="en-US"/>
        </w:rPr>
        <w:t>029</w:t>
      </w:r>
      <w:r w:rsidR="00912AC4">
        <w:rPr>
          <w:rFonts w:eastAsia="Calibri"/>
          <w:lang w:eastAsia="en-US"/>
        </w:rPr>
        <w:t>.39 </w:t>
      </w:r>
      <w:r w:rsidR="00AD0BA6" w:rsidRPr="002C5AC6">
        <w:rPr>
          <w:rFonts w:eastAsia="Calibri"/>
          <w:lang w:eastAsia="en-US"/>
        </w:rPr>
        <w:t xml:space="preserve">лв. без ДДС. По реда на глава </w:t>
      </w:r>
      <w:r w:rsidRPr="002C5AC6">
        <w:rPr>
          <w:rFonts w:eastAsia="Calibri"/>
          <w:lang w:eastAsia="en-US"/>
        </w:rPr>
        <w:t>о</w:t>
      </w:r>
      <w:r w:rsidR="00AD0BA6" w:rsidRPr="002C5AC6">
        <w:rPr>
          <w:rFonts w:eastAsia="Calibri"/>
          <w:lang w:eastAsia="en-US"/>
        </w:rPr>
        <w:t>сма</w:t>
      </w:r>
      <w:r w:rsidRPr="002C5AC6">
        <w:rPr>
          <w:rFonts w:eastAsia="Calibri"/>
          <w:lang w:eastAsia="en-US"/>
        </w:rPr>
        <w:t xml:space="preserve"> „</w:t>
      </w:r>
      <w:r w:rsidR="00AD0BA6" w:rsidRPr="002C5AC6">
        <w:rPr>
          <w:rFonts w:eastAsia="Calibri"/>
          <w:lang w:eastAsia="en-US"/>
        </w:rPr>
        <w:t>а“ са възложени три обществени поръчки на обща стойност 257</w:t>
      </w:r>
      <w:r w:rsidR="00912AC4">
        <w:rPr>
          <w:rFonts w:eastAsia="Calibri"/>
          <w:lang w:eastAsia="en-US"/>
        </w:rPr>
        <w:t> </w:t>
      </w:r>
      <w:r w:rsidR="00AD0BA6" w:rsidRPr="002C5AC6">
        <w:rPr>
          <w:rFonts w:eastAsia="Calibri"/>
          <w:lang w:eastAsia="en-US"/>
        </w:rPr>
        <w:t>424</w:t>
      </w:r>
      <w:r w:rsidR="00912AC4">
        <w:rPr>
          <w:rFonts w:eastAsia="Calibri"/>
          <w:lang w:eastAsia="en-US"/>
        </w:rPr>
        <w:t>.</w:t>
      </w:r>
      <w:r w:rsidR="00AD0BA6" w:rsidRPr="002C5AC6">
        <w:rPr>
          <w:rFonts w:eastAsia="Calibri"/>
          <w:lang w:eastAsia="en-US"/>
        </w:rPr>
        <w:t xml:space="preserve">10 лв. без ДДС. </w:t>
      </w:r>
      <w:r w:rsidRPr="002C5AC6">
        <w:rPr>
          <w:rFonts w:eastAsia="Calibri"/>
          <w:lang w:eastAsia="en-US"/>
        </w:rPr>
        <w:t>О</w:t>
      </w:r>
      <w:r w:rsidR="000F7BC1" w:rsidRPr="002C5AC6">
        <w:rPr>
          <w:rFonts w:eastAsia="Calibri"/>
          <w:lang w:eastAsia="en-US"/>
        </w:rPr>
        <w:t>бяв</w:t>
      </w:r>
      <w:r w:rsidRPr="002C5AC6">
        <w:rPr>
          <w:rFonts w:eastAsia="Calibri"/>
          <w:lang w:eastAsia="en-US"/>
        </w:rPr>
        <w:t>ленията</w:t>
      </w:r>
      <w:r w:rsidR="00AD0BA6" w:rsidRPr="002C5AC6">
        <w:rPr>
          <w:rFonts w:eastAsia="Calibri"/>
          <w:lang w:eastAsia="en-US"/>
        </w:rPr>
        <w:t xml:space="preserve"> </w:t>
      </w:r>
      <w:r w:rsidRPr="002C5AC6">
        <w:rPr>
          <w:rFonts w:eastAsia="Calibri"/>
          <w:lang w:eastAsia="en-US"/>
        </w:rPr>
        <w:t>са</w:t>
      </w:r>
      <w:r w:rsidR="00AD0BA6" w:rsidRPr="002C5AC6">
        <w:rPr>
          <w:rFonts w:eastAsia="Calibri"/>
          <w:lang w:eastAsia="en-US"/>
        </w:rPr>
        <w:t xml:space="preserve"> публикувани в РОП </w:t>
      </w:r>
      <w:r w:rsidR="00414E67" w:rsidRPr="002C5AC6">
        <w:rPr>
          <w:rFonts w:eastAsia="Calibri"/>
          <w:lang w:eastAsia="en-US"/>
        </w:rPr>
        <w:t xml:space="preserve">на АОП </w:t>
      </w:r>
      <w:r w:rsidR="00AD0BA6" w:rsidRPr="002C5AC6">
        <w:rPr>
          <w:rFonts w:eastAsia="Calibri"/>
          <w:lang w:eastAsia="en-US"/>
        </w:rPr>
        <w:t xml:space="preserve">и </w:t>
      </w:r>
      <w:r w:rsidR="007B6C41">
        <w:rPr>
          <w:rFonts w:eastAsia="Calibri"/>
          <w:lang w:eastAsia="en-US"/>
        </w:rPr>
        <w:t>п</w:t>
      </w:r>
      <w:r w:rsidR="00AD0BA6" w:rsidRPr="002C5AC6">
        <w:rPr>
          <w:rFonts w:eastAsia="Calibri"/>
          <w:lang w:eastAsia="en-US"/>
        </w:rPr>
        <w:t>рофила на купувача на СРС</w:t>
      </w:r>
      <w:r w:rsidR="00AD0BA6" w:rsidRPr="002C5AC6">
        <w:rPr>
          <w:rFonts w:eastAsia="Calibri"/>
          <w:vertAlign w:val="superscript"/>
          <w:lang w:eastAsia="en-US"/>
        </w:rPr>
        <w:footnoteReference w:id="104"/>
      </w:r>
      <w:r w:rsidRPr="002C5AC6">
        <w:rPr>
          <w:rFonts w:eastAsia="Calibri"/>
          <w:lang w:eastAsia="en-US"/>
        </w:rPr>
        <w:t>.</w:t>
      </w:r>
      <w:r w:rsidR="00AD0BA6" w:rsidRPr="002C5AC6">
        <w:rPr>
          <w:rFonts w:eastAsia="Calibri"/>
          <w:lang w:eastAsia="en-US"/>
        </w:rPr>
        <w:t xml:space="preserve"> Проведените процедури и възлагания са завършили със сключване на договори, </w:t>
      </w:r>
      <w:r w:rsidR="000F7BC1" w:rsidRPr="002C5AC6">
        <w:rPr>
          <w:rFonts w:eastAsia="Calibri"/>
          <w:lang w:eastAsia="en-US"/>
        </w:rPr>
        <w:t>с изключение на</w:t>
      </w:r>
      <w:r w:rsidR="00AD0BA6" w:rsidRPr="002C5AC6">
        <w:rPr>
          <w:rFonts w:eastAsia="Calibri"/>
          <w:lang w:eastAsia="en-US"/>
        </w:rPr>
        <w:t xml:space="preserve"> една от обособените позиции </w:t>
      </w:r>
      <w:r w:rsidR="000F7BC1" w:rsidRPr="002C5AC6">
        <w:rPr>
          <w:rFonts w:eastAsia="Calibri"/>
          <w:lang w:eastAsia="en-US"/>
        </w:rPr>
        <w:t>по една обществена поръчка</w:t>
      </w:r>
      <w:r w:rsidR="000F7BC1" w:rsidRPr="002C5AC6">
        <w:rPr>
          <w:rFonts w:eastAsia="Calibri"/>
          <w:vertAlign w:val="superscript"/>
          <w:lang w:eastAsia="en-US"/>
        </w:rPr>
        <w:footnoteReference w:id="105"/>
      </w:r>
      <w:r w:rsidR="000F7BC1" w:rsidRPr="002C5AC6">
        <w:rPr>
          <w:rFonts w:eastAsia="Calibri"/>
          <w:lang w:eastAsia="en-US"/>
        </w:rPr>
        <w:t>, процедурата по която е прекратена.</w:t>
      </w:r>
      <w:r w:rsidR="00AD0BA6" w:rsidRPr="002C5AC6">
        <w:rPr>
          <w:rFonts w:eastAsia="Calibri"/>
          <w:lang w:eastAsia="en-US"/>
        </w:rPr>
        <w:t xml:space="preserve"> След приемането на вътрешните правила за възлагане на общес</w:t>
      </w:r>
      <w:r w:rsidR="000F7BC1" w:rsidRPr="002C5AC6">
        <w:rPr>
          <w:rFonts w:eastAsia="Calibri"/>
          <w:lang w:eastAsia="en-US"/>
        </w:rPr>
        <w:t xml:space="preserve">твени поръчки от 11.11.2014 г. </w:t>
      </w:r>
      <w:r w:rsidR="00414E67" w:rsidRPr="002C5AC6">
        <w:rPr>
          <w:rFonts w:eastAsia="Calibri"/>
          <w:lang w:eastAsia="en-US"/>
        </w:rPr>
        <w:t xml:space="preserve">в СРС </w:t>
      </w:r>
      <w:r w:rsidR="00AD0BA6" w:rsidRPr="002C5AC6">
        <w:rPr>
          <w:rFonts w:eastAsia="Calibri"/>
          <w:lang w:eastAsia="en-US"/>
        </w:rPr>
        <w:t>е в</w:t>
      </w:r>
      <w:r w:rsidR="000F7BC1" w:rsidRPr="002C5AC6">
        <w:rPr>
          <w:rFonts w:eastAsia="Calibri"/>
          <w:lang w:eastAsia="en-US"/>
        </w:rPr>
        <w:t>ъведен</w:t>
      </w:r>
      <w:r w:rsidR="00AD0BA6" w:rsidRPr="002C5AC6">
        <w:rPr>
          <w:rFonts w:eastAsia="Calibri"/>
          <w:lang w:eastAsia="en-US"/>
        </w:rPr>
        <w:t xml:space="preserve"> Регистър на сключени</w:t>
      </w:r>
      <w:r w:rsidR="000F7BC1" w:rsidRPr="002C5AC6">
        <w:rPr>
          <w:rFonts w:eastAsia="Calibri"/>
          <w:lang w:eastAsia="en-US"/>
        </w:rPr>
        <w:t>те</w:t>
      </w:r>
      <w:r w:rsidR="00AD0BA6" w:rsidRPr="002C5AC6">
        <w:rPr>
          <w:rFonts w:eastAsia="Calibri"/>
          <w:lang w:eastAsia="en-US"/>
        </w:rPr>
        <w:t xml:space="preserve"> договори</w:t>
      </w:r>
      <w:r w:rsidR="00AD0BA6" w:rsidRPr="002C5AC6">
        <w:rPr>
          <w:rFonts w:eastAsia="Calibri"/>
          <w:vertAlign w:val="superscript"/>
          <w:lang w:eastAsia="en-US"/>
        </w:rPr>
        <w:footnoteReference w:id="106"/>
      </w:r>
      <w:r w:rsidR="000F7BC1" w:rsidRPr="002C5AC6">
        <w:rPr>
          <w:rFonts w:eastAsia="Calibri"/>
          <w:lang w:eastAsia="en-US"/>
        </w:rPr>
        <w:t>.</w:t>
      </w:r>
    </w:p>
    <w:p w:rsidR="00AD0BA6" w:rsidRPr="002C5AC6" w:rsidRDefault="00414E67" w:rsidP="000F7BC1">
      <w:pPr>
        <w:ind w:firstLine="709"/>
        <w:jc w:val="both"/>
        <w:rPr>
          <w:rFonts w:eastAsia="Calibri"/>
          <w:lang w:eastAsia="en-US"/>
        </w:rPr>
      </w:pPr>
      <w:r w:rsidRPr="002C5AC6">
        <w:rPr>
          <w:rFonts w:eastAsia="Calibri"/>
          <w:lang w:eastAsia="en-US"/>
        </w:rPr>
        <w:t>За установяване на съответствието с нормативните изисквания и договорните клаузи п</w:t>
      </w:r>
      <w:r w:rsidR="00AD0BA6" w:rsidRPr="002C5AC6">
        <w:rPr>
          <w:rFonts w:eastAsia="Calibri"/>
          <w:lang w:eastAsia="en-US"/>
        </w:rPr>
        <w:t xml:space="preserve">ри одита са проверени всички процедури и възлагания по </w:t>
      </w:r>
      <w:r w:rsidR="001E1060" w:rsidRPr="002C5AC6">
        <w:rPr>
          <w:rFonts w:eastAsia="Calibri"/>
          <w:lang w:eastAsia="en-US"/>
        </w:rPr>
        <w:t xml:space="preserve">ЗОП </w:t>
      </w:r>
      <w:r w:rsidR="00617826" w:rsidRPr="002C5AC6">
        <w:rPr>
          <w:rFonts w:eastAsia="Calibri"/>
          <w:lang w:eastAsia="en-US"/>
        </w:rPr>
        <w:t>(отм.)</w:t>
      </w:r>
      <w:r w:rsidR="00AD0BA6" w:rsidRPr="002C5AC6">
        <w:rPr>
          <w:rFonts w:eastAsia="Calibri"/>
          <w:lang w:eastAsia="en-US"/>
        </w:rPr>
        <w:t>, както и изпълнението на сключените договори.</w:t>
      </w:r>
    </w:p>
    <w:p w:rsidR="00AD0BA6" w:rsidRPr="002C5AC6" w:rsidRDefault="00AD0BA6" w:rsidP="00C34C5D">
      <w:pPr>
        <w:spacing w:before="120" w:after="120"/>
        <w:ind w:firstLine="709"/>
        <w:jc w:val="both"/>
        <w:rPr>
          <w:rFonts w:eastAsia="Calibri"/>
          <w:b/>
          <w:lang w:eastAsia="en-US"/>
        </w:rPr>
      </w:pPr>
      <w:r w:rsidRPr="002C5AC6">
        <w:rPr>
          <w:b/>
        </w:rPr>
        <w:t xml:space="preserve">2. </w:t>
      </w:r>
      <w:r w:rsidRPr="002C5AC6">
        <w:rPr>
          <w:rFonts w:eastAsia="Calibri"/>
          <w:b/>
          <w:lang w:eastAsia="en-US"/>
        </w:rPr>
        <w:t xml:space="preserve">Вътрешни актове </w:t>
      </w:r>
    </w:p>
    <w:p w:rsidR="00AD0BA6" w:rsidRPr="002C5AC6" w:rsidRDefault="0004190F" w:rsidP="00C34C5D">
      <w:pPr>
        <w:ind w:firstLine="709"/>
        <w:jc w:val="both"/>
        <w:rPr>
          <w:rFonts w:eastAsia="Calibri"/>
          <w:lang w:eastAsia="en-US"/>
        </w:rPr>
      </w:pPr>
      <w:r w:rsidRPr="002C5AC6">
        <w:rPr>
          <w:rFonts w:eastAsia="Calibri"/>
          <w:lang w:eastAsia="en-US"/>
        </w:rPr>
        <w:t xml:space="preserve">През одитирания период </w:t>
      </w:r>
      <w:r w:rsidR="00AD0BA6" w:rsidRPr="002C5AC6">
        <w:rPr>
          <w:rFonts w:eastAsia="Calibri"/>
          <w:lang w:eastAsia="en-US"/>
        </w:rPr>
        <w:t>са действали Вътрешни правила за възлагане на обществените поръчки в СРС (вътрешни правила), утвърдени през 2009 г. на основание чл.</w:t>
      </w:r>
      <w:r w:rsidR="00C34C5D" w:rsidRPr="002C5AC6">
        <w:rPr>
          <w:rFonts w:eastAsia="Calibri"/>
          <w:lang w:eastAsia="en-US"/>
        </w:rPr>
        <w:t xml:space="preserve"> </w:t>
      </w:r>
      <w:r w:rsidR="00AD0BA6" w:rsidRPr="002C5AC6">
        <w:rPr>
          <w:rFonts w:eastAsia="Calibri"/>
          <w:lang w:eastAsia="en-US"/>
        </w:rPr>
        <w:t>8, ал.</w:t>
      </w:r>
      <w:r w:rsidR="00C34C5D" w:rsidRPr="002C5AC6">
        <w:rPr>
          <w:rFonts w:eastAsia="Calibri"/>
          <w:lang w:eastAsia="en-US"/>
        </w:rPr>
        <w:t xml:space="preserve"> </w:t>
      </w:r>
      <w:r w:rsidR="00AD0BA6" w:rsidRPr="002C5AC6">
        <w:rPr>
          <w:rFonts w:eastAsia="Calibri"/>
          <w:lang w:eastAsia="en-US"/>
        </w:rPr>
        <w:t xml:space="preserve">7 от </w:t>
      </w:r>
      <w:r w:rsidR="001E1060" w:rsidRPr="002C5AC6">
        <w:rPr>
          <w:rFonts w:eastAsia="Calibri"/>
          <w:lang w:eastAsia="en-US"/>
        </w:rPr>
        <w:t xml:space="preserve">ЗОП </w:t>
      </w:r>
      <w:r w:rsidR="00617826" w:rsidRPr="002C5AC6">
        <w:rPr>
          <w:rFonts w:eastAsia="Calibri"/>
          <w:lang w:eastAsia="en-US"/>
        </w:rPr>
        <w:t>(отм., редакция</w:t>
      </w:r>
      <w:r w:rsidR="00AD0BA6" w:rsidRPr="002C5AC6">
        <w:rPr>
          <w:rFonts w:eastAsia="Calibri"/>
          <w:lang w:eastAsia="en-US"/>
        </w:rPr>
        <w:t xml:space="preserve"> ДВ, бр.</w:t>
      </w:r>
      <w:r w:rsidR="00A9132C" w:rsidRPr="002C5AC6">
        <w:rPr>
          <w:rFonts w:eastAsia="Calibri"/>
          <w:lang w:eastAsia="en-US"/>
        </w:rPr>
        <w:t xml:space="preserve"> </w:t>
      </w:r>
      <w:r w:rsidR="00AD0BA6" w:rsidRPr="002C5AC6">
        <w:rPr>
          <w:rFonts w:eastAsia="Calibri"/>
          <w:lang w:eastAsia="en-US"/>
        </w:rPr>
        <w:t>94/2008 г.</w:t>
      </w:r>
      <w:r w:rsidR="00617826" w:rsidRPr="002C5AC6">
        <w:rPr>
          <w:rFonts w:eastAsia="Calibri"/>
          <w:lang w:eastAsia="en-US"/>
        </w:rPr>
        <w:t>)</w:t>
      </w:r>
      <w:r w:rsidR="00C34C5D" w:rsidRPr="002C5AC6">
        <w:rPr>
          <w:rFonts w:eastAsia="Calibri"/>
          <w:lang w:eastAsia="en-US"/>
        </w:rPr>
        <w:t>.</w:t>
      </w:r>
      <w:r w:rsidR="00AD0BA6" w:rsidRPr="002C5AC6">
        <w:rPr>
          <w:rFonts w:eastAsia="Calibri"/>
          <w:lang w:eastAsia="en-US"/>
        </w:rPr>
        <w:t xml:space="preserve"> Тези правила не съдържат ред </w:t>
      </w:r>
      <w:r w:rsidR="00C34C5D" w:rsidRPr="002C5AC6">
        <w:rPr>
          <w:rFonts w:eastAsia="Calibri"/>
          <w:lang w:eastAsia="en-US"/>
        </w:rPr>
        <w:t>за планиране на потребностите от</w:t>
      </w:r>
      <w:r w:rsidR="00AD0BA6" w:rsidRPr="002C5AC6">
        <w:rPr>
          <w:rFonts w:eastAsia="Calibri"/>
          <w:lang w:eastAsia="en-US"/>
        </w:rPr>
        <w:t xml:space="preserve"> обществени поръчки, разпределение на отговорностите по провеждане на процедурите за възлагане между звената и длъжностните лица в СРС, както и правила за контрол по изпълнението на договорите за обществени поръчки. Правилата не са актуализирани текущо в съответствие с настъпилите промени в правната уредба на обществените поръчки.</w:t>
      </w:r>
    </w:p>
    <w:p w:rsidR="00AD0BA6" w:rsidRPr="002C5AC6" w:rsidRDefault="00A9132C" w:rsidP="00C34C5D">
      <w:pPr>
        <w:ind w:firstLine="709"/>
        <w:jc w:val="both"/>
        <w:rPr>
          <w:rFonts w:eastAsia="Calibri"/>
          <w:lang w:eastAsia="en-US"/>
        </w:rPr>
      </w:pPr>
      <w:r w:rsidRPr="002C5AC6">
        <w:rPr>
          <w:rFonts w:eastAsia="Calibri"/>
          <w:lang w:eastAsia="en-US"/>
        </w:rPr>
        <w:t>В резултат д</w:t>
      </w:r>
      <w:r w:rsidR="00AD0BA6" w:rsidRPr="002C5AC6">
        <w:rPr>
          <w:rFonts w:eastAsia="Calibri"/>
          <w:lang w:eastAsia="en-US"/>
        </w:rPr>
        <w:t>ействалите през преобладаващата част от одитирания период вътрешни пра</w:t>
      </w:r>
      <w:r w:rsidR="003C726F" w:rsidRPr="002C5AC6">
        <w:rPr>
          <w:rFonts w:eastAsia="Calibri"/>
          <w:lang w:eastAsia="en-US"/>
        </w:rPr>
        <w:t>вила за възлагане на обществени</w:t>
      </w:r>
      <w:r w:rsidR="00AD0BA6" w:rsidRPr="002C5AC6">
        <w:rPr>
          <w:rFonts w:eastAsia="Calibri"/>
          <w:lang w:eastAsia="en-US"/>
        </w:rPr>
        <w:t xml:space="preserve"> поръчки </w:t>
      </w:r>
      <w:r w:rsidRPr="002C5AC6">
        <w:rPr>
          <w:rFonts w:eastAsia="Calibri"/>
          <w:lang w:eastAsia="en-US"/>
        </w:rPr>
        <w:t xml:space="preserve">не съдържат </w:t>
      </w:r>
      <w:r w:rsidR="00AD0BA6" w:rsidRPr="002C5AC6">
        <w:rPr>
          <w:rFonts w:eastAsia="Calibri"/>
          <w:lang w:eastAsia="en-US"/>
        </w:rPr>
        <w:t>задължителното миним</w:t>
      </w:r>
      <w:r w:rsidR="00C34C5D" w:rsidRPr="002C5AC6">
        <w:rPr>
          <w:rFonts w:eastAsia="Calibri"/>
          <w:lang w:eastAsia="en-US"/>
        </w:rPr>
        <w:t>ално съдържание</w:t>
      </w:r>
      <w:r w:rsidR="00AD0BA6" w:rsidRPr="002C5AC6">
        <w:rPr>
          <w:rFonts w:eastAsia="Calibri"/>
          <w:lang w:eastAsia="en-US"/>
        </w:rPr>
        <w:t xml:space="preserve">, </w:t>
      </w:r>
      <w:r w:rsidR="003C726F" w:rsidRPr="002C5AC6">
        <w:rPr>
          <w:rFonts w:eastAsia="Calibri"/>
          <w:lang w:eastAsia="en-US"/>
        </w:rPr>
        <w:t xml:space="preserve">определено </w:t>
      </w:r>
      <w:r w:rsidR="00AD0BA6" w:rsidRPr="002C5AC6">
        <w:rPr>
          <w:rFonts w:eastAsia="Calibri"/>
          <w:lang w:eastAsia="en-US"/>
        </w:rPr>
        <w:t xml:space="preserve">в чл. 8б от </w:t>
      </w:r>
      <w:r w:rsidR="001E1060" w:rsidRPr="002C5AC6">
        <w:rPr>
          <w:rFonts w:eastAsia="Calibri"/>
          <w:lang w:eastAsia="en-US"/>
        </w:rPr>
        <w:t>ЗОП</w:t>
      </w:r>
      <w:r w:rsidR="00AD0BA6" w:rsidRPr="002C5AC6">
        <w:rPr>
          <w:rFonts w:eastAsia="Calibri"/>
          <w:lang w:eastAsia="en-US"/>
        </w:rPr>
        <w:t xml:space="preserve"> (</w:t>
      </w:r>
      <w:r w:rsidR="00617826" w:rsidRPr="002C5AC6">
        <w:rPr>
          <w:rFonts w:eastAsia="Calibri"/>
          <w:lang w:eastAsia="en-US"/>
        </w:rPr>
        <w:t xml:space="preserve">отм., </w:t>
      </w:r>
      <w:r w:rsidR="00AD0BA6" w:rsidRPr="002C5AC6">
        <w:rPr>
          <w:rFonts w:eastAsia="Calibri"/>
          <w:lang w:eastAsia="en-US"/>
        </w:rPr>
        <w:t>ред. ДВ, бр.</w:t>
      </w:r>
      <w:r w:rsidR="001E1060" w:rsidRPr="002C5AC6">
        <w:rPr>
          <w:rFonts w:eastAsia="Calibri"/>
          <w:lang w:eastAsia="en-US"/>
        </w:rPr>
        <w:t xml:space="preserve"> </w:t>
      </w:r>
      <w:r w:rsidR="00AD0BA6" w:rsidRPr="002C5AC6">
        <w:rPr>
          <w:rFonts w:eastAsia="Calibri"/>
          <w:lang w:eastAsia="en-US"/>
        </w:rPr>
        <w:t>93/2011 г.)</w:t>
      </w:r>
      <w:r w:rsidR="00617826" w:rsidRPr="002C5AC6">
        <w:rPr>
          <w:rFonts w:eastAsia="Calibri"/>
          <w:lang w:eastAsia="en-US"/>
        </w:rPr>
        <w:t xml:space="preserve"> </w:t>
      </w:r>
      <w:r w:rsidR="00AD0BA6" w:rsidRPr="002C5AC6">
        <w:rPr>
          <w:rFonts w:eastAsia="Calibri"/>
          <w:lang w:eastAsia="en-US"/>
        </w:rPr>
        <w:t xml:space="preserve">и не отразяват действащата правна уредба, </w:t>
      </w:r>
      <w:r w:rsidRPr="002C5AC6">
        <w:rPr>
          <w:rFonts w:eastAsia="Calibri"/>
          <w:lang w:eastAsia="en-US"/>
        </w:rPr>
        <w:t xml:space="preserve">поради което </w:t>
      </w:r>
      <w:r w:rsidR="00AD0BA6" w:rsidRPr="002C5AC6">
        <w:rPr>
          <w:rFonts w:eastAsia="Calibri"/>
          <w:lang w:eastAsia="en-US"/>
        </w:rPr>
        <w:t xml:space="preserve">не изпълняват </w:t>
      </w:r>
      <w:r w:rsidR="00137D6B" w:rsidRPr="002C5AC6">
        <w:rPr>
          <w:rFonts w:eastAsia="Calibri"/>
          <w:lang w:eastAsia="en-US"/>
        </w:rPr>
        <w:t xml:space="preserve">законовото си </w:t>
      </w:r>
      <w:r w:rsidR="00AD0BA6" w:rsidRPr="002C5AC6">
        <w:rPr>
          <w:rFonts w:eastAsia="Calibri"/>
          <w:lang w:eastAsia="en-US"/>
        </w:rPr>
        <w:t>предназначение да създадат подход</w:t>
      </w:r>
      <w:r w:rsidRPr="002C5AC6">
        <w:rPr>
          <w:rFonts w:eastAsia="Calibri"/>
          <w:lang w:eastAsia="en-US"/>
        </w:rPr>
        <w:t>я</w:t>
      </w:r>
      <w:r w:rsidR="00AD0BA6" w:rsidRPr="002C5AC6">
        <w:rPr>
          <w:rFonts w:eastAsia="Calibri"/>
          <w:lang w:eastAsia="en-US"/>
        </w:rPr>
        <w:t>ща вътрешна организация на всички етапи от процеса на възлагане на обществените поръчки.</w:t>
      </w:r>
    </w:p>
    <w:p w:rsidR="00AD0BA6" w:rsidRPr="002C5AC6" w:rsidRDefault="001F656E" w:rsidP="00C34C5D">
      <w:pPr>
        <w:ind w:firstLine="709"/>
        <w:jc w:val="both"/>
        <w:rPr>
          <w:rFonts w:eastAsia="Calibri"/>
          <w:lang w:eastAsia="en-US"/>
        </w:rPr>
      </w:pPr>
      <w:r w:rsidRPr="002C5AC6">
        <w:rPr>
          <w:rFonts w:eastAsia="Calibri"/>
          <w:lang w:eastAsia="en-US"/>
        </w:rPr>
        <w:t>Съгласно изискванията на ч</w:t>
      </w:r>
      <w:r w:rsidR="00AD0BA6" w:rsidRPr="002C5AC6">
        <w:rPr>
          <w:rFonts w:eastAsia="Calibri"/>
          <w:lang w:eastAsia="en-US"/>
        </w:rPr>
        <w:t>л.</w:t>
      </w:r>
      <w:r w:rsidR="0004190F" w:rsidRPr="002C5AC6">
        <w:rPr>
          <w:rFonts w:eastAsia="Calibri"/>
          <w:lang w:eastAsia="en-US"/>
        </w:rPr>
        <w:t xml:space="preserve"> </w:t>
      </w:r>
      <w:r w:rsidR="00AD0BA6" w:rsidRPr="002C5AC6">
        <w:rPr>
          <w:rFonts w:eastAsia="Calibri"/>
          <w:lang w:eastAsia="en-US"/>
        </w:rPr>
        <w:t>101г, ал.</w:t>
      </w:r>
      <w:r w:rsidR="0004190F" w:rsidRPr="002C5AC6">
        <w:rPr>
          <w:rFonts w:eastAsia="Calibri"/>
          <w:lang w:eastAsia="en-US"/>
        </w:rPr>
        <w:t xml:space="preserve"> </w:t>
      </w:r>
      <w:r w:rsidR="00AD0BA6" w:rsidRPr="002C5AC6">
        <w:rPr>
          <w:rFonts w:eastAsia="Calibri"/>
          <w:lang w:eastAsia="en-US"/>
        </w:rPr>
        <w:t xml:space="preserve">1 от </w:t>
      </w:r>
      <w:r w:rsidR="001E1060" w:rsidRPr="002C5AC6">
        <w:rPr>
          <w:rFonts w:eastAsia="Calibri"/>
          <w:lang w:eastAsia="en-US"/>
        </w:rPr>
        <w:t xml:space="preserve">ЗОП </w:t>
      </w:r>
      <w:r w:rsidR="00AD0BA6" w:rsidRPr="002C5AC6">
        <w:rPr>
          <w:rFonts w:eastAsia="Calibri"/>
          <w:lang w:eastAsia="en-US"/>
        </w:rPr>
        <w:t>(</w:t>
      </w:r>
      <w:r w:rsidR="00617826" w:rsidRPr="002C5AC6">
        <w:rPr>
          <w:rFonts w:eastAsia="Calibri"/>
          <w:lang w:eastAsia="en-US"/>
        </w:rPr>
        <w:t xml:space="preserve">отм., </w:t>
      </w:r>
      <w:r w:rsidR="00AD0BA6" w:rsidRPr="002C5AC6">
        <w:rPr>
          <w:rFonts w:eastAsia="Calibri"/>
          <w:lang w:eastAsia="en-US"/>
        </w:rPr>
        <w:t>ред.</w:t>
      </w:r>
      <w:r w:rsidR="00F653F5" w:rsidRPr="002C5AC6">
        <w:rPr>
          <w:rFonts w:eastAsia="Calibri"/>
          <w:lang w:eastAsia="en-US"/>
        </w:rPr>
        <w:t xml:space="preserve"> </w:t>
      </w:r>
      <w:r w:rsidR="00AD0BA6" w:rsidRPr="002C5AC6">
        <w:rPr>
          <w:rFonts w:eastAsia="Calibri"/>
          <w:lang w:eastAsia="en-US"/>
        </w:rPr>
        <w:t>ДВ</w:t>
      </w:r>
      <w:r w:rsidR="00137D6B" w:rsidRPr="002C5AC6">
        <w:rPr>
          <w:rFonts w:eastAsia="Calibri"/>
          <w:lang w:eastAsia="en-US"/>
        </w:rPr>
        <w:t>.</w:t>
      </w:r>
      <w:r w:rsidR="00AD0BA6" w:rsidRPr="002C5AC6">
        <w:rPr>
          <w:rFonts w:eastAsia="Calibri"/>
          <w:lang w:eastAsia="en-US"/>
        </w:rPr>
        <w:t>, бр.</w:t>
      </w:r>
      <w:r w:rsidR="00F653F5" w:rsidRPr="002C5AC6">
        <w:rPr>
          <w:rFonts w:eastAsia="Calibri"/>
          <w:lang w:eastAsia="en-US"/>
        </w:rPr>
        <w:t xml:space="preserve"> </w:t>
      </w:r>
      <w:r w:rsidR="00AD0BA6" w:rsidRPr="002C5AC6">
        <w:rPr>
          <w:rFonts w:eastAsia="Calibri"/>
          <w:lang w:eastAsia="en-US"/>
        </w:rPr>
        <w:t>40/2014 г.) възложителя</w:t>
      </w:r>
      <w:r w:rsidRPr="002C5AC6">
        <w:rPr>
          <w:rFonts w:eastAsia="Calibri"/>
          <w:lang w:eastAsia="en-US"/>
        </w:rPr>
        <w:t xml:space="preserve">т </w:t>
      </w:r>
      <w:r w:rsidR="00AD0BA6" w:rsidRPr="002C5AC6">
        <w:rPr>
          <w:rFonts w:eastAsia="Calibri"/>
          <w:lang w:eastAsia="en-US"/>
        </w:rPr>
        <w:t>с вътрешни правила определ</w:t>
      </w:r>
      <w:r w:rsidRPr="002C5AC6">
        <w:rPr>
          <w:rFonts w:eastAsia="Calibri"/>
          <w:lang w:eastAsia="en-US"/>
        </w:rPr>
        <w:t>я</w:t>
      </w:r>
      <w:r w:rsidR="00AD0BA6" w:rsidRPr="002C5AC6">
        <w:rPr>
          <w:rFonts w:eastAsia="Calibri"/>
          <w:lang w:eastAsia="en-US"/>
        </w:rPr>
        <w:t xml:space="preserve"> ред за получаване, разглеждане и оценка на офертите. </w:t>
      </w:r>
      <w:r w:rsidR="00F653F5" w:rsidRPr="002C5AC6">
        <w:rPr>
          <w:rFonts w:eastAsia="Calibri"/>
          <w:lang w:eastAsia="en-US"/>
        </w:rPr>
        <w:t>В ч</w:t>
      </w:r>
      <w:r w:rsidR="00AD0BA6" w:rsidRPr="002C5AC6">
        <w:rPr>
          <w:rFonts w:eastAsia="Calibri"/>
          <w:lang w:eastAsia="en-US"/>
        </w:rPr>
        <w:t>л.</w:t>
      </w:r>
      <w:r w:rsidR="0004190F" w:rsidRPr="002C5AC6">
        <w:rPr>
          <w:rFonts w:eastAsia="Calibri"/>
          <w:lang w:eastAsia="en-US"/>
        </w:rPr>
        <w:t xml:space="preserve"> </w:t>
      </w:r>
      <w:r w:rsidR="00AD0BA6" w:rsidRPr="002C5AC6">
        <w:rPr>
          <w:rFonts w:eastAsia="Calibri"/>
          <w:lang w:eastAsia="en-US"/>
        </w:rPr>
        <w:t>31, ал.</w:t>
      </w:r>
      <w:r w:rsidR="0004190F" w:rsidRPr="002C5AC6">
        <w:rPr>
          <w:rFonts w:eastAsia="Calibri"/>
          <w:lang w:eastAsia="en-US"/>
        </w:rPr>
        <w:t xml:space="preserve"> </w:t>
      </w:r>
      <w:r w:rsidR="00AD0BA6" w:rsidRPr="002C5AC6">
        <w:rPr>
          <w:rFonts w:eastAsia="Calibri"/>
          <w:lang w:eastAsia="en-US"/>
        </w:rPr>
        <w:t>5 от вътрешните</w:t>
      </w:r>
      <w:r w:rsidR="00F653F5" w:rsidRPr="002C5AC6">
        <w:rPr>
          <w:rFonts w:eastAsia="Calibri"/>
          <w:lang w:eastAsia="en-US"/>
        </w:rPr>
        <w:t xml:space="preserve"> правила на СРС е предвидено, че</w:t>
      </w:r>
      <w:r w:rsidR="00AD0BA6" w:rsidRPr="002C5AC6">
        <w:rPr>
          <w:rFonts w:eastAsia="Calibri"/>
          <w:lang w:eastAsia="en-US"/>
        </w:rPr>
        <w:t xml:space="preserve"> при разглеждане на офертите по глава осма“а“ от </w:t>
      </w:r>
      <w:r w:rsidR="001E1060" w:rsidRPr="002C5AC6">
        <w:rPr>
          <w:rFonts w:eastAsia="Calibri"/>
          <w:lang w:eastAsia="en-US"/>
        </w:rPr>
        <w:t>ЗОП</w:t>
      </w:r>
      <w:r w:rsidR="00AD0BA6" w:rsidRPr="002C5AC6">
        <w:rPr>
          <w:rFonts w:eastAsia="Calibri"/>
          <w:lang w:eastAsia="en-US"/>
        </w:rPr>
        <w:t xml:space="preserve"> </w:t>
      </w:r>
      <w:r w:rsidR="00F653F5" w:rsidRPr="002C5AC6">
        <w:rPr>
          <w:rFonts w:eastAsia="Calibri"/>
          <w:lang w:eastAsia="en-US"/>
        </w:rPr>
        <w:t xml:space="preserve">(отм.) </w:t>
      </w:r>
      <w:r w:rsidR="00AD0BA6" w:rsidRPr="002C5AC6">
        <w:rPr>
          <w:rFonts w:eastAsia="Calibri"/>
          <w:lang w:eastAsia="en-US"/>
        </w:rPr>
        <w:t>комисията може да прилага чл.</w:t>
      </w:r>
      <w:r w:rsidR="00F653F5" w:rsidRPr="002C5AC6">
        <w:rPr>
          <w:rFonts w:eastAsia="Calibri"/>
          <w:lang w:eastAsia="en-US"/>
        </w:rPr>
        <w:t xml:space="preserve"> </w:t>
      </w:r>
      <w:r w:rsidR="00AD0BA6" w:rsidRPr="002C5AC6">
        <w:rPr>
          <w:rFonts w:eastAsia="Calibri"/>
          <w:lang w:eastAsia="en-US"/>
        </w:rPr>
        <w:t>68, ал.</w:t>
      </w:r>
      <w:r w:rsidR="00F653F5" w:rsidRPr="002C5AC6">
        <w:rPr>
          <w:rFonts w:eastAsia="Calibri"/>
          <w:lang w:eastAsia="en-US"/>
        </w:rPr>
        <w:t xml:space="preserve"> </w:t>
      </w:r>
      <w:r w:rsidR="00AD0BA6" w:rsidRPr="002C5AC6">
        <w:rPr>
          <w:rFonts w:eastAsia="Calibri"/>
          <w:lang w:eastAsia="en-US"/>
        </w:rPr>
        <w:t>7-11, чл.</w:t>
      </w:r>
      <w:r w:rsidR="00F653F5" w:rsidRPr="002C5AC6">
        <w:rPr>
          <w:rFonts w:eastAsia="Calibri"/>
          <w:lang w:eastAsia="en-US"/>
        </w:rPr>
        <w:t xml:space="preserve"> </w:t>
      </w:r>
      <w:r w:rsidR="00AD0BA6" w:rsidRPr="002C5AC6">
        <w:rPr>
          <w:rFonts w:eastAsia="Calibri"/>
          <w:lang w:eastAsia="en-US"/>
        </w:rPr>
        <w:t>68а и чл.</w:t>
      </w:r>
      <w:r w:rsidR="00F653F5" w:rsidRPr="002C5AC6">
        <w:rPr>
          <w:rFonts w:eastAsia="Calibri"/>
          <w:lang w:eastAsia="en-US"/>
        </w:rPr>
        <w:t xml:space="preserve"> </w:t>
      </w:r>
      <w:r w:rsidR="00AD0BA6" w:rsidRPr="002C5AC6">
        <w:rPr>
          <w:rFonts w:eastAsia="Calibri"/>
          <w:lang w:eastAsia="en-US"/>
        </w:rPr>
        <w:t xml:space="preserve">70 от </w:t>
      </w:r>
      <w:r w:rsidR="001E1060" w:rsidRPr="002C5AC6">
        <w:rPr>
          <w:rFonts w:eastAsia="Calibri"/>
          <w:lang w:eastAsia="en-US"/>
        </w:rPr>
        <w:t xml:space="preserve">ЗОП </w:t>
      </w:r>
      <w:r w:rsidR="00617826" w:rsidRPr="002C5AC6">
        <w:rPr>
          <w:rFonts w:eastAsia="Calibri"/>
          <w:lang w:eastAsia="en-US"/>
        </w:rPr>
        <w:t>(отм.)</w:t>
      </w:r>
      <w:r w:rsidR="00AD0BA6" w:rsidRPr="002C5AC6">
        <w:rPr>
          <w:rFonts w:eastAsia="Calibri"/>
          <w:lang w:eastAsia="en-US"/>
        </w:rPr>
        <w:t>.</w:t>
      </w:r>
    </w:p>
    <w:p w:rsidR="001F656E" w:rsidRPr="002C5AC6" w:rsidRDefault="00AD0BA6" w:rsidP="001F656E">
      <w:pPr>
        <w:ind w:firstLine="709"/>
        <w:jc w:val="both"/>
        <w:rPr>
          <w:rFonts w:eastAsia="Calibri"/>
          <w:lang w:eastAsia="en-US"/>
        </w:rPr>
      </w:pPr>
      <w:r w:rsidRPr="002C5AC6">
        <w:rPr>
          <w:rFonts w:eastAsia="Calibri"/>
          <w:lang w:eastAsia="en-US"/>
        </w:rPr>
        <w:t>Избраният от възложителя подход за уреждане на въпросите по разглежд</w:t>
      </w:r>
      <w:r w:rsidR="00F653F5" w:rsidRPr="002C5AC6">
        <w:rPr>
          <w:rFonts w:eastAsia="Calibri"/>
          <w:lang w:eastAsia="en-US"/>
        </w:rPr>
        <w:t>ане на офертите при възлагане с</w:t>
      </w:r>
      <w:r w:rsidRPr="002C5AC6">
        <w:rPr>
          <w:rFonts w:eastAsia="Calibri"/>
          <w:lang w:eastAsia="en-US"/>
        </w:rPr>
        <w:t xml:space="preserve"> публична покана е неправилен. Дадена е възможност на всяка отделна комисия да преценява дали и доколко да прилага цитираните разпоредби на </w:t>
      </w:r>
      <w:r w:rsidR="000449F4" w:rsidRPr="002C5AC6">
        <w:rPr>
          <w:rFonts w:eastAsia="Calibri"/>
          <w:lang w:eastAsia="en-US"/>
        </w:rPr>
        <w:t xml:space="preserve">ЗОП </w:t>
      </w:r>
      <w:r w:rsidR="00F653F5" w:rsidRPr="002C5AC6">
        <w:rPr>
          <w:rFonts w:eastAsia="Calibri"/>
          <w:lang w:eastAsia="en-US"/>
        </w:rPr>
        <w:t>(отм.)</w:t>
      </w:r>
      <w:r w:rsidRPr="002C5AC6">
        <w:rPr>
          <w:rFonts w:eastAsia="Calibri"/>
          <w:lang w:eastAsia="en-US"/>
        </w:rPr>
        <w:t>, като по този начин не се осигурява единен ред за разглеждане на офертите, който трябва да бъде определен от възложит</w:t>
      </w:r>
      <w:r w:rsidR="001F656E" w:rsidRPr="002C5AC6">
        <w:rPr>
          <w:rFonts w:eastAsia="Calibri"/>
          <w:lang w:eastAsia="en-US"/>
        </w:rPr>
        <w:t>еля, а не от отделните комисии.</w:t>
      </w:r>
    </w:p>
    <w:p w:rsidR="001F656E" w:rsidRPr="002C5AC6" w:rsidRDefault="00AD0BA6" w:rsidP="001F656E">
      <w:pPr>
        <w:ind w:firstLine="709"/>
        <w:jc w:val="both"/>
        <w:rPr>
          <w:rFonts w:eastAsia="Calibri"/>
          <w:lang w:eastAsia="en-US"/>
        </w:rPr>
      </w:pPr>
      <w:r w:rsidRPr="002C5AC6">
        <w:rPr>
          <w:rFonts w:eastAsia="Calibri"/>
          <w:lang w:eastAsia="en-US"/>
        </w:rPr>
        <w:t xml:space="preserve">Възложителят е допуснал прилагането на чл.70 от </w:t>
      </w:r>
      <w:r w:rsidR="000449F4" w:rsidRPr="002C5AC6">
        <w:rPr>
          <w:rFonts w:eastAsia="Calibri"/>
          <w:lang w:eastAsia="en-US"/>
        </w:rPr>
        <w:t xml:space="preserve">ЗОП </w:t>
      </w:r>
      <w:r w:rsidR="00617826" w:rsidRPr="002C5AC6">
        <w:rPr>
          <w:rFonts w:eastAsia="Calibri"/>
          <w:lang w:eastAsia="en-US"/>
        </w:rPr>
        <w:t xml:space="preserve">(отм.) </w:t>
      </w:r>
      <w:r w:rsidRPr="002C5AC6">
        <w:rPr>
          <w:rFonts w:eastAsia="Calibri"/>
          <w:lang w:eastAsia="en-US"/>
        </w:rPr>
        <w:t xml:space="preserve">при разглеждането на офертите, подадени при възлагане с публична покана, като по този начин е създал </w:t>
      </w:r>
      <w:r w:rsidRPr="002C5AC6">
        <w:rPr>
          <w:rFonts w:eastAsia="Calibri"/>
          <w:lang w:eastAsia="en-US"/>
        </w:rPr>
        <w:lastRenderedPageBreak/>
        <w:t>предпоставки за изискване на обосновки, респ. отстраняване на участници, без да е налице механизъм за защита на правата им при неоснователно отхвърляне на писмена обосновка.</w:t>
      </w:r>
    </w:p>
    <w:p w:rsidR="001F656E" w:rsidRPr="002C5AC6" w:rsidRDefault="00AD0BA6" w:rsidP="001F656E">
      <w:pPr>
        <w:ind w:firstLine="709"/>
        <w:jc w:val="both"/>
        <w:rPr>
          <w:rFonts w:eastAsia="Calibri"/>
          <w:lang w:eastAsia="en-US"/>
        </w:rPr>
      </w:pPr>
      <w:r w:rsidRPr="002C5AC6">
        <w:rPr>
          <w:rFonts w:eastAsia="Calibri"/>
          <w:lang w:eastAsia="en-US"/>
        </w:rPr>
        <w:t xml:space="preserve">На 11.11.2014 г. са утвърдени Вътрешни правила за възлагане на обществени поръчки и управление профила на купувача в СРС (ВПВОПУПК). С тях са уредени: ред за планиране и разпределението на задълженията на конкретните длъжностни лица във връзка с годишното определяне на видовете поръчки по стойност, видовете процедури, ред за възлагане и сроковете за изпълнение. Подробно са уредени правилата за подготовка и организация на процедурите по </w:t>
      </w:r>
      <w:r w:rsidR="000449F4" w:rsidRPr="002C5AC6">
        <w:rPr>
          <w:rFonts w:eastAsia="Calibri"/>
          <w:lang w:eastAsia="en-US"/>
        </w:rPr>
        <w:t xml:space="preserve">ЗОП </w:t>
      </w:r>
      <w:r w:rsidR="003C726F" w:rsidRPr="002C5AC6">
        <w:rPr>
          <w:rFonts w:eastAsia="Calibri"/>
          <w:lang w:eastAsia="en-US"/>
        </w:rPr>
        <w:t>(отм.)</w:t>
      </w:r>
      <w:r w:rsidR="001F656E" w:rsidRPr="002C5AC6">
        <w:rPr>
          <w:rFonts w:eastAsia="Calibri"/>
          <w:lang w:eastAsia="en-US"/>
        </w:rPr>
        <w:t xml:space="preserve"> </w:t>
      </w:r>
      <w:r w:rsidRPr="002C5AC6">
        <w:rPr>
          <w:rFonts w:eastAsia="Calibri"/>
          <w:lang w:eastAsia="en-US"/>
        </w:rPr>
        <w:t>и възлаганията чрез публична покана</w:t>
      </w:r>
      <w:r w:rsidR="001F656E" w:rsidRPr="002C5AC6">
        <w:rPr>
          <w:rFonts w:eastAsia="Calibri"/>
          <w:lang w:eastAsia="en-US"/>
        </w:rPr>
        <w:t xml:space="preserve"> по реда на глава о</w:t>
      </w:r>
      <w:r w:rsidRPr="002C5AC6">
        <w:rPr>
          <w:rFonts w:eastAsia="Calibri"/>
          <w:lang w:eastAsia="en-US"/>
        </w:rPr>
        <w:t xml:space="preserve">сма „а“ от закона, провеждането на обществените поръчки  и контрола по изпълнението на сключените договори, въз основа на тях. Посочени са отделите, длъжностните лица и документите, които се съставят при възлагането на обществените поръчки. В длъжностните характеристики на </w:t>
      </w:r>
      <w:r w:rsidR="00A960D3" w:rsidRPr="002C5AC6">
        <w:rPr>
          <w:rFonts w:eastAsia="Calibri"/>
          <w:lang w:eastAsia="en-US"/>
        </w:rPr>
        <w:t>р</w:t>
      </w:r>
      <w:r w:rsidRPr="002C5AC6">
        <w:rPr>
          <w:rFonts w:eastAsia="Calibri"/>
          <w:lang w:eastAsia="en-US"/>
        </w:rPr>
        <w:t xml:space="preserve">ъководител </w:t>
      </w:r>
      <w:r w:rsidR="008655BB" w:rsidRPr="002C5AC6">
        <w:rPr>
          <w:rFonts w:eastAsia="Calibri"/>
          <w:lang w:eastAsia="en-US"/>
        </w:rPr>
        <w:t>сектор „Правно обслужване“</w:t>
      </w:r>
      <w:r w:rsidR="009966E6" w:rsidRPr="002C5AC6">
        <w:rPr>
          <w:rFonts w:eastAsia="Calibri"/>
          <w:lang w:eastAsia="en-US"/>
        </w:rPr>
        <w:t xml:space="preserve"> </w:t>
      </w:r>
      <w:r w:rsidRPr="002C5AC6">
        <w:rPr>
          <w:rFonts w:eastAsia="Calibri"/>
          <w:lang w:eastAsia="en-US"/>
        </w:rPr>
        <w:t xml:space="preserve">и </w:t>
      </w:r>
      <w:r w:rsidR="009966E6" w:rsidRPr="002C5AC6">
        <w:rPr>
          <w:rFonts w:eastAsia="Calibri"/>
          <w:lang w:eastAsia="en-US"/>
        </w:rPr>
        <w:t xml:space="preserve">началника на отдел „Финанси, имущество и човешки ресурси“ </w:t>
      </w:r>
      <w:r w:rsidRPr="002C5AC6">
        <w:rPr>
          <w:rFonts w:eastAsia="Calibri"/>
          <w:lang w:eastAsia="en-US"/>
        </w:rPr>
        <w:t>не са отразени задълженията им по вътрешните правила</w:t>
      </w:r>
      <w:r w:rsidRPr="002C5AC6">
        <w:rPr>
          <w:rStyle w:val="FootnoteReference"/>
          <w:rFonts w:eastAsia="Calibri"/>
          <w:lang w:eastAsia="en-US"/>
        </w:rPr>
        <w:footnoteReference w:id="107"/>
      </w:r>
      <w:r w:rsidRPr="002C5AC6">
        <w:rPr>
          <w:rFonts w:eastAsia="Calibri"/>
          <w:lang w:eastAsia="en-US"/>
        </w:rPr>
        <w:t>.</w:t>
      </w:r>
    </w:p>
    <w:p w:rsidR="00AD0BA6" w:rsidRPr="002C5AC6" w:rsidRDefault="00AD0BA6" w:rsidP="001F656E">
      <w:pPr>
        <w:ind w:firstLine="709"/>
        <w:jc w:val="both"/>
        <w:rPr>
          <w:rFonts w:eastAsia="Calibri"/>
          <w:lang w:eastAsia="en-US"/>
        </w:rPr>
      </w:pPr>
      <w:r w:rsidRPr="002C5AC6">
        <w:rPr>
          <w:rFonts w:eastAsia="Calibri"/>
          <w:lang w:eastAsia="en-US"/>
        </w:rPr>
        <w:t>В чл.</w:t>
      </w:r>
      <w:r w:rsidR="001F656E" w:rsidRPr="002C5AC6">
        <w:rPr>
          <w:rFonts w:eastAsia="Calibri"/>
          <w:lang w:eastAsia="en-US"/>
        </w:rPr>
        <w:t xml:space="preserve"> </w:t>
      </w:r>
      <w:r w:rsidRPr="002C5AC6">
        <w:rPr>
          <w:rFonts w:eastAsia="Calibri"/>
          <w:lang w:eastAsia="en-US"/>
        </w:rPr>
        <w:t xml:space="preserve">31, ал. 5 от ВПВОПУПК е посочено, че комисията при разглеждане на офертите </w:t>
      </w:r>
      <w:r w:rsidR="00B94A76" w:rsidRPr="002C5AC6">
        <w:rPr>
          <w:rFonts w:eastAsia="Calibri"/>
          <w:lang w:eastAsia="en-US"/>
        </w:rPr>
        <w:t>по</w:t>
      </w:r>
      <w:r w:rsidRPr="002C5AC6">
        <w:rPr>
          <w:rFonts w:eastAsia="Calibri"/>
          <w:lang w:eastAsia="en-US"/>
        </w:rPr>
        <w:t xml:space="preserve"> глава осма</w:t>
      </w:r>
      <w:r w:rsidR="001F656E" w:rsidRPr="002C5AC6">
        <w:rPr>
          <w:rFonts w:eastAsia="Calibri"/>
          <w:lang w:eastAsia="en-US"/>
        </w:rPr>
        <w:t xml:space="preserve"> „</w:t>
      </w:r>
      <w:r w:rsidRPr="002C5AC6">
        <w:rPr>
          <w:rFonts w:eastAsia="Calibri"/>
          <w:lang w:eastAsia="en-US"/>
        </w:rPr>
        <w:t xml:space="preserve">а“ от </w:t>
      </w:r>
      <w:r w:rsidR="001E1060" w:rsidRPr="002C5AC6">
        <w:rPr>
          <w:rFonts w:eastAsia="Calibri"/>
          <w:lang w:eastAsia="en-US"/>
        </w:rPr>
        <w:t xml:space="preserve">ЗОП </w:t>
      </w:r>
      <w:r w:rsidR="00210F3E" w:rsidRPr="002C5AC6">
        <w:rPr>
          <w:rFonts w:eastAsia="Calibri"/>
          <w:lang w:eastAsia="en-US"/>
        </w:rPr>
        <w:t>(отм.)</w:t>
      </w:r>
      <w:r w:rsidRPr="002C5AC6">
        <w:rPr>
          <w:rFonts w:eastAsia="Calibri"/>
          <w:lang w:eastAsia="en-US"/>
        </w:rPr>
        <w:t xml:space="preserve"> по нейна преценка може да прилага чл.</w:t>
      </w:r>
      <w:r w:rsidR="001F656E" w:rsidRPr="002C5AC6">
        <w:rPr>
          <w:rFonts w:eastAsia="Calibri"/>
          <w:lang w:eastAsia="en-US"/>
        </w:rPr>
        <w:t xml:space="preserve"> </w:t>
      </w:r>
      <w:r w:rsidRPr="002C5AC6">
        <w:rPr>
          <w:rFonts w:eastAsia="Calibri"/>
          <w:lang w:eastAsia="en-US"/>
        </w:rPr>
        <w:t xml:space="preserve">68, </w:t>
      </w:r>
      <w:r w:rsidR="0018364F" w:rsidRPr="002C5AC6">
        <w:rPr>
          <w:rFonts w:eastAsia="Calibri"/>
          <w:lang w:eastAsia="en-US"/>
        </w:rPr>
        <w:br/>
      </w:r>
      <w:r w:rsidRPr="002C5AC6">
        <w:rPr>
          <w:rFonts w:eastAsia="Calibri"/>
          <w:lang w:eastAsia="en-US"/>
        </w:rPr>
        <w:t>ал.</w:t>
      </w:r>
      <w:r w:rsidR="001F656E" w:rsidRPr="002C5AC6">
        <w:rPr>
          <w:rFonts w:eastAsia="Calibri"/>
          <w:lang w:eastAsia="en-US"/>
        </w:rPr>
        <w:t xml:space="preserve"> 7</w:t>
      </w:r>
      <w:r w:rsidR="0018364F" w:rsidRPr="002C5AC6">
        <w:rPr>
          <w:rFonts w:eastAsia="Calibri"/>
          <w:lang w:eastAsia="en-US"/>
        </w:rPr>
        <w:t>-</w:t>
      </w:r>
      <w:r w:rsidRPr="002C5AC6">
        <w:rPr>
          <w:rFonts w:eastAsia="Calibri"/>
          <w:lang w:eastAsia="en-US"/>
        </w:rPr>
        <w:t>11, чл.</w:t>
      </w:r>
      <w:r w:rsidR="00210F3E" w:rsidRPr="002C5AC6">
        <w:rPr>
          <w:rFonts w:eastAsia="Calibri"/>
          <w:lang w:eastAsia="en-US"/>
        </w:rPr>
        <w:t xml:space="preserve"> </w:t>
      </w:r>
      <w:r w:rsidRPr="002C5AC6">
        <w:rPr>
          <w:rFonts w:eastAsia="Calibri"/>
          <w:lang w:eastAsia="en-US"/>
        </w:rPr>
        <w:t>68а и чл.</w:t>
      </w:r>
      <w:r w:rsidR="00210F3E" w:rsidRPr="002C5AC6">
        <w:rPr>
          <w:rFonts w:eastAsia="Calibri"/>
          <w:lang w:eastAsia="en-US"/>
        </w:rPr>
        <w:t xml:space="preserve"> </w:t>
      </w:r>
      <w:r w:rsidRPr="002C5AC6">
        <w:rPr>
          <w:rFonts w:eastAsia="Calibri"/>
          <w:lang w:eastAsia="en-US"/>
        </w:rPr>
        <w:t xml:space="preserve">70 от </w:t>
      </w:r>
      <w:r w:rsidR="000449F4" w:rsidRPr="002C5AC6">
        <w:rPr>
          <w:rFonts w:eastAsia="Calibri"/>
          <w:lang w:eastAsia="en-US"/>
        </w:rPr>
        <w:t xml:space="preserve">ЗОП </w:t>
      </w:r>
      <w:r w:rsidR="003C726F" w:rsidRPr="002C5AC6">
        <w:rPr>
          <w:rFonts w:eastAsia="Calibri"/>
          <w:lang w:eastAsia="en-US"/>
        </w:rPr>
        <w:t>(отм.)</w:t>
      </w:r>
      <w:r w:rsidRPr="002C5AC6">
        <w:rPr>
          <w:rFonts w:eastAsia="Calibri"/>
          <w:lang w:eastAsia="en-US"/>
        </w:rPr>
        <w:t xml:space="preserve">. </w:t>
      </w:r>
      <w:r w:rsidR="0018364F" w:rsidRPr="002C5AC6">
        <w:rPr>
          <w:rFonts w:eastAsia="Calibri"/>
          <w:lang w:eastAsia="en-US"/>
        </w:rPr>
        <w:t>В ч</w:t>
      </w:r>
      <w:r w:rsidRPr="002C5AC6">
        <w:rPr>
          <w:rFonts w:eastAsia="Calibri"/>
          <w:lang w:eastAsia="en-US"/>
        </w:rPr>
        <w:t>л.</w:t>
      </w:r>
      <w:r w:rsidR="00210F3E" w:rsidRPr="002C5AC6">
        <w:rPr>
          <w:rFonts w:eastAsia="Calibri"/>
          <w:lang w:eastAsia="en-US"/>
        </w:rPr>
        <w:t xml:space="preserve"> </w:t>
      </w:r>
      <w:r w:rsidRPr="002C5AC6">
        <w:rPr>
          <w:rFonts w:eastAsia="Calibri"/>
          <w:lang w:eastAsia="en-US"/>
        </w:rPr>
        <w:t>101, ал.</w:t>
      </w:r>
      <w:r w:rsidR="00210F3E" w:rsidRPr="002C5AC6">
        <w:rPr>
          <w:rFonts w:eastAsia="Calibri"/>
          <w:lang w:eastAsia="en-US"/>
        </w:rPr>
        <w:t xml:space="preserve"> </w:t>
      </w:r>
      <w:r w:rsidRPr="002C5AC6">
        <w:rPr>
          <w:rFonts w:eastAsia="Calibri"/>
          <w:lang w:eastAsia="en-US"/>
        </w:rPr>
        <w:t xml:space="preserve">1 от </w:t>
      </w:r>
      <w:r w:rsidR="000449F4" w:rsidRPr="002C5AC6">
        <w:rPr>
          <w:rFonts w:eastAsia="Calibri"/>
          <w:lang w:eastAsia="en-US"/>
        </w:rPr>
        <w:t xml:space="preserve">ЗОП </w:t>
      </w:r>
      <w:r w:rsidR="00210F3E" w:rsidRPr="002C5AC6">
        <w:rPr>
          <w:rFonts w:eastAsia="Calibri"/>
          <w:lang w:eastAsia="en-US"/>
        </w:rPr>
        <w:t xml:space="preserve">(отм., </w:t>
      </w:r>
      <w:r w:rsidRPr="002C5AC6">
        <w:rPr>
          <w:rFonts w:eastAsia="Calibri"/>
          <w:lang w:eastAsia="en-US"/>
        </w:rPr>
        <w:t>ред. ДВ, бр.</w:t>
      </w:r>
      <w:r w:rsidR="0018364F" w:rsidRPr="002C5AC6">
        <w:rPr>
          <w:rFonts w:eastAsia="Calibri"/>
          <w:lang w:eastAsia="en-US"/>
        </w:rPr>
        <w:t xml:space="preserve"> 40/2014 </w:t>
      </w:r>
      <w:r w:rsidRPr="002C5AC6">
        <w:rPr>
          <w:rFonts w:eastAsia="Calibri"/>
          <w:lang w:eastAsia="en-US"/>
        </w:rPr>
        <w:t>г.</w:t>
      </w:r>
      <w:r w:rsidR="00210F3E" w:rsidRPr="002C5AC6">
        <w:rPr>
          <w:rFonts w:eastAsia="Calibri"/>
          <w:lang w:eastAsia="en-US"/>
        </w:rPr>
        <w:t>)</w:t>
      </w:r>
      <w:r w:rsidRPr="002C5AC6">
        <w:rPr>
          <w:rFonts w:eastAsia="Calibri"/>
          <w:lang w:eastAsia="en-US"/>
        </w:rPr>
        <w:t xml:space="preserve">, </w:t>
      </w:r>
      <w:r w:rsidR="0018364F" w:rsidRPr="002C5AC6">
        <w:rPr>
          <w:rFonts w:eastAsia="Calibri"/>
          <w:lang w:eastAsia="en-US"/>
        </w:rPr>
        <w:t>е посочено, че</w:t>
      </w:r>
      <w:r w:rsidRPr="002C5AC6">
        <w:rPr>
          <w:rFonts w:eastAsia="Calibri"/>
          <w:lang w:eastAsia="en-US"/>
        </w:rPr>
        <w:t xml:space="preserve"> възложителя</w:t>
      </w:r>
      <w:r w:rsidR="0018364F" w:rsidRPr="002C5AC6">
        <w:rPr>
          <w:rFonts w:eastAsia="Calibri"/>
          <w:lang w:eastAsia="en-US"/>
        </w:rPr>
        <w:t>т</w:t>
      </w:r>
      <w:r w:rsidRPr="002C5AC6">
        <w:rPr>
          <w:rFonts w:eastAsia="Calibri"/>
          <w:lang w:eastAsia="en-US"/>
        </w:rPr>
        <w:t xml:space="preserve"> с вътрешните правила </w:t>
      </w:r>
      <w:r w:rsidR="0018364F" w:rsidRPr="002C5AC6">
        <w:rPr>
          <w:rFonts w:eastAsia="Calibri"/>
          <w:lang w:eastAsia="en-US"/>
        </w:rPr>
        <w:t>определя</w:t>
      </w:r>
      <w:r w:rsidRPr="002C5AC6">
        <w:rPr>
          <w:rFonts w:eastAsia="Calibri"/>
          <w:lang w:eastAsia="en-US"/>
        </w:rPr>
        <w:t xml:space="preserve"> ред за получаване, разглеждане и оценка на офертите. Неслучайно този ред се определя във вътрешните правила, а те се публикуват на профила на купувача. По този начин всеки заинтересован участник може да се запознае с подхода, който ще бъде приложен при разглеждане на офертите от конкретния възложител. Дадената възможност за прилагане на чл.</w:t>
      </w:r>
      <w:r w:rsidR="0018364F" w:rsidRPr="002C5AC6">
        <w:rPr>
          <w:rFonts w:eastAsia="Calibri"/>
          <w:lang w:eastAsia="en-US"/>
        </w:rPr>
        <w:t xml:space="preserve"> </w:t>
      </w:r>
      <w:r w:rsidRPr="002C5AC6">
        <w:rPr>
          <w:rFonts w:eastAsia="Calibri"/>
          <w:lang w:eastAsia="en-US"/>
        </w:rPr>
        <w:t xml:space="preserve">70 от </w:t>
      </w:r>
      <w:r w:rsidR="001E1060" w:rsidRPr="002C5AC6">
        <w:rPr>
          <w:rFonts w:eastAsia="Calibri"/>
          <w:lang w:eastAsia="en-US"/>
        </w:rPr>
        <w:t>ЗОП</w:t>
      </w:r>
      <w:r w:rsidRPr="002C5AC6">
        <w:rPr>
          <w:rFonts w:eastAsia="Calibri"/>
          <w:lang w:eastAsia="en-US"/>
        </w:rPr>
        <w:t xml:space="preserve"> </w:t>
      </w:r>
      <w:r w:rsidR="003C726F" w:rsidRPr="002C5AC6">
        <w:rPr>
          <w:rFonts w:eastAsia="Calibri"/>
          <w:lang w:eastAsia="en-US"/>
        </w:rPr>
        <w:t>(отм.)</w:t>
      </w:r>
      <w:r w:rsidR="0018364F" w:rsidRPr="002C5AC6">
        <w:rPr>
          <w:rFonts w:eastAsia="Calibri"/>
          <w:lang w:eastAsia="en-US"/>
        </w:rPr>
        <w:t xml:space="preserve"> </w:t>
      </w:r>
      <w:r w:rsidRPr="002C5AC6">
        <w:rPr>
          <w:rFonts w:eastAsia="Calibri"/>
          <w:lang w:eastAsia="en-US"/>
        </w:rPr>
        <w:t xml:space="preserve">от комисиите не е регламентирана като правило при публичната покана. Прилагането на този механизъм не е добра практика, тъй като участниците не разполагат с правна възможност за защита на интересите </w:t>
      </w:r>
      <w:r w:rsidR="0018364F" w:rsidRPr="002C5AC6">
        <w:rPr>
          <w:rFonts w:eastAsia="Calibri"/>
          <w:lang w:eastAsia="en-US"/>
        </w:rPr>
        <w:t>с</w:t>
      </w:r>
      <w:r w:rsidRPr="002C5AC6">
        <w:rPr>
          <w:rFonts w:eastAsia="Calibri"/>
          <w:lang w:eastAsia="en-US"/>
        </w:rPr>
        <w:t>и при неоснователно отстраняване</w:t>
      </w:r>
      <w:r w:rsidR="0018364F" w:rsidRPr="002C5AC6">
        <w:rPr>
          <w:rFonts w:eastAsia="Calibri"/>
          <w:lang w:eastAsia="en-US"/>
        </w:rPr>
        <w:t>,</w:t>
      </w:r>
      <w:r w:rsidRPr="002C5AC6">
        <w:rPr>
          <w:rFonts w:eastAsia="Calibri"/>
          <w:lang w:eastAsia="en-US"/>
        </w:rPr>
        <w:t xml:space="preserve"> поради непредставена или неприета писмена обосновка по чл.</w:t>
      </w:r>
      <w:r w:rsidR="0018364F" w:rsidRPr="002C5AC6">
        <w:rPr>
          <w:rFonts w:eastAsia="Calibri"/>
          <w:lang w:eastAsia="en-US"/>
        </w:rPr>
        <w:t xml:space="preserve"> </w:t>
      </w:r>
      <w:r w:rsidRPr="002C5AC6">
        <w:rPr>
          <w:rFonts w:eastAsia="Calibri"/>
          <w:lang w:eastAsia="en-US"/>
        </w:rPr>
        <w:t xml:space="preserve">70 от </w:t>
      </w:r>
      <w:r w:rsidR="001E1060" w:rsidRPr="002C5AC6">
        <w:rPr>
          <w:rFonts w:eastAsia="Calibri"/>
          <w:lang w:eastAsia="en-US"/>
        </w:rPr>
        <w:t xml:space="preserve">ЗОП </w:t>
      </w:r>
      <w:r w:rsidR="003C726F" w:rsidRPr="002C5AC6">
        <w:rPr>
          <w:rFonts w:eastAsia="Calibri"/>
          <w:lang w:eastAsia="en-US"/>
        </w:rPr>
        <w:t>(отм.)</w:t>
      </w:r>
      <w:r w:rsidRPr="002C5AC6">
        <w:rPr>
          <w:rFonts w:eastAsia="Calibri"/>
          <w:lang w:eastAsia="en-US"/>
        </w:rPr>
        <w:t>.</w:t>
      </w:r>
    </w:p>
    <w:p w:rsidR="00AD0BA6" w:rsidRPr="002C5AC6" w:rsidRDefault="00AD0BA6" w:rsidP="003C726F">
      <w:pPr>
        <w:ind w:firstLine="709"/>
        <w:jc w:val="both"/>
        <w:rPr>
          <w:rFonts w:eastAsia="Calibri"/>
          <w:lang w:eastAsia="en-US"/>
        </w:rPr>
      </w:pPr>
      <w:r w:rsidRPr="002C5AC6">
        <w:rPr>
          <w:rFonts w:eastAsia="Calibri"/>
          <w:lang w:eastAsia="en-US"/>
        </w:rPr>
        <w:t xml:space="preserve">В отделен раздел се урежда създаването и поддържането на Профила на купувача, който представлява </w:t>
      </w:r>
      <w:r w:rsidR="0018364F" w:rsidRPr="002C5AC6">
        <w:rPr>
          <w:rFonts w:eastAsia="Calibri"/>
          <w:lang w:eastAsia="en-US"/>
        </w:rPr>
        <w:t>обособена част от електронната страница на СРС и има за</w:t>
      </w:r>
      <w:r w:rsidRPr="002C5AC6">
        <w:rPr>
          <w:rFonts w:eastAsia="Calibri"/>
          <w:lang w:eastAsia="en-US"/>
        </w:rPr>
        <w:t xml:space="preserve"> цел</w:t>
      </w:r>
      <w:r w:rsidR="0018364F" w:rsidRPr="002C5AC6">
        <w:rPr>
          <w:rFonts w:eastAsia="Calibri"/>
          <w:lang w:eastAsia="en-US"/>
        </w:rPr>
        <w:t xml:space="preserve"> да</w:t>
      </w:r>
      <w:r w:rsidRPr="002C5AC6">
        <w:rPr>
          <w:rFonts w:eastAsia="Calibri"/>
          <w:lang w:eastAsia="en-US"/>
        </w:rPr>
        <w:t xml:space="preserve"> осигур</w:t>
      </w:r>
      <w:r w:rsidR="0018364F" w:rsidRPr="002C5AC6">
        <w:rPr>
          <w:rFonts w:eastAsia="Calibri"/>
          <w:lang w:eastAsia="en-US"/>
        </w:rPr>
        <w:t>и</w:t>
      </w:r>
      <w:r w:rsidRPr="002C5AC6">
        <w:rPr>
          <w:rFonts w:eastAsia="Calibri"/>
          <w:lang w:eastAsia="en-US"/>
        </w:rPr>
        <w:t xml:space="preserve"> публичност и достъпност на информацията за обществените поръчки. В раздела няма регламентирано удостоверяването на датата на публикуване на електронните документи по чл. 22 г от </w:t>
      </w:r>
      <w:r w:rsidR="000449F4" w:rsidRPr="002C5AC6">
        <w:rPr>
          <w:rFonts w:eastAsia="Calibri"/>
          <w:lang w:eastAsia="en-US"/>
        </w:rPr>
        <w:t>ЗОП</w:t>
      </w:r>
      <w:r w:rsidRPr="002C5AC6">
        <w:rPr>
          <w:rFonts w:eastAsia="Calibri"/>
          <w:lang w:eastAsia="en-US"/>
        </w:rPr>
        <w:t xml:space="preserve"> </w:t>
      </w:r>
      <w:r w:rsidR="003C726F" w:rsidRPr="002C5AC6">
        <w:rPr>
          <w:rFonts w:eastAsia="Calibri"/>
          <w:lang w:eastAsia="en-US"/>
        </w:rPr>
        <w:t>(отм.)</w:t>
      </w:r>
      <w:r w:rsidR="0018364F" w:rsidRPr="002C5AC6">
        <w:rPr>
          <w:rFonts w:eastAsia="Calibri"/>
          <w:lang w:eastAsia="en-US"/>
        </w:rPr>
        <w:t xml:space="preserve"> </w:t>
      </w:r>
      <w:r w:rsidRPr="002C5AC6">
        <w:rPr>
          <w:rFonts w:eastAsia="Calibri"/>
          <w:lang w:eastAsia="en-US"/>
        </w:rPr>
        <w:t>в профила на купувача и уреждането на механизъм за удостоверя</w:t>
      </w:r>
      <w:r w:rsidR="0018364F" w:rsidRPr="002C5AC6">
        <w:rPr>
          <w:rFonts w:eastAsia="Calibri"/>
          <w:lang w:eastAsia="en-US"/>
        </w:rPr>
        <w:t xml:space="preserve">ването верността на посочената </w:t>
      </w:r>
      <w:r w:rsidRPr="002C5AC6">
        <w:rPr>
          <w:rFonts w:eastAsia="Calibri"/>
          <w:lang w:eastAsia="en-US"/>
        </w:rPr>
        <w:t xml:space="preserve">дата. Към правилата има приложени образци на </w:t>
      </w:r>
      <w:r w:rsidR="00B94A76" w:rsidRPr="002C5AC6">
        <w:rPr>
          <w:rFonts w:eastAsia="Calibri"/>
          <w:lang w:eastAsia="en-US"/>
        </w:rPr>
        <w:t>„</w:t>
      </w:r>
      <w:r w:rsidRPr="002C5AC6">
        <w:rPr>
          <w:rFonts w:eastAsia="Calibri"/>
          <w:lang w:eastAsia="en-US"/>
        </w:rPr>
        <w:t>Регистър на закупената документация</w:t>
      </w:r>
      <w:r w:rsidR="00B94A76" w:rsidRPr="002C5AC6">
        <w:rPr>
          <w:rFonts w:eastAsia="Calibri"/>
          <w:lang w:eastAsia="en-US"/>
        </w:rPr>
        <w:t>“</w:t>
      </w:r>
      <w:r w:rsidRPr="002C5AC6">
        <w:rPr>
          <w:rFonts w:eastAsia="Calibri"/>
          <w:lang w:eastAsia="en-US"/>
        </w:rPr>
        <w:t xml:space="preserve">, </w:t>
      </w:r>
      <w:r w:rsidR="00B94A76" w:rsidRPr="002C5AC6">
        <w:rPr>
          <w:rFonts w:eastAsia="Calibri"/>
          <w:lang w:eastAsia="en-US"/>
        </w:rPr>
        <w:t>„</w:t>
      </w:r>
      <w:r w:rsidRPr="002C5AC6">
        <w:rPr>
          <w:rFonts w:eastAsia="Calibri"/>
          <w:lang w:eastAsia="en-US"/>
        </w:rPr>
        <w:t>Входящ регистър за получените оферти</w:t>
      </w:r>
      <w:r w:rsidR="00B94A76" w:rsidRPr="002C5AC6">
        <w:rPr>
          <w:rFonts w:eastAsia="Calibri"/>
          <w:lang w:eastAsia="en-US"/>
        </w:rPr>
        <w:t>“</w:t>
      </w:r>
      <w:r w:rsidRPr="002C5AC6">
        <w:rPr>
          <w:rFonts w:eastAsia="Calibri"/>
          <w:lang w:eastAsia="en-US"/>
        </w:rPr>
        <w:t xml:space="preserve">, </w:t>
      </w:r>
      <w:r w:rsidR="00B94A76" w:rsidRPr="002C5AC6">
        <w:rPr>
          <w:rFonts w:eastAsia="Calibri"/>
          <w:lang w:eastAsia="en-US"/>
        </w:rPr>
        <w:t>„</w:t>
      </w:r>
      <w:r w:rsidRPr="002C5AC6">
        <w:rPr>
          <w:rFonts w:eastAsia="Calibri"/>
          <w:lang w:eastAsia="en-US"/>
        </w:rPr>
        <w:t>План-график за периодично повтарящи се доставки и услуги</w:t>
      </w:r>
      <w:r w:rsidR="00B94A76" w:rsidRPr="002C5AC6">
        <w:rPr>
          <w:rFonts w:eastAsia="Calibri"/>
          <w:lang w:eastAsia="en-US"/>
        </w:rPr>
        <w:t>“</w:t>
      </w:r>
      <w:r w:rsidRPr="002C5AC6">
        <w:rPr>
          <w:rFonts w:eastAsia="Calibri"/>
          <w:lang w:eastAsia="en-US"/>
        </w:rPr>
        <w:t xml:space="preserve"> и </w:t>
      </w:r>
      <w:r w:rsidR="00B94A76" w:rsidRPr="002C5AC6">
        <w:rPr>
          <w:rFonts w:eastAsia="Calibri"/>
          <w:lang w:eastAsia="en-US"/>
        </w:rPr>
        <w:t>„П</w:t>
      </w:r>
      <w:r w:rsidRPr="002C5AC6">
        <w:rPr>
          <w:rFonts w:eastAsia="Calibri"/>
          <w:lang w:eastAsia="en-US"/>
        </w:rPr>
        <w:t xml:space="preserve">лан-график </w:t>
      </w:r>
      <w:r w:rsidR="0018364F" w:rsidRPr="002C5AC6">
        <w:rPr>
          <w:rFonts w:eastAsia="Calibri"/>
          <w:lang w:eastAsia="en-US"/>
        </w:rPr>
        <w:t>за еднократни доставки и услуги</w:t>
      </w:r>
      <w:r w:rsidR="00B94A76" w:rsidRPr="002C5AC6">
        <w:rPr>
          <w:rFonts w:eastAsia="Calibri"/>
          <w:lang w:eastAsia="en-US"/>
        </w:rPr>
        <w:t>“</w:t>
      </w:r>
      <w:r w:rsidRPr="002C5AC6">
        <w:rPr>
          <w:rStyle w:val="FootnoteReference"/>
          <w:rFonts w:eastAsia="Calibri"/>
          <w:lang w:eastAsia="en-US"/>
        </w:rPr>
        <w:footnoteReference w:id="108"/>
      </w:r>
      <w:r w:rsidR="0018364F" w:rsidRPr="002C5AC6">
        <w:rPr>
          <w:rFonts w:eastAsia="Calibri"/>
          <w:lang w:eastAsia="en-US"/>
        </w:rPr>
        <w:t>.</w:t>
      </w:r>
    </w:p>
    <w:p w:rsidR="00AD0BA6" w:rsidRPr="002C5AC6" w:rsidRDefault="00AD0BA6" w:rsidP="003C726F">
      <w:pPr>
        <w:ind w:firstLine="709"/>
        <w:jc w:val="both"/>
        <w:rPr>
          <w:rFonts w:eastAsia="Calibri"/>
          <w:i/>
          <w:lang w:eastAsia="en-US"/>
        </w:rPr>
      </w:pPr>
      <w:r w:rsidRPr="002C5AC6">
        <w:rPr>
          <w:rFonts w:eastAsia="Calibri"/>
          <w:i/>
          <w:lang w:eastAsia="en-US"/>
        </w:rPr>
        <w:t>С изключение на посочените пропуски и неточности Правилата за обществени поръчки от 11.11.2014 г. отговарят на законовите изисквания</w:t>
      </w:r>
      <w:r w:rsidR="0018364F" w:rsidRPr="002C5AC6">
        <w:rPr>
          <w:rFonts w:eastAsia="Calibri"/>
          <w:i/>
          <w:lang w:eastAsia="en-US"/>
        </w:rPr>
        <w:t>, определени</w:t>
      </w:r>
      <w:r w:rsidRPr="002C5AC6">
        <w:rPr>
          <w:rFonts w:eastAsia="Calibri"/>
          <w:i/>
          <w:lang w:eastAsia="en-US"/>
        </w:rPr>
        <w:t xml:space="preserve"> в чл. 8б от </w:t>
      </w:r>
      <w:r w:rsidR="000449F4" w:rsidRPr="002C5AC6">
        <w:rPr>
          <w:rFonts w:eastAsia="Calibri"/>
          <w:i/>
          <w:lang w:eastAsia="en-US"/>
        </w:rPr>
        <w:t>ЗОП</w:t>
      </w:r>
      <w:r w:rsidR="003C726F" w:rsidRPr="002C5AC6">
        <w:rPr>
          <w:rFonts w:eastAsia="Calibri"/>
          <w:i/>
          <w:lang w:eastAsia="en-US"/>
        </w:rPr>
        <w:t xml:space="preserve"> (отм.)</w:t>
      </w:r>
      <w:r w:rsidRPr="002C5AC6">
        <w:rPr>
          <w:rFonts w:eastAsia="Calibri"/>
          <w:i/>
          <w:lang w:eastAsia="en-US"/>
        </w:rPr>
        <w:t xml:space="preserve"> и чл.</w:t>
      </w:r>
      <w:r w:rsidR="0018364F" w:rsidRPr="002C5AC6">
        <w:rPr>
          <w:rFonts w:eastAsia="Calibri"/>
          <w:i/>
          <w:lang w:eastAsia="en-US"/>
        </w:rPr>
        <w:t xml:space="preserve"> </w:t>
      </w:r>
      <w:r w:rsidRPr="002C5AC6">
        <w:rPr>
          <w:rFonts w:eastAsia="Calibri"/>
          <w:i/>
          <w:lang w:eastAsia="en-US"/>
        </w:rPr>
        <w:t xml:space="preserve">22г от </w:t>
      </w:r>
      <w:r w:rsidR="000449F4" w:rsidRPr="002C5AC6">
        <w:rPr>
          <w:rFonts w:eastAsia="Calibri"/>
          <w:i/>
          <w:lang w:eastAsia="en-US"/>
        </w:rPr>
        <w:t xml:space="preserve">ЗОП </w:t>
      </w:r>
      <w:r w:rsidRPr="002C5AC6">
        <w:rPr>
          <w:rFonts w:eastAsia="Calibri"/>
          <w:i/>
          <w:lang w:eastAsia="en-US"/>
        </w:rPr>
        <w:t>(</w:t>
      </w:r>
      <w:r w:rsidR="003C726F" w:rsidRPr="002C5AC6">
        <w:rPr>
          <w:rFonts w:eastAsia="Calibri"/>
          <w:i/>
          <w:lang w:eastAsia="en-US"/>
        </w:rPr>
        <w:t>отм.,</w:t>
      </w:r>
      <w:r w:rsidRPr="002C5AC6">
        <w:rPr>
          <w:rFonts w:eastAsia="Calibri"/>
          <w:i/>
          <w:lang w:eastAsia="en-US"/>
        </w:rPr>
        <w:t xml:space="preserve"> ред.</w:t>
      </w:r>
      <w:r w:rsidR="0018364F" w:rsidRPr="002C5AC6">
        <w:rPr>
          <w:rFonts w:eastAsia="Calibri"/>
          <w:i/>
          <w:lang w:eastAsia="en-US"/>
        </w:rPr>
        <w:t xml:space="preserve"> </w:t>
      </w:r>
      <w:r w:rsidRPr="002C5AC6">
        <w:rPr>
          <w:rFonts w:eastAsia="Calibri"/>
          <w:i/>
          <w:lang w:eastAsia="en-US"/>
        </w:rPr>
        <w:t>ДВ, бр.</w:t>
      </w:r>
      <w:r w:rsidR="0018364F" w:rsidRPr="002C5AC6">
        <w:rPr>
          <w:rFonts w:eastAsia="Calibri"/>
          <w:i/>
          <w:lang w:eastAsia="en-US"/>
        </w:rPr>
        <w:t xml:space="preserve"> </w:t>
      </w:r>
      <w:r w:rsidRPr="002C5AC6">
        <w:rPr>
          <w:rFonts w:eastAsia="Calibri"/>
          <w:i/>
          <w:lang w:eastAsia="en-US"/>
        </w:rPr>
        <w:t>40/2014 г.) относно поддържането на профила на купувача.</w:t>
      </w:r>
    </w:p>
    <w:p w:rsidR="00AD0BA6" w:rsidRPr="002C5AC6" w:rsidRDefault="00AD0BA6" w:rsidP="0018364F">
      <w:pPr>
        <w:spacing w:before="120" w:after="120"/>
        <w:ind w:firstLine="709"/>
        <w:jc w:val="both"/>
        <w:rPr>
          <w:rFonts w:eastAsia="Calibri"/>
          <w:b/>
          <w:lang w:eastAsia="en-US"/>
        </w:rPr>
      </w:pPr>
      <w:r w:rsidRPr="002C5AC6">
        <w:rPr>
          <w:rFonts w:eastAsia="Calibri"/>
          <w:b/>
          <w:lang w:eastAsia="en-US"/>
        </w:rPr>
        <w:t>3. Планиране на обществените поръчки за 2014 г.</w:t>
      </w:r>
    </w:p>
    <w:p w:rsidR="00AD0BA6" w:rsidRPr="002C5AC6" w:rsidRDefault="00AD0BA6" w:rsidP="0018364F">
      <w:pPr>
        <w:spacing w:after="120"/>
        <w:ind w:firstLine="709"/>
        <w:jc w:val="both"/>
        <w:rPr>
          <w:rFonts w:eastAsia="Calibri"/>
          <w:lang w:eastAsia="en-US"/>
        </w:rPr>
      </w:pPr>
      <w:r w:rsidRPr="002C5AC6">
        <w:rPr>
          <w:rFonts w:eastAsia="Calibri"/>
          <w:lang w:eastAsia="en-US"/>
        </w:rPr>
        <w:t xml:space="preserve">В правилата за възлагане на обществените поръчки, </w:t>
      </w:r>
      <w:r w:rsidR="00476CFE" w:rsidRPr="002C5AC6">
        <w:rPr>
          <w:rFonts w:eastAsia="Calibri"/>
          <w:lang w:eastAsia="en-US"/>
        </w:rPr>
        <w:t xml:space="preserve">в сила </w:t>
      </w:r>
      <w:r w:rsidRPr="002C5AC6">
        <w:rPr>
          <w:rFonts w:eastAsia="Calibri"/>
          <w:lang w:eastAsia="en-US"/>
        </w:rPr>
        <w:t xml:space="preserve">до 11.11.2014 г., не се съдържат норми </w:t>
      </w:r>
      <w:r w:rsidR="0018364F" w:rsidRPr="002C5AC6">
        <w:rPr>
          <w:rFonts w:eastAsia="Calibri"/>
          <w:lang w:eastAsia="en-US"/>
        </w:rPr>
        <w:t>относно</w:t>
      </w:r>
      <w:r w:rsidRPr="002C5AC6">
        <w:rPr>
          <w:rFonts w:eastAsia="Calibri"/>
          <w:lang w:eastAsia="en-US"/>
        </w:rPr>
        <w:t xml:space="preserve"> планирането на обществените поръчки. Независимо от това </w:t>
      </w:r>
      <w:r w:rsidR="0018364F" w:rsidRPr="002C5AC6">
        <w:rPr>
          <w:rFonts w:eastAsia="Calibri"/>
          <w:lang w:eastAsia="en-US"/>
        </w:rPr>
        <w:t xml:space="preserve">в СРС </w:t>
      </w:r>
      <w:r w:rsidRPr="002C5AC6">
        <w:rPr>
          <w:rFonts w:eastAsia="Calibri"/>
          <w:lang w:eastAsia="en-US"/>
        </w:rPr>
        <w:t>е извършено планиране на потребностите от обществени поръчки, като е съставен п</w:t>
      </w:r>
      <w:r w:rsidR="00476CFE" w:rsidRPr="002C5AC6">
        <w:rPr>
          <w:rFonts w:eastAsia="Calibri"/>
          <w:lang w:eastAsia="en-US"/>
        </w:rPr>
        <w:t>л</w:t>
      </w:r>
      <w:r w:rsidRPr="002C5AC6">
        <w:rPr>
          <w:rFonts w:eastAsia="Calibri"/>
          <w:lang w:eastAsia="en-US"/>
        </w:rPr>
        <w:t>ан-график с посочване на предмета на обществената поръчка,</w:t>
      </w:r>
      <w:r w:rsidR="0018364F" w:rsidRPr="002C5AC6">
        <w:rPr>
          <w:rFonts w:eastAsia="Calibri"/>
          <w:lang w:eastAsia="en-US"/>
        </w:rPr>
        <w:t xml:space="preserve"> </w:t>
      </w:r>
      <w:r w:rsidRPr="002C5AC6">
        <w:rPr>
          <w:rFonts w:eastAsia="Calibri"/>
          <w:lang w:eastAsia="en-US"/>
        </w:rPr>
        <w:t>прогнозната стойност и реда за възлагане.</w:t>
      </w:r>
    </w:p>
    <w:p w:rsidR="00AD0BA6" w:rsidRPr="002C5AC6" w:rsidRDefault="00AD0BA6" w:rsidP="003C726F">
      <w:pPr>
        <w:ind w:firstLine="709"/>
        <w:jc w:val="both"/>
        <w:rPr>
          <w:rFonts w:eastAsia="Calibri"/>
          <w:lang w:eastAsia="en-US"/>
        </w:rPr>
      </w:pPr>
      <w:r w:rsidRPr="002C5AC6">
        <w:rPr>
          <w:rFonts w:eastAsia="Calibri"/>
          <w:lang w:eastAsia="en-US"/>
        </w:rPr>
        <w:lastRenderedPageBreak/>
        <w:t>Планирането на обществените поръчки за 2014 г. е извършено формално и чрез утвърдения план-график не могат да бъдат постигнати целите за планиране на потребностите от обществени поръчки през годината</w:t>
      </w:r>
      <w:r w:rsidR="0018364F" w:rsidRPr="002C5AC6">
        <w:rPr>
          <w:rFonts w:eastAsia="Calibri"/>
          <w:lang w:eastAsia="en-US"/>
        </w:rPr>
        <w:t xml:space="preserve">, както </w:t>
      </w:r>
      <w:r w:rsidRPr="002C5AC6">
        <w:rPr>
          <w:rFonts w:eastAsia="Calibri"/>
          <w:lang w:eastAsia="en-US"/>
        </w:rPr>
        <w:t xml:space="preserve">и </w:t>
      </w:r>
      <w:r w:rsidR="0018364F" w:rsidRPr="002C5AC6">
        <w:rPr>
          <w:rFonts w:eastAsia="Calibri"/>
          <w:lang w:eastAsia="en-US"/>
        </w:rPr>
        <w:t xml:space="preserve">да се </w:t>
      </w:r>
      <w:r w:rsidRPr="002C5AC6">
        <w:rPr>
          <w:rFonts w:eastAsia="Calibri"/>
          <w:lang w:eastAsia="en-US"/>
        </w:rPr>
        <w:t>организира провеждането им.</w:t>
      </w:r>
    </w:p>
    <w:p w:rsidR="00AD0BA6" w:rsidRPr="002C5AC6" w:rsidRDefault="00AD0BA6" w:rsidP="0018364F">
      <w:pPr>
        <w:spacing w:before="120" w:after="120"/>
        <w:ind w:firstLine="709"/>
        <w:jc w:val="both"/>
        <w:rPr>
          <w:rFonts w:eastAsia="Calibri"/>
          <w:b/>
          <w:lang w:eastAsia="en-US"/>
        </w:rPr>
      </w:pPr>
      <w:r w:rsidRPr="002C5AC6">
        <w:rPr>
          <w:rFonts w:eastAsia="Calibri"/>
          <w:b/>
          <w:lang w:eastAsia="en-US"/>
        </w:rPr>
        <w:t xml:space="preserve">4. Проведени процедури по </w:t>
      </w:r>
      <w:r w:rsidR="000449F4" w:rsidRPr="002C5AC6">
        <w:rPr>
          <w:rFonts w:eastAsia="Calibri"/>
          <w:b/>
          <w:lang w:eastAsia="en-US"/>
        </w:rPr>
        <w:t xml:space="preserve">ЗОП </w:t>
      </w:r>
      <w:r w:rsidR="003C726F" w:rsidRPr="002C5AC6">
        <w:rPr>
          <w:rFonts w:eastAsia="Calibri"/>
          <w:b/>
          <w:lang w:eastAsia="en-US"/>
        </w:rPr>
        <w:t>(отм.)</w:t>
      </w:r>
    </w:p>
    <w:p w:rsidR="00AD0BA6" w:rsidRPr="002C5AC6" w:rsidRDefault="00C47B2D" w:rsidP="003C726F">
      <w:pPr>
        <w:ind w:firstLine="709"/>
        <w:jc w:val="both"/>
        <w:rPr>
          <w:rFonts w:eastAsia="Calibri"/>
          <w:lang w:eastAsia="en-US"/>
        </w:rPr>
      </w:pPr>
      <w:r w:rsidRPr="002C5AC6">
        <w:rPr>
          <w:rFonts w:eastAsia="Calibri"/>
          <w:lang w:eastAsia="en-US"/>
        </w:rPr>
        <w:t>При одита е установено, че са с</w:t>
      </w:r>
      <w:r w:rsidR="00AD0BA6" w:rsidRPr="002C5AC6">
        <w:rPr>
          <w:rFonts w:eastAsia="Calibri"/>
          <w:lang w:eastAsia="en-US"/>
        </w:rPr>
        <w:t>ъставени досиета на обществените поръчки, които съдържат документацията, свързана с провеждането на обществените поръчки и сключените договори въз основа на тях, като документите са подредени хронологич</w:t>
      </w:r>
      <w:r w:rsidR="0018364F" w:rsidRPr="002C5AC6">
        <w:rPr>
          <w:rFonts w:eastAsia="Calibri"/>
          <w:lang w:eastAsia="en-US"/>
        </w:rPr>
        <w:t>но</w:t>
      </w:r>
      <w:r w:rsidR="00AD0BA6" w:rsidRPr="002C5AC6">
        <w:rPr>
          <w:rFonts w:eastAsia="Calibri"/>
          <w:lang w:eastAsia="en-US"/>
        </w:rPr>
        <w:t>. При три от обществените поръчки документацията за участие е изготв</w:t>
      </w:r>
      <w:r w:rsidR="0018364F" w:rsidRPr="002C5AC6">
        <w:rPr>
          <w:rFonts w:eastAsia="Calibri"/>
          <w:lang w:eastAsia="en-US"/>
        </w:rPr>
        <w:t>е</w:t>
      </w:r>
      <w:r w:rsidR="00AD0BA6" w:rsidRPr="002C5AC6">
        <w:rPr>
          <w:rFonts w:eastAsia="Calibri"/>
          <w:lang w:eastAsia="en-US"/>
        </w:rPr>
        <w:t xml:space="preserve">на от външен експерт въз основа </w:t>
      </w:r>
      <w:r w:rsidR="0018364F" w:rsidRPr="002C5AC6">
        <w:rPr>
          <w:rFonts w:eastAsia="Calibri"/>
          <w:lang w:eastAsia="en-US"/>
        </w:rPr>
        <w:t>на сключени граждански договори</w:t>
      </w:r>
      <w:r w:rsidR="00AD0BA6" w:rsidRPr="002C5AC6">
        <w:rPr>
          <w:rFonts w:eastAsia="Calibri"/>
          <w:vertAlign w:val="superscript"/>
          <w:lang w:eastAsia="en-US"/>
        </w:rPr>
        <w:footnoteReference w:id="109"/>
      </w:r>
      <w:r w:rsidR="0018364F" w:rsidRPr="002C5AC6">
        <w:rPr>
          <w:rFonts w:eastAsia="Calibri"/>
          <w:lang w:eastAsia="en-US"/>
        </w:rPr>
        <w:t>.</w:t>
      </w:r>
      <w:r w:rsidRPr="002C5AC6">
        <w:rPr>
          <w:rFonts w:eastAsia="Calibri"/>
          <w:lang w:eastAsia="en-US"/>
        </w:rPr>
        <w:t xml:space="preserve"> </w:t>
      </w:r>
      <w:r w:rsidR="00AD0BA6" w:rsidRPr="002C5AC6">
        <w:rPr>
          <w:rFonts w:eastAsia="Calibri"/>
          <w:lang w:eastAsia="en-US"/>
        </w:rPr>
        <w:t>По една от обществените поръчки</w:t>
      </w:r>
      <w:r w:rsidR="00AD0BA6" w:rsidRPr="002C5AC6">
        <w:rPr>
          <w:rFonts w:eastAsia="Calibri"/>
          <w:vertAlign w:val="superscript"/>
          <w:lang w:eastAsia="en-US"/>
        </w:rPr>
        <w:footnoteReference w:id="110"/>
      </w:r>
      <w:r w:rsidR="00AD0BA6" w:rsidRPr="002C5AC6">
        <w:rPr>
          <w:rFonts w:eastAsia="Calibri"/>
          <w:lang w:eastAsia="en-US"/>
        </w:rPr>
        <w:t xml:space="preserve"> е сключен договор за изготвяне на техническата спецификация</w:t>
      </w:r>
      <w:r w:rsidR="0080154C" w:rsidRPr="002C5AC6">
        <w:rPr>
          <w:rFonts w:eastAsia="Calibri"/>
          <w:lang w:eastAsia="en-US"/>
        </w:rPr>
        <w:t xml:space="preserve"> към нея</w:t>
      </w:r>
      <w:r w:rsidR="00AD0BA6" w:rsidRPr="002C5AC6">
        <w:rPr>
          <w:rFonts w:eastAsia="Calibri"/>
          <w:lang w:eastAsia="en-US"/>
        </w:rPr>
        <w:t xml:space="preserve">. </w:t>
      </w:r>
    </w:p>
    <w:p w:rsidR="0080154C" w:rsidRPr="008843E5" w:rsidRDefault="00AD0BA6" w:rsidP="0080154C">
      <w:pPr>
        <w:spacing w:before="120"/>
        <w:ind w:firstLine="709"/>
        <w:jc w:val="both"/>
        <w:rPr>
          <w:b/>
          <w:i/>
          <w:color w:val="000000"/>
        </w:rPr>
      </w:pPr>
      <w:r w:rsidRPr="002C5AC6">
        <w:rPr>
          <w:rFonts w:eastAsia="Calibri"/>
          <w:b/>
          <w:lang w:eastAsia="en-US"/>
        </w:rPr>
        <w:t>4.1.</w:t>
      </w:r>
      <w:r w:rsidR="0080154C" w:rsidRPr="002C5AC6">
        <w:rPr>
          <w:rFonts w:eastAsia="Calibri"/>
          <w:b/>
          <w:lang w:eastAsia="en-US"/>
        </w:rPr>
        <w:t xml:space="preserve"> </w:t>
      </w:r>
      <w:r w:rsidRPr="002C5AC6">
        <w:rPr>
          <w:color w:val="000000"/>
        </w:rPr>
        <w:t xml:space="preserve">Обществена поръчка чрез </w:t>
      </w:r>
      <w:r w:rsidRPr="002C5AC6">
        <w:rPr>
          <w:b/>
          <w:color w:val="000000"/>
        </w:rPr>
        <w:t>процедура на договаряне без обявление</w:t>
      </w:r>
      <w:r w:rsidRPr="002C5AC6">
        <w:rPr>
          <w:color w:val="000000"/>
        </w:rPr>
        <w:t xml:space="preserve"> с предмет</w:t>
      </w:r>
      <w:r w:rsidRPr="002C5AC6">
        <w:rPr>
          <w:i/>
          <w:color w:val="000000"/>
        </w:rPr>
        <w:t xml:space="preserve"> </w:t>
      </w:r>
      <w:r w:rsidR="00C47B2D" w:rsidRPr="008843E5">
        <w:rPr>
          <w:b/>
          <w:i/>
          <w:color w:val="000000"/>
        </w:rPr>
        <w:t>„</w:t>
      </w:r>
      <w:r w:rsidR="000449F4" w:rsidRPr="008843E5">
        <w:rPr>
          <w:b/>
          <w:i/>
          <w:color w:val="000000"/>
        </w:rPr>
        <w:t>Доставка на електроенергия за обекти на Софийски районен съд” с местоположение гр. София, бул. “Драган Цанков”, № 6 и бул. “Патриарх Евтимий” № 2, във връзка с необходимостта от сключване на договор за доставка на електрическа в съответствие с чл. 30, ал.1, т. 9 от Закона за енергетиката, предвид факта, че участника в процедурата, а именно - „ЧЕЗ ЕЛЕКТРО БЪЛГАРИЯ” АД, гр. София е единственото дружество, съответно за гр. София, които по смисъла на чл. 43, ал. 2, т. 2а от Закона за енергетиката (ЗЕ) имат издадени валидни Лицензии за доставчици от последна инстанция</w:t>
      </w:r>
      <w:r w:rsidR="00C47B2D" w:rsidRPr="008843E5">
        <w:rPr>
          <w:b/>
          <w:i/>
          <w:color w:val="000000"/>
        </w:rPr>
        <w:t>“</w:t>
      </w:r>
      <w:r w:rsidR="000449F4" w:rsidRPr="008843E5">
        <w:rPr>
          <w:b/>
          <w:i/>
          <w:color w:val="000000"/>
        </w:rPr>
        <w:t xml:space="preserve"> </w:t>
      </w:r>
      <w:r w:rsidR="00695264" w:rsidRPr="008843E5">
        <w:rPr>
          <w:b/>
        </w:rPr>
        <w:t>(УИН 01152-2014-0001)</w:t>
      </w:r>
    </w:p>
    <w:p w:rsidR="00AD0BA6" w:rsidRPr="002C5AC6" w:rsidRDefault="00AD0BA6" w:rsidP="0080154C">
      <w:pPr>
        <w:ind w:firstLine="709"/>
        <w:jc w:val="both"/>
      </w:pPr>
      <w:r w:rsidRPr="002C5AC6">
        <w:t>Процедурата е открита с Решение № 2/06.02.2014 г. на основание  чл.</w:t>
      </w:r>
      <w:r w:rsidR="000449F4" w:rsidRPr="002C5AC6">
        <w:t xml:space="preserve"> </w:t>
      </w:r>
      <w:r w:rsidRPr="002C5AC6">
        <w:t>90, ал.</w:t>
      </w:r>
      <w:r w:rsidR="000449F4" w:rsidRPr="002C5AC6">
        <w:t xml:space="preserve"> </w:t>
      </w:r>
      <w:r w:rsidRPr="002C5AC6">
        <w:t>1,</w:t>
      </w:r>
      <w:r w:rsidR="00C47B2D" w:rsidRPr="002C5AC6">
        <w:t xml:space="preserve"> </w:t>
      </w:r>
      <w:r w:rsidRPr="002C5AC6">
        <w:t>т.</w:t>
      </w:r>
      <w:r w:rsidR="000449F4" w:rsidRPr="002C5AC6">
        <w:t xml:space="preserve"> </w:t>
      </w:r>
      <w:r w:rsidRPr="002C5AC6">
        <w:t xml:space="preserve">3 от </w:t>
      </w:r>
      <w:r w:rsidR="000449F4" w:rsidRPr="002C5AC6">
        <w:t xml:space="preserve">ЗОП (отм.) </w:t>
      </w:r>
      <w:r w:rsidRPr="002C5AC6">
        <w:t>и е проведена при условията на чл.</w:t>
      </w:r>
      <w:r w:rsidR="000449F4" w:rsidRPr="002C5AC6">
        <w:t xml:space="preserve"> </w:t>
      </w:r>
      <w:r w:rsidRPr="002C5AC6">
        <w:t>93, т.</w:t>
      </w:r>
      <w:r w:rsidR="000449F4" w:rsidRPr="002C5AC6">
        <w:t xml:space="preserve"> </w:t>
      </w:r>
      <w:r w:rsidRPr="002C5AC6">
        <w:t xml:space="preserve">1 от </w:t>
      </w:r>
      <w:r w:rsidR="000449F4" w:rsidRPr="002C5AC6">
        <w:t>ЗОП (отм.)</w:t>
      </w:r>
      <w:r w:rsidRPr="002C5AC6">
        <w:t>.</w:t>
      </w:r>
    </w:p>
    <w:p w:rsidR="00AD0BA6" w:rsidRPr="002C5AC6" w:rsidRDefault="00AD0BA6" w:rsidP="0080154C">
      <w:pPr>
        <w:ind w:firstLine="709"/>
        <w:jc w:val="both"/>
      </w:pPr>
      <w:r w:rsidRPr="002C5AC6">
        <w:t>По отно</w:t>
      </w:r>
      <w:r w:rsidR="000449F4" w:rsidRPr="002C5AC6">
        <w:t xml:space="preserve">шение на процедурата е упражнен </w:t>
      </w:r>
      <w:r w:rsidRPr="002C5AC6">
        <w:t>предварителен контрол от АОП, като е изразено становище за законосъобразност при избора на процедура на договаряне без обявление.</w:t>
      </w:r>
    </w:p>
    <w:p w:rsidR="00AD0BA6" w:rsidRPr="002C5AC6" w:rsidRDefault="00AD0BA6" w:rsidP="0080154C">
      <w:pPr>
        <w:ind w:firstLine="709"/>
        <w:jc w:val="both"/>
      </w:pPr>
      <w:r w:rsidRPr="002C5AC6">
        <w:rPr>
          <w:bCs/>
        </w:rPr>
        <w:t xml:space="preserve">Издадено </w:t>
      </w:r>
      <w:r w:rsidR="00C47B2D" w:rsidRPr="002C5AC6">
        <w:rPr>
          <w:bCs/>
        </w:rPr>
        <w:t xml:space="preserve">е </w:t>
      </w:r>
      <w:r w:rsidRPr="002C5AC6">
        <w:rPr>
          <w:bCs/>
        </w:rPr>
        <w:t>становище за предварителен контрол от АОП по чл.</w:t>
      </w:r>
      <w:r w:rsidR="000449F4" w:rsidRPr="002C5AC6">
        <w:rPr>
          <w:bCs/>
        </w:rPr>
        <w:t xml:space="preserve"> </w:t>
      </w:r>
      <w:r w:rsidRPr="002C5AC6">
        <w:rPr>
          <w:bCs/>
        </w:rPr>
        <w:t>19, ал.</w:t>
      </w:r>
      <w:r w:rsidR="000449F4" w:rsidRPr="002C5AC6">
        <w:rPr>
          <w:bCs/>
        </w:rPr>
        <w:t xml:space="preserve"> </w:t>
      </w:r>
      <w:r w:rsidRPr="002C5AC6">
        <w:rPr>
          <w:bCs/>
        </w:rPr>
        <w:t>2, т.</w:t>
      </w:r>
      <w:r w:rsidR="000449F4" w:rsidRPr="002C5AC6">
        <w:rPr>
          <w:bCs/>
        </w:rPr>
        <w:t xml:space="preserve"> </w:t>
      </w:r>
      <w:r w:rsidRPr="002C5AC6">
        <w:rPr>
          <w:bCs/>
        </w:rPr>
        <w:t xml:space="preserve">24 от </w:t>
      </w:r>
      <w:r w:rsidR="000449F4" w:rsidRPr="002C5AC6">
        <w:rPr>
          <w:bCs/>
        </w:rPr>
        <w:t>ЗОП (отм.)</w:t>
      </w:r>
      <w:r w:rsidRPr="002C5AC6">
        <w:rPr>
          <w:bCs/>
        </w:rPr>
        <w:t xml:space="preserve"> във връзка с необходимостта от сключване на договор за доставка на електрическа енергия в съответствие на чл.</w:t>
      </w:r>
      <w:r w:rsidR="000449F4" w:rsidRPr="002C5AC6">
        <w:rPr>
          <w:bCs/>
        </w:rPr>
        <w:t xml:space="preserve"> </w:t>
      </w:r>
      <w:r w:rsidRPr="002C5AC6">
        <w:rPr>
          <w:bCs/>
        </w:rPr>
        <w:t>30, ал.</w:t>
      </w:r>
      <w:r w:rsidR="000449F4" w:rsidRPr="002C5AC6">
        <w:rPr>
          <w:bCs/>
        </w:rPr>
        <w:t xml:space="preserve"> </w:t>
      </w:r>
      <w:r w:rsidRPr="002C5AC6">
        <w:rPr>
          <w:bCs/>
        </w:rPr>
        <w:t>1, т.</w:t>
      </w:r>
      <w:r w:rsidR="000449F4" w:rsidRPr="002C5AC6">
        <w:rPr>
          <w:bCs/>
        </w:rPr>
        <w:t xml:space="preserve"> </w:t>
      </w:r>
      <w:r w:rsidRPr="002C5AC6">
        <w:rPr>
          <w:bCs/>
        </w:rPr>
        <w:t>9 от З</w:t>
      </w:r>
      <w:r w:rsidR="000449F4" w:rsidRPr="002C5AC6">
        <w:rPr>
          <w:bCs/>
        </w:rPr>
        <w:t>Е</w:t>
      </w:r>
      <w:r w:rsidRPr="002C5AC6">
        <w:rPr>
          <w:bCs/>
        </w:rPr>
        <w:t>.</w:t>
      </w:r>
    </w:p>
    <w:p w:rsidR="00AD0BA6" w:rsidRPr="002C5AC6" w:rsidRDefault="00AD0BA6" w:rsidP="0080154C">
      <w:pPr>
        <w:ind w:firstLine="709"/>
        <w:jc w:val="both"/>
        <w:rPr>
          <w:bCs/>
        </w:rPr>
      </w:pPr>
      <w:r w:rsidRPr="002C5AC6">
        <w:rPr>
          <w:color w:val="000000"/>
          <w:shd w:val="clear" w:color="auto" w:fill="FFFFFF"/>
        </w:rPr>
        <w:t xml:space="preserve">На основание чл. 93, т. 1 от </w:t>
      </w:r>
      <w:r w:rsidR="000449F4" w:rsidRPr="002C5AC6">
        <w:rPr>
          <w:color w:val="000000"/>
          <w:shd w:val="clear" w:color="auto" w:fill="FFFFFF"/>
        </w:rPr>
        <w:t>ЗОП (отм.)</w:t>
      </w:r>
      <w:r w:rsidRPr="002C5AC6">
        <w:rPr>
          <w:color w:val="000000"/>
          <w:shd w:val="clear" w:color="auto" w:fill="FFFFFF"/>
        </w:rPr>
        <w:t xml:space="preserve"> покана за участие не се изпраща, тъй като договорите могат да бъдат сключени единствено с дружеството, притежаващо изключителни права за доставка на електроенергия за горепосочените обекти - „ЧЕЗ ЕЛЕКТРО БЪЛГАРИЯ” АД, ЕИК 175133827.</w:t>
      </w:r>
    </w:p>
    <w:p w:rsidR="00AD0BA6" w:rsidRPr="002C5AC6" w:rsidRDefault="00AD0BA6" w:rsidP="0080154C">
      <w:pPr>
        <w:ind w:firstLine="709"/>
        <w:jc w:val="both"/>
        <w:rPr>
          <w:bCs/>
        </w:rPr>
      </w:pPr>
      <w:r w:rsidRPr="002C5AC6">
        <w:rPr>
          <w:bCs/>
        </w:rPr>
        <w:t xml:space="preserve">Няма назначена комисия за провеждане на процедурата, тъй като в решението е </w:t>
      </w:r>
      <w:r w:rsidRPr="002C5AC6">
        <w:t>посочено, че няма да се прилага чл.</w:t>
      </w:r>
      <w:r w:rsidR="001E1060" w:rsidRPr="002C5AC6">
        <w:t xml:space="preserve"> </w:t>
      </w:r>
      <w:r w:rsidRPr="002C5AC6">
        <w:t xml:space="preserve">92а от </w:t>
      </w:r>
      <w:r w:rsidR="000449F4" w:rsidRPr="002C5AC6">
        <w:t>ЗОП (отм.)</w:t>
      </w:r>
      <w:r w:rsidRPr="002C5AC6">
        <w:t>.</w:t>
      </w:r>
    </w:p>
    <w:p w:rsidR="00AD0BA6" w:rsidRPr="002C5AC6" w:rsidRDefault="00AD0BA6" w:rsidP="0080154C">
      <w:pPr>
        <w:ind w:firstLine="709"/>
        <w:jc w:val="both"/>
        <w:rPr>
          <w:bCs/>
        </w:rPr>
      </w:pPr>
      <w:r w:rsidRPr="002C5AC6">
        <w:rPr>
          <w:bCs/>
        </w:rPr>
        <w:t xml:space="preserve">В резултат на проведената процедура е сключен </w:t>
      </w:r>
      <w:r w:rsidRPr="002C5AC6">
        <w:t>Договор от 10.06.2014 г. за срок от две години. Информация</w:t>
      </w:r>
      <w:r w:rsidR="001E1060" w:rsidRPr="002C5AC6">
        <w:t xml:space="preserve">та за сключването му е изпратена </w:t>
      </w:r>
      <w:r w:rsidRPr="002C5AC6">
        <w:t xml:space="preserve">в РОП </w:t>
      </w:r>
      <w:r w:rsidR="009B5D83" w:rsidRPr="002C5AC6">
        <w:t xml:space="preserve">на АОП </w:t>
      </w:r>
      <w:r w:rsidRPr="002C5AC6">
        <w:t>в срока по чл.</w:t>
      </w:r>
      <w:r w:rsidR="001E1060" w:rsidRPr="002C5AC6">
        <w:t xml:space="preserve"> </w:t>
      </w:r>
      <w:r w:rsidRPr="002C5AC6">
        <w:t>44, ал.</w:t>
      </w:r>
      <w:r w:rsidR="001E1060" w:rsidRPr="002C5AC6">
        <w:t xml:space="preserve"> </w:t>
      </w:r>
      <w:r w:rsidRPr="002C5AC6">
        <w:t xml:space="preserve">1 от </w:t>
      </w:r>
      <w:r w:rsidR="000449F4" w:rsidRPr="002C5AC6">
        <w:t>ЗОП (отм.)</w:t>
      </w:r>
      <w:r w:rsidRPr="002C5AC6">
        <w:rPr>
          <w:vertAlign w:val="superscript"/>
        </w:rPr>
        <w:footnoteReference w:id="111"/>
      </w:r>
      <w:r w:rsidR="000449F4" w:rsidRPr="002C5AC6">
        <w:t>.</w:t>
      </w:r>
    </w:p>
    <w:p w:rsidR="00AD0BA6" w:rsidRPr="002C5AC6" w:rsidRDefault="00AD0BA6" w:rsidP="00030772">
      <w:pPr>
        <w:spacing w:before="120" w:after="120"/>
        <w:ind w:firstLine="709"/>
        <w:jc w:val="both"/>
        <w:rPr>
          <w:i/>
          <w:lang w:eastAsia="en-US"/>
        </w:rPr>
      </w:pPr>
      <w:r w:rsidRPr="002C5AC6">
        <w:rPr>
          <w:i/>
          <w:lang w:eastAsia="en-US"/>
        </w:rPr>
        <w:t>Изборът на вида на процедура</w:t>
      </w:r>
      <w:r w:rsidR="001E1060" w:rsidRPr="002C5AC6">
        <w:rPr>
          <w:i/>
          <w:lang w:eastAsia="en-US"/>
        </w:rPr>
        <w:t>та</w:t>
      </w:r>
      <w:r w:rsidRPr="002C5AC6">
        <w:rPr>
          <w:i/>
          <w:lang w:eastAsia="en-US"/>
        </w:rPr>
        <w:t xml:space="preserve"> и провеждането </w:t>
      </w:r>
      <w:r w:rsidR="009B5D83" w:rsidRPr="002C5AC6">
        <w:rPr>
          <w:i/>
          <w:lang w:eastAsia="en-US"/>
        </w:rPr>
        <w:t>ѝ</w:t>
      </w:r>
      <w:r w:rsidRPr="002C5AC6">
        <w:rPr>
          <w:i/>
          <w:lang w:eastAsia="en-US"/>
        </w:rPr>
        <w:t xml:space="preserve"> са в съответствие с изискванията на </w:t>
      </w:r>
      <w:r w:rsidR="000449F4" w:rsidRPr="002C5AC6">
        <w:rPr>
          <w:i/>
          <w:lang w:eastAsia="en-US"/>
        </w:rPr>
        <w:t>ЗОП (отм.)</w:t>
      </w:r>
      <w:r w:rsidRPr="002C5AC6">
        <w:rPr>
          <w:i/>
          <w:lang w:eastAsia="en-US"/>
        </w:rPr>
        <w:t>.</w:t>
      </w:r>
    </w:p>
    <w:p w:rsidR="00AD0BA6" w:rsidRPr="00030772" w:rsidRDefault="00AD0BA6" w:rsidP="0080154C">
      <w:pPr>
        <w:ind w:firstLine="709"/>
        <w:jc w:val="both"/>
        <w:rPr>
          <w:b/>
          <w:i/>
        </w:rPr>
      </w:pPr>
      <w:r w:rsidRPr="002C5AC6">
        <w:rPr>
          <w:b/>
        </w:rPr>
        <w:t xml:space="preserve">4.2. Открита процедура </w:t>
      </w:r>
      <w:r w:rsidRPr="00030772">
        <w:t>с предмет</w:t>
      </w:r>
      <w:r w:rsidRPr="002C5AC6">
        <w:rPr>
          <w:i/>
        </w:rPr>
        <w:t xml:space="preserve"> </w:t>
      </w:r>
      <w:r w:rsidR="009B5D83" w:rsidRPr="00030772">
        <w:rPr>
          <w:b/>
          <w:i/>
        </w:rPr>
        <w:t>„</w:t>
      </w:r>
      <w:r w:rsidRPr="00030772">
        <w:rPr>
          <w:b/>
          <w:i/>
        </w:rPr>
        <w:t xml:space="preserve">Доставка на канцеларски материали и консумативи за компютри, принтери и копирни машини за нуждите на Софийския </w:t>
      </w:r>
      <w:r w:rsidRPr="00030772">
        <w:rPr>
          <w:b/>
          <w:i/>
        </w:rPr>
        <w:lastRenderedPageBreak/>
        <w:t>районен съд, по обособени позиции, както следва: обособена позиция №</w:t>
      </w:r>
      <w:r w:rsidR="001E1060" w:rsidRPr="00030772">
        <w:rPr>
          <w:b/>
          <w:i/>
        </w:rPr>
        <w:t xml:space="preserve"> </w:t>
      </w:r>
      <w:r w:rsidRPr="00030772">
        <w:rPr>
          <w:b/>
          <w:i/>
        </w:rPr>
        <w:t>1 – Доставка на канцеларски материали,</w:t>
      </w:r>
      <w:r w:rsidRPr="00030772">
        <w:rPr>
          <w:b/>
          <w:i/>
          <w:color w:val="FF0000"/>
        </w:rPr>
        <w:t xml:space="preserve"> </w:t>
      </w:r>
      <w:r w:rsidRPr="00030772">
        <w:rPr>
          <w:b/>
          <w:i/>
        </w:rPr>
        <w:t>обособена позиция №</w:t>
      </w:r>
      <w:r w:rsidR="001E1060" w:rsidRPr="00030772">
        <w:rPr>
          <w:b/>
          <w:i/>
        </w:rPr>
        <w:t xml:space="preserve"> </w:t>
      </w:r>
      <w:r w:rsidRPr="00030772">
        <w:rPr>
          <w:b/>
          <w:i/>
        </w:rPr>
        <w:t>2 - Канцеларски материали, обособена позиция №</w:t>
      </w:r>
      <w:r w:rsidR="001E1060" w:rsidRPr="00030772">
        <w:rPr>
          <w:b/>
          <w:i/>
        </w:rPr>
        <w:t xml:space="preserve"> </w:t>
      </w:r>
      <w:r w:rsidRPr="00030772">
        <w:rPr>
          <w:b/>
          <w:i/>
        </w:rPr>
        <w:t>3 - Папки, хартиени артикули, бланки, обособена позиция №</w:t>
      </w:r>
      <w:r w:rsidR="001E1060" w:rsidRPr="00030772">
        <w:rPr>
          <w:b/>
          <w:i/>
        </w:rPr>
        <w:t xml:space="preserve"> </w:t>
      </w:r>
      <w:r w:rsidRPr="00030772">
        <w:rPr>
          <w:b/>
          <w:i/>
        </w:rPr>
        <w:t xml:space="preserve">4 - </w:t>
      </w:r>
      <w:r w:rsidR="001E1060" w:rsidRPr="00030772">
        <w:rPr>
          <w:b/>
          <w:i/>
        </w:rPr>
        <w:t>К</w:t>
      </w:r>
      <w:r w:rsidRPr="00030772">
        <w:rPr>
          <w:b/>
          <w:i/>
        </w:rPr>
        <w:t>онсумативи за офис техника Hewllet Packard, обособена позиция №</w:t>
      </w:r>
      <w:r w:rsidR="001E1060" w:rsidRPr="00030772">
        <w:rPr>
          <w:b/>
          <w:i/>
        </w:rPr>
        <w:t xml:space="preserve"> </w:t>
      </w:r>
      <w:r w:rsidRPr="00030772">
        <w:rPr>
          <w:b/>
          <w:i/>
        </w:rPr>
        <w:t xml:space="preserve">5 - </w:t>
      </w:r>
      <w:r w:rsidR="001E1060" w:rsidRPr="00030772">
        <w:rPr>
          <w:b/>
          <w:i/>
        </w:rPr>
        <w:t>К</w:t>
      </w:r>
      <w:r w:rsidRPr="00030772">
        <w:rPr>
          <w:b/>
          <w:i/>
        </w:rPr>
        <w:t>онсумативи за офис техника Lexmark, обособена позиция №</w:t>
      </w:r>
      <w:r w:rsidR="001E1060" w:rsidRPr="00030772">
        <w:rPr>
          <w:b/>
          <w:i/>
        </w:rPr>
        <w:t xml:space="preserve"> </w:t>
      </w:r>
      <w:r w:rsidRPr="00030772">
        <w:rPr>
          <w:b/>
          <w:i/>
        </w:rPr>
        <w:t xml:space="preserve">6 - </w:t>
      </w:r>
      <w:r w:rsidR="001E1060" w:rsidRPr="00030772">
        <w:rPr>
          <w:b/>
          <w:i/>
        </w:rPr>
        <w:t>К</w:t>
      </w:r>
      <w:r w:rsidRPr="00030772">
        <w:rPr>
          <w:b/>
          <w:i/>
        </w:rPr>
        <w:t>онсумативи за офис техника Xerox, обособена позиция №</w:t>
      </w:r>
      <w:r w:rsidR="001E1060" w:rsidRPr="00030772">
        <w:rPr>
          <w:b/>
          <w:i/>
        </w:rPr>
        <w:t xml:space="preserve"> </w:t>
      </w:r>
      <w:r w:rsidRPr="00030772">
        <w:rPr>
          <w:b/>
          <w:i/>
        </w:rPr>
        <w:t xml:space="preserve">7 - </w:t>
      </w:r>
      <w:r w:rsidR="001E1060" w:rsidRPr="00030772">
        <w:rPr>
          <w:b/>
          <w:i/>
        </w:rPr>
        <w:t>К</w:t>
      </w:r>
      <w:r w:rsidRPr="00030772">
        <w:rPr>
          <w:b/>
          <w:i/>
        </w:rPr>
        <w:t>онсумативи за друга офис техника, обособена позиция №</w:t>
      </w:r>
      <w:r w:rsidR="001E1060" w:rsidRPr="00030772">
        <w:rPr>
          <w:b/>
          <w:i/>
        </w:rPr>
        <w:t xml:space="preserve"> </w:t>
      </w:r>
      <w:r w:rsidRPr="00030772">
        <w:rPr>
          <w:b/>
          <w:i/>
        </w:rPr>
        <w:t>8 - Книги, картони и бланки по граждански и наказателни дела</w:t>
      </w:r>
      <w:r w:rsidR="009B5D83" w:rsidRPr="00030772">
        <w:rPr>
          <w:b/>
          <w:i/>
        </w:rPr>
        <w:t>“</w:t>
      </w:r>
      <w:r w:rsidRPr="00030772">
        <w:rPr>
          <w:b/>
          <w:i/>
        </w:rPr>
        <w:t xml:space="preserve"> </w:t>
      </w:r>
      <w:r w:rsidR="001E1060" w:rsidRPr="00030772">
        <w:rPr>
          <w:b/>
        </w:rPr>
        <w:t>(</w:t>
      </w:r>
      <w:r w:rsidRPr="00030772">
        <w:rPr>
          <w:b/>
        </w:rPr>
        <w:t>УИН 01152-2014-0002</w:t>
      </w:r>
      <w:r w:rsidR="001E1060" w:rsidRPr="00030772">
        <w:rPr>
          <w:b/>
        </w:rPr>
        <w:t>)</w:t>
      </w:r>
    </w:p>
    <w:p w:rsidR="00AD0BA6" w:rsidRPr="002C5AC6" w:rsidRDefault="00AD0BA6" w:rsidP="00AD0BA6">
      <w:pPr>
        <w:ind w:firstLine="720"/>
        <w:jc w:val="both"/>
      </w:pPr>
      <w:r w:rsidRPr="002C5AC6">
        <w:t>Процедурата е открита с решение № 3 от 28.03.2014 г. на председателя на СРС при критерий за оценка на офертите – най-ниска цена.</w:t>
      </w:r>
    </w:p>
    <w:p w:rsidR="001E1060" w:rsidRPr="002C5AC6" w:rsidRDefault="00AD0BA6" w:rsidP="001E1060">
      <w:pPr>
        <w:ind w:firstLine="709"/>
        <w:jc w:val="both"/>
      </w:pPr>
      <w:r w:rsidRPr="002C5AC6">
        <w:t xml:space="preserve">Обявлението за обществената поръчка </w:t>
      </w:r>
      <w:r w:rsidR="009B5D83" w:rsidRPr="002C5AC6">
        <w:t xml:space="preserve">е </w:t>
      </w:r>
      <w:r w:rsidRPr="002C5AC6">
        <w:t>изпратено едновременно до О</w:t>
      </w:r>
      <w:r w:rsidR="001E1060" w:rsidRPr="002C5AC6">
        <w:t xml:space="preserve">фициалния вестник </w:t>
      </w:r>
      <w:r w:rsidRPr="002C5AC6">
        <w:t>на ЕС и АОП за вписване в РОП на 28.03.2014 г. - 40 дни преди крайния срок за получаване на офертите - 08.05.2014 г.</w:t>
      </w:r>
      <w:r w:rsidR="009B5D83" w:rsidRPr="002C5AC6">
        <w:t>,</w:t>
      </w:r>
      <w:r w:rsidRPr="002C5AC6">
        <w:t xml:space="preserve"> което е в съответствие с разпоредбите на чл.</w:t>
      </w:r>
      <w:r w:rsidR="001E1060" w:rsidRPr="002C5AC6">
        <w:t xml:space="preserve"> </w:t>
      </w:r>
      <w:r w:rsidRPr="002C5AC6">
        <w:t>64, ал.</w:t>
      </w:r>
      <w:r w:rsidR="001E1060" w:rsidRPr="002C5AC6">
        <w:t xml:space="preserve"> </w:t>
      </w:r>
      <w:r w:rsidRPr="002C5AC6">
        <w:t xml:space="preserve">1 и 3 от </w:t>
      </w:r>
      <w:r w:rsidR="000449F4" w:rsidRPr="002C5AC6">
        <w:t xml:space="preserve">ЗОП </w:t>
      </w:r>
      <w:r w:rsidR="001E1060" w:rsidRPr="002C5AC6">
        <w:t>(отм.),</w:t>
      </w:r>
      <w:r w:rsidRPr="002C5AC6">
        <w:t xml:space="preserve"> поради изпращане на обявлението по електронен път и пълен достъп по електронен път до документацията.</w:t>
      </w:r>
    </w:p>
    <w:p w:rsidR="00B30B21" w:rsidRPr="002C5AC6" w:rsidRDefault="00AD0BA6" w:rsidP="00B30B21">
      <w:pPr>
        <w:ind w:firstLine="709"/>
        <w:jc w:val="both"/>
      </w:pPr>
      <w:r w:rsidRPr="002C5AC6">
        <w:t>Определените в обявлението размери на гаранциите за участие и гаранциите за изпълнение на договорите са в съответствие с изискванията на чл.</w:t>
      </w:r>
      <w:r w:rsidR="001E1060" w:rsidRPr="002C5AC6">
        <w:t xml:space="preserve"> </w:t>
      </w:r>
      <w:r w:rsidRPr="002C5AC6">
        <w:t xml:space="preserve">59 от </w:t>
      </w:r>
      <w:r w:rsidR="000449F4" w:rsidRPr="002C5AC6">
        <w:t xml:space="preserve">ЗОП </w:t>
      </w:r>
      <w:r w:rsidR="001E1060" w:rsidRPr="002C5AC6">
        <w:t>(отм.)</w:t>
      </w:r>
      <w:r w:rsidRPr="002C5AC6">
        <w:t>.</w:t>
      </w:r>
    </w:p>
    <w:p w:rsidR="00B30B21" w:rsidRPr="002C5AC6" w:rsidRDefault="00AD0BA6" w:rsidP="00B30B21">
      <w:pPr>
        <w:ind w:firstLine="709"/>
        <w:jc w:val="both"/>
      </w:pPr>
      <w:r w:rsidRPr="002C5AC6">
        <w:t>Назначаването на комисията за разглеждане и оценка на офертите е извършено в съответствие с изискванията на чл.</w:t>
      </w:r>
      <w:r w:rsidR="00B30B21" w:rsidRPr="002C5AC6">
        <w:t xml:space="preserve"> </w:t>
      </w:r>
      <w:r w:rsidRPr="002C5AC6">
        <w:t xml:space="preserve">34 от </w:t>
      </w:r>
      <w:r w:rsidR="000449F4" w:rsidRPr="002C5AC6">
        <w:t xml:space="preserve">ЗОП </w:t>
      </w:r>
      <w:r w:rsidR="00B30B21" w:rsidRPr="002C5AC6">
        <w:t>(отм.)</w:t>
      </w:r>
      <w:r w:rsidRPr="002C5AC6">
        <w:t>.</w:t>
      </w:r>
    </w:p>
    <w:p w:rsidR="00B30B21" w:rsidRPr="002C5AC6" w:rsidRDefault="00AD0BA6" w:rsidP="00B30B21">
      <w:pPr>
        <w:ind w:firstLine="709"/>
        <w:jc w:val="both"/>
      </w:pPr>
      <w:r w:rsidRPr="002C5AC6">
        <w:t xml:space="preserve">Съставените от комисията три протокола, съдържащи извършените действия и взетите решения, са в съответствие с изискванията на чл. 72 от </w:t>
      </w:r>
      <w:r w:rsidR="000449F4" w:rsidRPr="002C5AC6">
        <w:t xml:space="preserve">ЗОП </w:t>
      </w:r>
      <w:r w:rsidR="00B30B21" w:rsidRPr="002C5AC6">
        <w:t>(отм.)</w:t>
      </w:r>
      <w:r w:rsidRPr="002C5AC6">
        <w:t>.</w:t>
      </w:r>
    </w:p>
    <w:p w:rsidR="00AD0BA6" w:rsidRPr="002C5AC6" w:rsidRDefault="00AD0BA6" w:rsidP="00B30B21">
      <w:pPr>
        <w:ind w:firstLine="709"/>
        <w:jc w:val="both"/>
      </w:pPr>
      <w:r w:rsidRPr="002C5AC6">
        <w:t>Решенията на възложителя по отделните позиции за класиране са издадени на 30.06.2014 г. в рамките на 5 работни дни в съответствие с чл.</w:t>
      </w:r>
      <w:r w:rsidR="00B30B21" w:rsidRPr="002C5AC6">
        <w:t xml:space="preserve"> </w:t>
      </w:r>
      <w:r w:rsidRPr="002C5AC6">
        <w:t>73, ал.</w:t>
      </w:r>
      <w:r w:rsidR="00B30B21" w:rsidRPr="002C5AC6">
        <w:t xml:space="preserve"> </w:t>
      </w:r>
      <w:r w:rsidRPr="002C5AC6">
        <w:t xml:space="preserve">1 от </w:t>
      </w:r>
      <w:r w:rsidR="000449F4" w:rsidRPr="002C5AC6">
        <w:t>ЗОП</w:t>
      </w:r>
      <w:r w:rsidR="00B30B21" w:rsidRPr="002C5AC6">
        <w:t xml:space="preserve"> (отм.)</w:t>
      </w:r>
      <w:r w:rsidRPr="002C5AC6">
        <w:t xml:space="preserve"> и са изпратени до участниците в срока по чл. 73, ал. 3 от </w:t>
      </w:r>
      <w:r w:rsidR="000449F4" w:rsidRPr="002C5AC6">
        <w:t xml:space="preserve">ЗОП </w:t>
      </w:r>
      <w:r w:rsidR="00B30B21" w:rsidRPr="002C5AC6">
        <w:t>(отм.)</w:t>
      </w:r>
      <w:r w:rsidRPr="002C5AC6">
        <w:t>.</w:t>
      </w:r>
    </w:p>
    <w:p w:rsidR="00AD0BA6" w:rsidRPr="002C5AC6" w:rsidRDefault="00B30B21" w:rsidP="00B30B21">
      <w:pPr>
        <w:ind w:firstLine="709"/>
        <w:jc w:val="both"/>
      </w:pPr>
      <w:r w:rsidRPr="002C5AC6">
        <w:t>След представяне на необходимите документи са сключени осем договора</w:t>
      </w:r>
      <w:r w:rsidRPr="002C5AC6">
        <w:rPr>
          <w:rStyle w:val="FootnoteReference"/>
        </w:rPr>
        <w:footnoteReference w:id="112"/>
      </w:r>
      <w:r w:rsidRPr="002C5AC6">
        <w:t>.</w:t>
      </w:r>
    </w:p>
    <w:p w:rsidR="00AD0BA6" w:rsidRPr="002C5AC6" w:rsidRDefault="00AD0BA6" w:rsidP="00B30B21">
      <w:pPr>
        <w:ind w:firstLine="709"/>
        <w:jc w:val="both"/>
      </w:pPr>
      <w:r w:rsidRPr="002C5AC6">
        <w:t>Предст</w:t>
      </w:r>
      <w:r w:rsidR="00B30B21" w:rsidRPr="002C5AC6">
        <w:t>авени са гаранции за изпълнение</w:t>
      </w:r>
      <w:r w:rsidRPr="002C5AC6">
        <w:t xml:space="preserve"> и са приложени изискуемите се документи по чл.</w:t>
      </w:r>
      <w:r w:rsidR="00B30B21" w:rsidRPr="002C5AC6">
        <w:t xml:space="preserve"> </w:t>
      </w:r>
      <w:r w:rsidRPr="002C5AC6">
        <w:t>47, ал.</w:t>
      </w:r>
      <w:r w:rsidR="00B30B21" w:rsidRPr="002C5AC6">
        <w:t xml:space="preserve"> </w:t>
      </w:r>
      <w:r w:rsidRPr="002C5AC6">
        <w:t xml:space="preserve">10 от </w:t>
      </w:r>
      <w:r w:rsidR="000449F4" w:rsidRPr="002C5AC6">
        <w:t xml:space="preserve">ЗОП </w:t>
      </w:r>
      <w:r w:rsidR="00B30B21" w:rsidRPr="002C5AC6">
        <w:t>(отм.)</w:t>
      </w:r>
      <w:r w:rsidRPr="002C5AC6">
        <w:rPr>
          <w:vertAlign w:val="superscript"/>
        </w:rPr>
        <w:footnoteReference w:id="113"/>
      </w:r>
      <w:r w:rsidR="00B30B21" w:rsidRPr="002C5AC6">
        <w:t>.</w:t>
      </w:r>
    </w:p>
    <w:p w:rsidR="00AD0BA6" w:rsidRPr="002C5AC6" w:rsidRDefault="00AD0BA6" w:rsidP="00B30B21">
      <w:pPr>
        <w:spacing w:after="120"/>
        <w:ind w:firstLine="709"/>
        <w:jc w:val="both"/>
        <w:rPr>
          <w:i/>
        </w:rPr>
      </w:pPr>
      <w:r w:rsidRPr="00030772">
        <w:rPr>
          <w:i/>
        </w:rPr>
        <w:t>Процедурата е проведена законосъобразно.</w:t>
      </w:r>
    </w:p>
    <w:p w:rsidR="00AD0BA6" w:rsidRPr="00030772" w:rsidRDefault="00AD0BA6" w:rsidP="00B30B21">
      <w:pPr>
        <w:ind w:firstLine="709"/>
        <w:jc w:val="both"/>
        <w:rPr>
          <w:b/>
        </w:rPr>
      </w:pPr>
      <w:r w:rsidRPr="002C5AC6">
        <w:rPr>
          <w:b/>
        </w:rPr>
        <w:t>4.3. Открита процедура</w:t>
      </w:r>
      <w:r w:rsidRPr="002C5AC6">
        <w:t xml:space="preserve"> с предмет </w:t>
      </w:r>
      <w:r w:rsidR="00B30B21" w:rsidRPr="002C5AC6">
        <w:rPr>
          <w:i/>
        </w:rPr>
        <w:t>„</w:t>
      </w:r>
      <w:r w:rsidRPr="00030772">
        <w:rPr>
          <w:b/>
          <w:i/>
        </w:rPr>
        <w:t>Озвучителна и информационна система за съдебните зали за сградата на СРС на бул.“Цар Борис III №</w:t>
      </w:r>
      <w:r w:rsidR="00B30B21" w:rsidRPr="00030772">
        <w:rPr>
          <w:b/>
          <w:i/>
        </w:rPr>
        <w:t xml:space="preserve"> </w:t>
      </w:r>
      <w:r w:rsidRPr="00030772">
        <w:rPr>
          <w:b/>
          <w:i/>
        </w:rPr>
        <w:t>54”</w:t>
      </w:r>
      <w:r w:rsidRPr="00030772">
        <w:rPr>
          <w:b/>
        </w:rPr>
        <w:t xml:space="preserve"> </w:t>
      </w:r>
      <w:r w:rsidR="00B30B21" w:rsidRPr="00030772">
        <w:rPr>
          <w:b/>
        </w:rPr>
        <w:t>(</w:t>
      </w:r>
      <w:r w:rsidRPr="00030772">
        <w:rPr>
          <w:b/>
        </w:rPr>
        <w:t>УИН 01152-2014-0003</w:t>
      </w:r>
      <w:r w:rsidR="00B30B21" w:rsidRPr="00030772">
        <w:rPr>
          <w:b/>
        </w:rPr>
        <w:t>)</w:t>
      </w:r>
    </w:p>
    <w:p w:rsidR="00AD0BA6" w:rsidRPr="002C5AC6" w:rsidRDefault="00AD0BA6" w:rsidP="00B30B21">
      <w:pPr>
        <w:ind w:firstLine="709"/>
        <w:jc w:val="both"/>
      </w:pPr>
      <w:r w:rsidRPr="002C5AC6">
        <w:t xml:space="preserve">Процедурата е открита с решение № </w:t>
      </w:r>
      <w:r w:rsidR="00B30B21" w:rsidRPr="002C5AC6">
        <w:rPr>
          <w:shd w:val="clear" w:color="auto" w:fill="FFFFFF"/>
        </w:rPr>
        <w:t xml:space="preserve">4 от 19.06.2014 г. </w:t>
      </w:r>
      <w:r w:rsidRPr="002C5AC6">
        <w:t>на председателя на СРС при критерий за оценка на офертите – най-ниска цена.</w:t>
      </w:r>
    </w:p>
    <w:p w:rsidR="00AD0BA6" w:rsidRPr="002C5AC6" w:rsidRDefault="00AD0BA6" w:rsidP="00B30B21">
      <w:pPr>
        <w:ind w:firstLine="709"/>
        <w:jc w:val="both"/>
      </w:pPr>
      <w:r w:rsidRPr="002C5AC6">
        <w:t>Обявлението за обществената поръчка до АОП за вписване в РОП е изпратено 29 дни преди крайния срок за получаване на офертите, което е в съответствие с разпоредбите на чл.</w:t>
      </w:r>
      <w:r w:rsidR="00B30B21" w:rsidRPr="002C5AC6">
        <w:t xml:space="preserve"> </w:t>
      </w:r>
      <w:r w:rsidRPr="002C5AC6">
        <w:t>64, ал.</w:t>
      </w:r>
      <w:r w:rsidR="00B30B21" w:rsidRPr="002C5AC6">
        <w:t xml:space="preserve"> </w:t>
      </w:r>
      <w:r w:rsidRPr="002C5AC6">
        <w:t>1 във връзка с чл.</w:t>
      </w:r>
      <w:r w:rsidR="00B30B21" w:rsidRPr="002C5AC6">
        <w:t xml:space="preserve"> </w:t>
      </w:r>
      <w:r w:rsidRPr="002C5AC6">
        <w:t>14, ал.</w:t>
      </w:r>
      <w:r w:rsidR="00B30B21" w:rsidRPr="002C5AC6">
        <w:t xml:space="preserve"> </w:t>
      </w:r>
      <w:r w:rsidRPr="002C5AC6">
        <w:t xml:space="preserve">3 от </w:t>
      </w:r>
      <w:r w:rsidR="000449F4" w:rsidRPr="002C5AC6">
        <w:t xml:space="preserve">ЗОП </w:t>
      </w:r>
      <w:r w:rsidR="00B30B21" w:rsidRPr="002C5AC6">
        <w:t>(отм.)</w:t>
      </w:r>
      <w:r w:rsidRPr="002C5AC6">
        <w:t>.</w:t>
      </w:r>
    </w:p>
    <w:p w:rsidR="00AD0BA6" w:rsidRPr="002C5AC6" w:rsidRDefault="00AD0BA6" w:rsidP="00B30B21">
      <w:pPr>
        <w:ind w:firstLine="709"/>
        <w:jc w:val="both"/>
      </w:pPr>
      <w:r w:rsidRPr="002C5AC6">
        <w:t>Определените в обявлението размери на гаранцията за участие и гаранцията за изпълнение на договора са в съответствие с изискванията на чл.</w:t>
      </w:r>
      <w:r w:rsidR="00051F16" w:rsidRPr="002C5AC6">
        <w:t xml:space="preserve"> </w:t>
      </w:r>
      <w:r w:rsidRPr="002C5AC6">
        <w:t xml:space="preserve">59 от </w:t>
      </w:r>
      <w:r w:rsidR="000449F4" w:rsidRPr="002C5AC6">
        <w:t xml:space="preserve">ЗОП </w:t>
      </w:r>
      <w:r w:rsidR="00051F16" w:rsidRPr="002C5AC6">
        <w:t>(отм.)</w:t>
      </w:r>
      <w:r w:rsidRPr="002C5AC6">
        <w:t>.</w:t>
      </w:r>
    </w:p>
    <w:p w:rsidR="00AD0BA6" w:rsidRPr="002C5AC6" w:rsidRDefault="00AD0BA6" w:rsidP="00B30B21">
      <w:pPr>
        <w:ind w:firstLine="709"/>
        <w:jc w:val="both"/>
      </w:pPr>
      <w:r w:rsidRPr="002C5AC6">
        <w:t>Назначаването на комисията за разглеждане и оценка на офертите е извършено в съответствие с изискванията на чл.</w:t>
      </w:r>
      <w:r w:rsidR="00051F16" w:rsidRPr="002C5AC6">
        <w:t xml:space="preserve"> </w:t>
      </w:r>
      <w:r w:rsidRPr="002C5AC6">
        <w:t xml:space="preserve">34 от </w:t>
      </w:r>
      <w:r w:rsidR="000449F4" w:rsidRPr="002C5AC6">
        <w:t xml:space="preserve">ЗОП </w:t>
      </w:r>
      <w:r w:rsidR="00051F16" w:rsidRPr="002C5AC6">
        <w:t>(отм.)</w:t>
      </w:r>
      <w:r w:rsidRPr="002C5AC6">
        <w:t xml:space="preserve">. Съставените от комисията три протокола, съдържащи извършените действия и взетите решения, са в съответствие с изискванията на чл. 72 от </w:t>
      </w:r>
      <w:r w:rsidR="000449F4" w:rsidRPr="002C5AC6">
        <w:t xml:space="preserve">ЗОП </w:t>
      </w:r>
      <w:r w:rsidR="00051F16" w:rsidRPr="002C5AC6">
        <w:t>(отм.)</w:t>
      </w:r>
      <w:r w:rsidRPr="002C5AC6">
        <w:t>.</w:t>
      </w:r>
    </w:p>
    <w:p w:rsidR="00AD0BA6" w:rsidRPr="002C5AC6" w:rsidRDefault="00AD0BA6" w:rsidP="00B30B21">
      <w:pPr>
        <w:ind w:firstLine="709"/>
        <w:jc w:val="both"/>
      </w:pPr>
      <w:r w:rsidRPr="002C5AC6">
        <w:lastRenderedPageBreak/>
        <w:t>Решението на възложителя за класиране е издадено на 24.07.2014 г. в рамките на 5 работни дни в съответствие с чл.</w:t>
      </w:r>
      <w:r w:rsidR="00051F16" w:rsidRPr="002C5AC6">
        <w:t xml:space="preserve"> </w:t>
      </w:r>
      <w:r w:rsidRPr="002C5AC6">
        <w:t>73, ал.</w:t>
      </w:r>
      <w:r w:rsidR="00051F16" w:rsidRPr="002C5AC6">
        <w:t xml:space="preserve"> </w:t>
      </w:r>
      <w:r w:rsidRPr="002C5AC6">
        <w:t xml:space="preserve">1 от </w:t>
      </w:r>
      <w:r w:rsidR="000449F4" w:rsidRPr="002C5AC6">
        <w:t>ЗОП</w:t>
      </w:r>
      <w:r w:rsidR="00051F16" w:rsidRPr="002C5AC6">
        <w:t xml:space="preserve"> (отм.)</w:t>
      </w:r>
      <w:r w:rsidRPr="002C5AC6">
        <w:t xml:space="preserve"> и е изпратено до участника в срока по чл. 73, ал. 3 от </w:t>
      </w:r>
      <w:r w:rsidR="000449F4" w:rsidRPr="002C5AC6">
        <w:t>ЗОП</w:t>
      </w:r>
      <w:r w:rsidR="00051F16" w:rsidRPr="002C5AC6">
        <w:t xml:space="preserve"> (отм.).</w:t>
      </w:r>
    </w:p>
    <w:p w:rsidR="00051F16" w:rsidRPr="002C5AC6" w:rsidRDefault="00AD0BA6" w:rsidP="00051F16">
      <w:pPr>
        <w:ind w:firstLine="709"/>
        <w:jc w:val="both"/>
      </w:pPr>
      <w:r w:rsidRPr="002C5AC6">
        <w:t xml:space="preserve">В резултат на проведената процедура е сключен договор след представяне на необходимите документи по чл.42, ал.1 от </w:t>
      </w:r>
      <w:r w:rsidR="000449F4" w:rsidRPr="002C5AC6">
        <w:t xml:space="preserve">ЗОП </w:t>
      </w:r>
      <w:r w:rsidR="00051F16" w:rsidRPr="002C5AC6">
        <w:t xml:space="preserve">(отм.) </w:t>
      </w:r>
      <w:r w:rsidRPr="002C5AC6">
        <w:t xml:space="preserve">с </w:t>
      </w:r>
      <w:r w:rsidR="00051F16" w:rsidRPr="002C5AC6">
        <w:t>„</w:t>
      </w:r>
      <w:r w:rsidRPr="002C5AC6">
        <w:t>ЕОС Електроникс</w:t>
      </w:r>
      <w:r w:rsidR="00051F16" w:rsidRPr="002C5AC6">
        <w:t>“ ЕООД на стойност 366 358</w:t>
      </w:r>
      <w:r w:rsidRPr="002C5AC6">
        <w:t xml:space="preserve"> лв. без ДДС. Представена е гаранция за изпълнение, като са приложени и изискуемите документи по чл.</w:t>
      </w:r>
      <w:r w:rsidR="00051F16" w:rsidRPr="002C5AC6">
        <w:t xml:space="preserve"> </w:t>
      </w:r>
      <w:r w:rsidRPr="002C5AC6">
        <w:t>47, ал.</w:t>
      </w:r>
      <w:r w:rsidR="00051F16" w:rsidRPr="002C5AC6">
        <w:t xml:space="preserve"> </w:t>
      </w:r>
      <w:r w:rsidRPr="002C5AC6">
        <w:t xml:space="preserve">10 от </w:t>
      </w:r>
      <w:r w:rsidR="000449F4" w:rsidRPr="002C5AC6">
        <w:t>ЗОП (</w:t>
      </w:r>
      <w:r w:rsidR="00051F16" w:rsidRPr="002C5AC6">
        <w:t>отм.</w:t>
      </w:r>
      <w:r w:rsidR="000449F4" w:rsidRPr="002C5AC6">
        <w:t>)</w:t>
      </w:r>
      <w:r w:rsidRPr="002C5AC6">
        <w:rPr>
          <w:vertAlign w:val="superscript"/>
        </w:rPr>
        <w:footnoteReference w:id="114"/>
      </w:r>
      <w:r w:rsidR="00051F16" w:rsidRPr="002C5AC6">
        <w:t>.</w:t>
      </w:r>
    </w:p>
    <w:p w:rsidR="00AD0BA6" w:rsidRPr="002C5AC6" w:rsidRDefault="00AD0BA6" w:rsidP="00051F16">
      <w:pPr>
        <w:spacing w:after="120"/>
        <w:ind w:firstLine="709"/>
        <w:jc w:val="both"/>
      </w:pPr>
      <w:r w:rsidRPr="002C5AC6">
        <w:rPr>
          <w:i/>
        </w:rPr>
        <w:t>Процедурата е проведена законосъобразно</w:t>
      </w:r>
    </w:p>
    <w:p w:rsidR="00AD0BA6" w:rsidRPr="00030772" w:rsidRDefault="00AD0BA6" w:rsidP="00051F16">
      <w:pPr>
        <w:ind w:firstLine="709"/>
        <w:jc w:val="both"/>
        <w:rPr>
          <w:b/>
        </w:rPr>
      </w:pPr>
      <w:r w:rsidRPr="002C5AC6">
        <w:rPr>
          <w:b/>
        </w:rPr>
        <w:t>4.4.</w:t>
      </w:r>
      <w:r w:rsidR="00430BB5" w:rsidRPr="002C5AC6">
        <w:rPr>
          <w:b/>
        </w:rPr>
        <w:t xml:space="preserve"> </w:t>
      </w:r>
      <w:r w:rsidRPr="002C5AC6">
        <w:rPr>
          <w:b/>
        </w:rPr>
        <w:t>Открита процедура</w:t>
      </w:r>
      <w:r w:rsidRPr="002C5AC6">
        <w:t xml:space="preserve"> с предмет  </w:t>
      </w:r>
      <w:r w:rsidRPr="00030772">
        <w:rPr>
          <w:b/>
          <w:i/>
        </w:rPr>
        <w:t>„Доставка на многофункционални устройства за копиране, сканиране и принтиране и предоставяне на услуги по управление на печата в сградата на Софийския районен съд, бул. „Цар Борис III”</w:t>
      </w:r>
      <w:r w:rsidR="00051F16" w:rsidRPr="00030772">
        <w:rPr>
          <w:b/>
        </w:rPr>
        <w:t xml:space="preserve"> № 54” (</w:t>
      </w:r>
      <w:r w:rsidRPr="00030772">
        <w:rPr>
          <w:b/>
        </w:rPr>
        <w:t>УИН 01152-2014-0004</w:t>
      </w:r>
      <w:r w:rsidR="00051F16" w:rsidRPr="00030772">
        <w:rPr>
          <w:b/>
        </w:rPr>
        <w:t>)</w:t>
      </w:r>
    </w:p>
    <w:p w:rsidR="00AD0BA6" w:rsidRPr="002C5AC6" w:rsidRDefault="00AD0BA6" w:rsidP="00051F16">
      <w:pPr>
        <w:ind w:firstLine="709"/>
        <w:jc w:val="both"/>
      </w:pPr>
      <w:r w:rsidRPr="002C5AC6">
        <w:t xml:space="preserve">Процедурата е открита с решение № </w:t>
      </w:r>
      <w:r w:rsidR="00051F16" w:rsidRPr="002C5AC6">
        <w:rPr>
          <w:shd w:val="clear" w:color="auto" w:fill="FFFFFF"/>
        </w:rPr>
        <w:t xml:space="preserve">5 от 27.06.2014 г. </w:t>
      </w:r>
      <w:r w:rsidRPr="002C5AC6">
        <w:t>на председателя на СРС при критерий за оценка на офертите – икономически най-изгодна оферта.</w:t>
      </w:r>
    </w:p>
    <w:p w:rsidR="00AD0BA6" w:rsidRPr="002C5AC6" w:rsidRDefault="00AD0BA6" w:rsidP="00051F16">
      <w:pPr>
        <w:ind w:firstLine="709"/>
        <w:jc w:val="both"/>
      </w:pPr>
      <w:r w:rsidRPr="002C5AC6">
        <w:t>Обявлението за обществената поръчка до АОП за вписване в РОП е изпратено 42 дни преди крайния срок за получаване на офертите, което е в съответствие с разпоредбите на чл.</w:t>
      </w:r>
      <w:r w:rsidR="00051F16" w:rsidRPr="002C5AC6">
        <w:t xml:space="preserve"> </w:t>
      </w:r>
      <w:r w:rsidRPr="002C5AC6">
        <w:t>64, ал.</w:t>
      </w:r>
      <w:r w:rsidR="00051F16" w:rsidRPr="002C5AC6">
        <w:t xml:space="preserve"> </w:t>
      </w:r>
      <w:r w:rsidRPr="002C5AC6">
        <w:t>1 и ал.</w:t>
      </w:r>
      <w:r w:rsidR="00051F16" w:rsidRPr="002C5AC6">
        <w:t xml:space="preserve"> </w:t>
      </w:r>
      <w:r w:rsidRPr="002C5AC6">
        <w:t xml:space="preserve">3 от </w:t>
      </w:r>
      <w:r w:rsidR="000449F4" w:rsidRPr="002C5AC6">
        <w:t xml:space="preserve">ЗОП </w:t>
      </w:r>
      <w:r w:rsidR="00051F16" w:rsidRPr="002C5AC6">
        <w:t xml:space="preserve">(отм.) </w:t>
      </w:r>
      <w:r w:rsidRPr="002C5AC6">
        <w:t xml:space="preserve">поради изпращане на обявлението </w:t>
      </w:r>
      <w:r w:rsidR="00C41D1F">
        <w:t>за публикуване в „О</w:t>
      </w:r>
      <w:r w:rsidR="00F86FC1">
        <w:t xml:space="preserve">фициален </w:t>
      </w:r>
      <w:r w:rsidR="00C41D1F">
        <w:t xml:space="preserve">вестник“ на Европейския съюз и осигуряване по електронен път на пълен достъп </w:t>
      </w:r>
      <w:r w:rsidRPr="002C5AC6">
        <w:t xml:space="preserve">до документацията.  </w:t>
      </w:r>
    </w:p>
    <w:p w:rsidR="00AD0BA6" w:rsidRPr="002C5AC6" w:rsidRDefault="00AD0BA6" w:rsidP="00051F16">
      <w:pPr>
        <w:ind w:firstLine="709"/>
        <w:jc w:val="both"/>
        <w:rPr>
          <w:bCs/>
          <w:lang w:eastAsia="en-US"/>
        </w:rPr>
      </w:pPr>
      <w:r w:rsidRPr="002C5AC6">
        <w:rPr>
          <w:bCs/>
          <w:lang w:eastAsia="en-US"/>
        </w:rPr>
        <w:t xml:space="preserve">В одобрената с решението за откриване на процедурата документация за участие се съдържат „Описание и техническата спецификация” и „Методика за оценка на офертите”. Предметът на обществената поръчка обхваща доставката на общо 86 бр. мултифункционални устройства, разпределени в 7 типа. </w:t>
      </w:r>
    </w:p>
    <w:p w:rsidR="00051F16" w:rsidRPr="002C5AC6" w:rsidRDefault="00051F16" w:rsidP="00051F16">
      <w:pPr>
        <w:ind w:firstLine="709"/>
        <w:jc w:val="both"/>
        <w:rPr>
          <w:bCs/>
          <w:lang w:eastAsia="en-US"/>
        </w:rPr>
      </w:pPr>
      <w:r w:rsidRPr="002C5AC6">
        <w:rPr>
          <w:bCs/>
          <w:lang w:eastAsia="en-US"/>
        </w:rPr>
        <w:t>При прегледа на документите е установено:</w:t>
      </w:r>
    </w:p>
    <w:p w:rsidR="00AD0BA6" w:rsidRPr="002C5AC6" w:rsidRDefault="00AD0BA6" w:rsidP="00051F16">
      <w:pPr>
        <w:ind w:firstLine="709"/>
        <w:jc w:val="both"/>
        <w:rPr>
          <w:lang w:eastAsia="en-GB"/>
        </w:rPr>
      </w:pPr>
      <w:r w:rsidRPr="002C5AC6">
        <w:rPr>
          <w:lang w:eastAsia="en-GB"/>
        </w:rPr>
        <w:t xml:space="preserve">а) в т. 2 от техническата спецификация е поставено изискване </w:t>
      </w:r>
      <w:r w:rsidRPr="002C5AC6">
        <w:rPr>
          <w:i/>
          <w:lang w:eastAsia="en-GB"/>
        </w:rPr>
        <w:t>„всички хардуерни устройства да са от една и съща марка</w:t>
      </w:r>
      <w:r w:rsidRPr="006C007A">
        <w:rPr>
          <w:i/>
          <w:lang w:eastAsia="en-GB"/>
        </w:rPr>
        <w:t>”</w:t>
      </w:r>
      <w:r w:rsidRPr="006C007A">
        <w:rPr>
          <w:lang w:eastAsia="en-GB"/>
        </w:rPr>
        <w:t>,</w:t>
      </w:r>
      <w:r w:rsidRPr="002C5AC6">
        <w:rPr>
          <w:b/>
          <w:lang w:eastAsia="en-GB"/>
        </w:rPr>
        <w:t xml:space="preserve"> </w:t>
      </w:r>
      <w:r w:rsidRPr="006C007A">
        <w:rPr>
          <w:lang w:eastAsia="en-GB"/>
        </w:rPr>
        <w:t>като</w:t>
      </w:r>
      <w:r w:rsidRPr="002C5AC6">
        <w:rPr>
          <w:lang w:eastAsia="en-GB"/>
        </w:rPr>
        <w:t xml:space="preserve"> същото е мотивирано с „улеснение при използването от служителите и унификация на техническото решение”. </w:t>
      </w:r>
    </w:p>
    <w:p w:rsidR="00AD0BA6" w:rsidRPr="002C5AC6" w:rsidRDefault="00AD0BA6" w:rsidP="00051F16">
      <w:pPr>
        <w:ind w:firstLine="709"/>
        <w:jc w:val="both"/>
        <w:rPr>
          <w:lang w:eastAsia="en-GB"/>
        </w:rPr>
      </w:pPr>
      <w:r w:rsidRPr="002C5AC6">
        <w:rPr>
          <w:lang w:eastAsia="en-GB"/>
        </w:rPr>
        <w:t xml:space="preserve">С поставеното изискване неоснователно е изключена възможността да бъде предложено най-доброто устройство от даден тип, независимо кой е неговият производител. Включеното в предмета на обществената поръчка „пълно сервизно обслужване на оборудването за период от 48 месеца” гарантира техническа поддръжка и работоспособност на устройствата, независимо от модела и марката на отделните устройства. Различните марки и модели на оборудването, предмет на поръчката имат сходен интерфейс, който позволява на потребителите лесна употреба, дори отделните типове устройства да са от различни марки. </w:t>
      </w:r>
    </w:p>
    <w:p w:rsidR="00AD0BA6" w:rsidRPr="002C5AC6" w:rsidRDefault="00AD0BA6" w:rsidP="00FB25AC">
      <w:pPr>
        <w:ind w:firstLine="709"/>
        <w:jc w:val="both"/>
        <w:rPr>
          <w:lang w:eastAsia="en-GB"/>
        </w:rPr>
      </w:pPr>
      <w:r w:rsidRPr="002C5AC6">
        <w:rPr>
          <w:lang w:eastAsia="en-GB"/>
        </w:rPr>
        <w:t xml:space="preserve">С поставеното в техническата спецификация условие </w:t>
      </w:r>
      <w:r w:rsidRPr="002C5AC6">
        <w:rPr>
          <w:i/>
          <w:lang w:eastAsia="en-GB"/>
        </w:rPr>
        <w:t>„всички хардуерни устройства да са от една и съща марка”</w:t>
      </w:r>
      <w:r w:rsidRPr="002C5AC6">
        <w:rPr>
          <w:b/>
          <w:lang w:eastAsia="en-GB"/>
        </w:rPr>
        <w:t xml:space="preserve"> </w:t>
      </w:r>
      <w:r w:rsidRPr="002C5AC6">
        <w:rPr>
          <w:lang w:eastAsia="en-GB"/>
        </w:rPr>
        <w:t>е дадено предимство на лица, които предлагат оборудване от една марка за всички 7 типа устройства, покриващо минималните технически изисквания, като едновременно с това необосновано е ограничено участието на лица, които биха могли да предложат оборудване, съответстващо на изис</w:t>
      </w:r>
      <w:r w:rsidR="00FB25AC" w:rsidRPr="002C5AC6">
        <w:rPr>
          <w:lang w:eastAsia="en-GB"/>
        </w:rPr>
        <w:t>кванията, но от различни марки</w:t>
      </w:r>
      <w:r w:rsidR="00F06B4A">
        <w:rPr>
          <w:rStyle w:val="FootnoteReference"/>
          <w:lang w:eastAsia="en-GB"/>
        </w:rPr>
        <w:footnoteReference w:id="115"/>
      </w:r>
      <w:r w:rsidR="00FB25AC" w:rsidRPr="002C5AC6">
        <w:rPr>
          <w:lang w:eastAsia="en-GB"/>
        </w:rPr>
        <w:t>;</w:t>
      </w:r>
    </w:p>
    <w:p w:rsidR="00AD0BA6" w:rsidRPr="002C5AC6" w:rsidRDefault="00AD0BA6" w:rsidP="007C13C7">
      <w:pPr>
        <w:ind w:firstLine="709"/>
        <w:jc w:val="both"/>
        <w:rPr>
          <w:lang w:eastAsia="en-GB"/>
        </w:rPr>
      </w:pPr>
      <w:r w:rsidRPr="002C5AC6">
        <w:rPr>
          <w:lang w:eastAsia="en-GB"/>
        </w:rPr>
        <w:t xml:space="preserve">б) в техническата спецификация, при описанието на характеристиките на мултифункционалните устройства, за всички 7 типа е въведено изискване относно теглото на хартията. За устройствата от Тип 1 минималното изискване е в интервала от „64 – 120 гр./кв.м”, а за останалите устройства (Тип 2-7) изискването по същия параметър е в интервала от „64-200 гр./кв.м.”. </w:t>
      </w:r>
    </w:p>
    <w:p w:rsidR="00AD0BA6" w:rsidRPr="002C5AC6" w:rsidRDefault="00AD0BA6" w:rsidP="007C13C7">
      <w:pPr>
        <w:ind w:firstLine="709"/>
        <w:jc w:val="both"/>
        <w:rPr>
          <w:lang w:eastAsia="en-GB"/>
        </w:rPr>
      </w:pPr>
      <w:r w:rsidRPr="002C5AC6">
        <w:rPr>
          <w:lang w:eastAsia="en-GB"/>
        </w:rPr>
        <w:t xml:space="preserve">Стандартно изискване за работа на печатащи устройства за офис нужди, аналогични с тези по конкретната обществена поръчка, е за тегло на хартията от 80 гр./кв.м. Предметът на обществената поръчка и потребностите, които се очаква да бъдат удовлетворени чрез </w:t>
      </w:r>
      <w:r w:rsidRPr="002C5AC6">
        <w:rPr>
          <w:lang w:eastAsia="en-GB"/>
        </w:rPr>
        <w:lastRenderedPageBreak/>
        <w:t xml:space="preserve">изпълнението </w:t>
      </w:r>
      <w:r w:rsidR="00D80822" w:rsidRPr="002C5AC6">
        <w:rPr>
          <w:lang w:eastAsia="en-GB"/>
        </w:rPr>
        <w:t>ѝ</w:t>
      </w:r>
      <w:r w:rsidRPr="002C5AC6">
        <w:rPr>
          <w:lang w:eastAsia="en-GB"/>
        </w:rPr>
        <w:t xml:space="preserve">, не обосновават необходимост от по-високи изисквания, спрямо стандартно приложимите. </w:t>
      </w:r>
    </w:p>
    <w:p w:rsidR="00AD0BA6" w:rsidRPr="002C5AC6" w:rsidRDefault="00AD0BA6" w:rsidP="007C13C7">
      <w:pPr>
        <w:ind w:firstLine="709"/>
        <w:jc w:val="both"/>
        <w:rPr>
          <w:lang w:eastAsia="en-GB"/>
        </w:rPr>
      </w:pPr>
      <w:r w:rsidRPr="002C5AC6">
        <w:rPr>
          <w:lang w:eastAsia="en-GB"/>
        </w:rPr>
        <w:t xml:space="preserve">В методиката за оценка на офертите по показателя „Технически параметри” е включен подпоказател R </w:t>
      </w:r>
      <w:r w:rsidRPr="002C5AC6">
        <w:rPr>
          <w:i/>
          <w:lang w:eastAsia="en-GB"/>
        </w:rPr>
        <w:t>„поддържано максимално тегло на хартията”</w:t>
      </w:r>
      <w:r w:rsidR="00FB25AC" w:rsidRPr="002C5AC6">
        <w:rPr>
          <w:lang w:eastAsia="en-GB"/>
        </w:rPr>
        <w:t xml:space="preserve">. Въпреки, че </w:t>
      </w:r>
      <w:r w:rsidRPr="002C5AC6">
        <w:rPr>
          <w:lang w:eastAsia="en-GB"/>
        </w:rPr>
        <w:t xml:space="preserve">в техническата спецификация е поставено минимално изискване относно теглото на хартията за всички типове устройства, мултифункционалните устройства Тип 1 са изключени от оценяване по този подпоказател. Оценката по подпоказателя R „поддържано максимално тегло на хартията” предвижда присъждане на 1 точка на офертата на участник, който предложи тегло на хартията ≥ на 200 гр./кв.м. и 4 точки на участник, който предложи тегло на хартията &gt; от 250 гр. кв.м. </w:t>
      </w:r>
    </w:p>
    <w:p w:rsidR="00AD0BA6" w:rsidRPr="002C5AC6" w:rsidRDefault="00AD0BA6" w:rsidP="007C13C7">
      <w:pPr>
        <w:ind w:firstLine="709"/>
        <w:jc w:val="both"/>
        <w:rPr>
          <w:lang w:eastAsia="en-GB"/>
        </w:rPr>
      </w:pPr>
      <w:r w:rsidRPr="002C5AC6">
        <w:rPr>
          <w:lang w:eastAsia="en-GB"/>
        </w:rPr>
        <w:t xml:space="preserve">Включването като подпоказател при оценка на офертите на параметъра „поддържано максимално тегло на хартията”, изключването на същия подпоказател при оценяването на устройствата Тип 1 (чиито брой е най- голям - 61 бр.) и предвиденото присъждане на максимален брой точки за устройства, поддържащи тегло на хартията &gt; от 250 гр. кв.м. са условия, които дават предимство на лица, предлагащи оборудване с по-добри параметри по отношение максимално поддържано тегло на хартията, въпреки че същите са значително по-високи както от стандартните, така и от изисканите от възложителя като минимално ниво за </w:t>
      </w:r>
      <w:r w:rsidR="00FB25AC" w:rsidRPr="002C5AC6">
        <w:rPr>
          <w:lang w:eastAsia="en-GB"/>
        </w:rPr>
        <w:t>конкретната обществена поръчка;</w:t>
      </w:r>
    </w:p>
    <w:p w:rsidR="00AD0BA6" w:rsidRPr="002C5AC6" w:rsidRDefault="00AD0BA6" w:rsidP="007C13C7">
      <w:pPr>
        <w:ind w:firstLine="709"/>
        <w:jc w:val="both"/>
        <w:rPr>
          <w:lang w:eastAsia="en-GB"/>
        </w:rPr>
      </w:pPr>
      <w:r w:rsidRPr="002C5AC6">
        <w:rPr>
          <w:lang w:eastAsia="en-GB"/>
        </w:rPr>
        <w:t xml:space="preserve">в) в техническата спецификация, при описанието на характеристиките на 6 от типовете мултифункционални устройства (с изключение на Тип 4), са въведени минимални изисквания относно </w:t>
      </w:r>
      <w:r w:rsidRPr="002C5AC6">
        <w:rPr>
          <w:i/>
          <w:lang w:eastAsia="en-GB"/>
        </w:rPr>
        <w:t>„скорост на сканиране монохромно”</w:t>
      </w:r>
      <w:r w:rsidRPr="002C5AC6">
        <w:rPr>
          <w:lang w:eastAsia="en-GB"/>
        </w:rPr>
        <w:t xml:space="preserve"> и </w:t>
      </w:r>
      <w:r w:rsidRPr="002C5AC6">
        <w:rPr>
          <w:i/>
          <w:lang w:eastAsia="en-GB"/>
        </w:rPr>
        <w:t>„скорост на сканиране цветно”</w:t>
      </w:r>
      <w:r w:rsidRPr="002C5AC6">
        <w:rPr>
          <w:lang w:eastAsia="en-GB"/>
        </w:rPr>
        <w:t xml:space="preserve">. При устройствата Тип 2, 3, 5, 6 и 7 са поставени еднакви минимални изисквания за скоростта на двата вида сканиране, въпреки че стандартно скоростта на монохромно сканиране е по-висока от тази на цветно сканиране. По този начин е дадено предимство за участие на лица, предлагащи техника, която не би могла да покрие изискване за по-висока скорост на монохромно сканиране. </w:t>
      </w:r>
    </w:p>
    <w:p w:rsidR="00AD0BA6" w:rsidRPr="002C5AC6" w:rsidRDefault="00AD0BA6" w:rsidP="007C13C7">
      <w:pPr>
        <w:ind w:firstLine="709"/>
        <w:jc w:val="both"/>
        <w:rPr>
          <w:lang w:eastAsia="en-GB"/>
        </w:rPr>
      </w:pPr>
      <w:r w:rsidRPr="002C5AC6">
        <w:rPr>
          <w:lang w:eastAsia="en-GB"/>
        </w:rPr>
        <w:t xml:space="preserve">Липсата на минимални изисквания относно скорост на сканиране монохромно и цветно само при многофункционалните устройства от Тип 4 се отклонява от изискванията за останалите типове устройства от предмета на поръчката, като необосновано дава предимство за участие на лица, които предлагат оборудване от Тип 4, без да могат да покрият стандартни изисквания по този параметър. </w:t>
      </w:r>
    </w:p>
    <w:p w:rsidR="00AD0BA6" w:rsidRPr="002C5AC6" w:rsidRDefault="00AD0BA6" w:rsidP="007C13C7">
      <w:pPr>
        <w:ind w:firstLine="709"/>
        <w:jc w:val="both"/>
        <w:rPr>
          <w:lang w:eastAsia="en-GB"/>
        </w:rPr>
      </w:pPr>
      <w:r w:rsidRPr="002C5AC6">
        <w:rPr>
          <w:lang w:eastAsia="en-GB"/>
        </w:rPr>
        <w:t xml:space="preserve">В методиката за оценка на офертите е предвиден подпоказател Р </w:t>
      </w:r>
      <w:r w:rsidRPr="002C5AC6">
        <w:rPr>
          <w:i/>
          <w:lang w:eastAsia="en-GB"/>
        </w:rPr>
        <w:t>„скорост на сканиране цветно при 300 dpi”</w:t>
      </w:r>
      <w:r w:rsidRPr="002C5AC6">
        <w:rPr>
          <w:lang w:eastAsia="en-GB"/>
        </w:rPr>
        <w:t>, но приложимостта на същия е изключен</w:t>
      </w:r>
      <w:r w:rsidR="00CB26A0" w:rsidRPr="002C5AC6">
        <w:rPr>
          <w:lang w:eastAsia="en-GB"/>
        </w:rPr>
        <w:t>а</w:t>
      </w:r>
      <w:r w:rsidRPr="002C5AC6">
        <w:rPr>
          <w:lang w:eastAsia="en-GB"/>
        </w:rPr>
        <w:t xml:space="preserve"> за устройствата от Тип 1 и Тип 3 (при които има минимално изискване за скорост на сканиране цветно), както и за устройствата от Тип 4 (за които в техническата спецификация липсва въведено минимално изискване за скорост на сканиране – цветно и монохромно). </w:t>
      </w:r>
    </w:p>
    <w:p w:rsidR="00AD0BA6" w:rsidRPr="002C5AC6" w:rsidRDefault="00AD0BA6" w:rsidP="007C13C7">
      <w:pPr>
        <w:ind w:firstLine="709"/>
        <w:jc w:val="both"/>
        <w:rPr>
          <w:lang w:eastAsia="en-GB"/>
        </w:rPr>
      </w:pPr>
      <w:r w:rsidRPr="002C5AC6">
        <w:rPr>
          <w:lang w:eastAsia="en-GB"/>
        </w:rPr>
        <w:t xml:space="preserve">Включването в методиката за оценка на офертите на подпоказател „скорост на сканиране цветно при 300 dpi” и приложимостта му само за част </w:t>
      </w:r>
      <w:r w:rsidR="00FB25AC" w:rsidRPr="002C5AC6">
        <w:rPr>
          <w:lang w:eastAsia="en-GB"/>
        </w:rPr>
        <w:t xml:space="preserve">от </w:t>
      </w:r>
      <w:r w:rsidRPr="002C5AC6">
        <w:rPr>
          <w:lang w:eastAsia="en-GB"/>
        </w:rPr>
        <w:t xml:space="preserve">устройствата, предмет на поръчката (тези от Тип 2, 5, 6 и 7) дават необосновано предимство на лица, които предлагат оборудване с високи параметри по този подпоказател, независимо че наличието на същите не е от съществено значение за предмета на поръчката (предвид по-широкото разпространение на монохромното, а не на цветното сканиране) и значително надвишава минималните заложени от възложителя изисквания. </w:t>
      </w:r>
    </w:p>
    <w:p w:rsidR="00051F16" w:rsidRPr="002C5AC6" w:rsidRDefault="00AD0BA6" w:rsidP="007C13C7">
      <w:pPr>
        <w:ind w:firstLine="709"/>
        <w:jc w:val="both"/>
        <w:rPr>
          <w:lang w:eastAsia="en-GB"/>
        </w:rPr>
      </w:pPr>
      <w:r w:rsidRPr="002C5AC6">
        <w:rPr>
          <w:lang w:eastAsia="en-GB"/>
        </w:rPr>
        <w:t xml:space="preserve">Описаните условия и изисквания в документацията за участие, поотделно и в своята съвкупност дават предимство и необосновано ограничават участието на лица при възлагането на обществената поръчка, в нарушение на чл. 25, ал. 5 от </w:t>
      </w:r>
      <w:r w:rsidR="000449F4" w:rsidRPr="002C5AC6">
        <w:rPr>
          <w:lang w:eastAsia="en-GB"/>
        </w:rPr>
        <w:t xml:space="preserve">ЗОП </w:t>
      </w:r>
      <w:r w:rsidR="00051F16" w:rsidRPr="002C5AC6">
        <w:rPr>
          <w:lang w:eastAsia="en-GB"/>
        </w:rPr>
        <w:t>(</w:t>
      </w:r>
      <w:r w:rsidR="00FB25AC" w:rsidRPr="002C5AC6">
        <w:rPr>
          <w:lang w:eastAsia="en-GB"/>
        </w:rPr>
        <w:t xml:space="preserve">отм. </w:t>
      </w:r>
      <w:r w:rsidR="00051F16" w:rsidRPr="002C5AC6">
        <w:rPr>
          <w:lang w:eastAsia="en-GB"/>
        </w:rPr>
        <w:t xml:space="preserve">ред. ДВ, бр. 37/2006 г.). </w:t>
      </w:r>
    </w:p>
    <w:p w:rsidR="00AD0BA6" w:rsidRPr="002C5AC6" w:rsidRDefault="00AD0BA6" w:rsidP="00051F16">
      <w:pPr>
        <w:ind w:left="140" w:firstLine="569"/>
        <w:jc w:val="both"/>
        <w:rPr>
          <w:lang w:eastAsia="en-GB"/>
        </w:rPr>
      </w:pPr>
      <w:r w:rsidRPr="002C5AC6">
        <w:rPr>
          <w:lang w:eastAsia="en-GB"/>
        </w:rPr>
        <w:t>За участие в процедурата е подадена само една оферта – от „Дилекс” ООД.”</w:t>
      </w:r>
    </w:p>
    <w:p w:rsidR="00AD0BA6" w:rsidRPr="002C5AC6" w:rsidRDefault="00AD0BA6" w:rsidP="00051F16">
      <w:pPr>
        <w:ind w:firstLine="709"/>
        <w:jc w:val="both"/>
      </w:pPr>
      <w:r w:rsidRPr="002C5AC6">
        <w:lastRenderedPageBreak/>
        <w:t xml:space="preserve">Решението на възложителя за  класиране е издадено на 21.08.2014 г. в рамките на </w:t>
      </w:r>
      <w:r w:rsidR="00FB25AC" w:rsidRPr="002C5AC6">
        <w:t xml:space="preserve">5 работни дни в съответствие с </w:t>
      </w:r>
      <w:r w:rsidRPr="002C5AC6">
        <w:t>чл.</w:t>
      </w:r>
      <w:r w:rsidR="00FB25AC" w:rsidRPr="002C5AC6">
        <w:t xml:space="preserve"> </w:t>
      </w:r>
      <w:r w:rsidRPr="002C5AC6">
        <w:t>73, ал.</w:t>
      </w:r>
      <w:r w:rsidR="00FB25AC" w:rsidRPr="002C5AC6">
        <w:t xml:space="preserve"> </w:t>
      </w:r>
      <w:r w:rsidRPr="002C5AC6">
        <w:t xml:space="preserve">1 от </w:t>
      </w:r>
      <w:r w:rsidR="000449F4" w:rsidRPr="002C5AC6">
        <w:t xml:space="preserve">ЗОП </w:t>
      </w:r>
      <w:r w:rsidR="00FB25AC" w:rsidRPr="002C5AC6">
        <w:t>(отм.)</w:t>
      </w:r>
      <w:r w:rsidRPr="002C5AC6">
        <w:t xml:space="preserve"> и е изп</w:t>
      </w:r>
      <w:r w:rsidR="00FB25AC" w:rsidRPr="002C5AC6">
        <w:t xml:space="preserve">ратено до участника в срока по </w:t>
      </w:r>
      <w:r w:rsidRPr="002C5AC6">
        <w:t xml:space="preserve">чл. 73, ал. 3 от </w:t>
      </w:r>
      <w:r w:rsidR="000449F4" w:rsidRPr="002C5AC6">
        <w:t xml:space="preserve">ЗОП </w:t>
      </w:r>
      <w:r w:rsidR="00FB25AC" w:rsidRPr="002C5AC6">
        <w:t>(отм.)</w:t>
      </w:r>
      <w:r w:rsidRPr="002C5AC6">
        <w:t>.</w:t>
      </w:r>
    </w:p>
    <w:p w:rsidR="00AD0BA6" w:rsidRPr="002C5AC6" w:rsidRDefault="00AD0BA6" w:rsidP="00051F16">
      <w:pPr>
        <w:ind w:firstLine="709"/>
        <w:jc w:val="both"/>
      </w:pPr>
      <w:r w:rsidRPr="002C5AC6">
        <w:t>Договорът е сключен след представяне на необходимите документи по чл.</w:t>
      </w:r>
      <w:r w:rsidR="00FB25AC" w:rsidRPr="002C5AC6">
        <w:t xml:space="preserve"> </w:t>
      </w:r>
      <w:r w:rsidRPr="002C5AC6">
        <w:t>42, ал.</w:t>
      </w:r>
      <w:r w:rsidR="00FB25AC" w:rsidRPr="002C5AC6">
        <w:t xml:space="preserve"> </w:t>
      </w:r>
      <w:r w:rsidRPr="002C5AC6">
        <w:t xml:space="preserve">1 от </w:t>
      </w:r>
      <w:r w:rsidR="000449F4" w:rsidRPr="002C5AC6">
        <w:t>ЗОП (</w:t>
      </w:r>
      <w:r w:rsidR="00FB25AC" w:rsidRPr="002C5AC6">
        <w:t>отм.)</w:t>
      </w:r>
      <w:r w:rsidRPr="002C5AC6">
        <w:t xml:space="preserve"> с </w:t>
      </w:r>
      <w:r w:rsidR="007C13C7" w:rsidRPr="002C5AC6">
        <w:t>„</w:t>
      </w:r>
      <w:r w:rsidRPr="002C5AC6">
        <w:t>Дилекс</w:t>
      </w:r>
      <w:r w:rsidR="007C13C7" w:rsidRPr="002C5AC6">
        <w:t>“</w:t>
      </w:r>
      <w:r w:rsidRPr="002C5AC6">
        <w:t xml:space="preserve"> ООД </w:t>
      </w:r>
      <w:r w:rsidR="007C13C7" w:rsidRPr="002C5AC6">
        <w:t xml:space="preserve">и е </w:t>
      </w:r>
      <w:r w:rsidRPr="002C5AC6">
        <w:t>на стойност 368 436, 41 лв. без ДДС. Представе</w:t>
      </w:r>
      <w:r w:rsidR="007C13C7" w:rsidRPr="002C5AC6">
        <w:t>на е гаранция за изпълнение, ка</w:t>
      </w:r>
      <w:r w:rsidRPr="002C5AC6">
        <w:t>то са приложени и изискуемите документи по чл.</w:t>
      </w:r>
      <w:r w:rsidR="007C13C7" w:rsidRPr="002C5AC6">
        <w:t xml:space="preserve"> </w:t>
      </w:r>
      <w:r w:rsidRPr="002C5AC6">
        <w:t>47, ал.</w:t>
      </w:r>
      <w:r w:rsidR="007C13C7" w:rsidRPr="002C5AC6">
        <w:t xml:space="preserve"> </w:t>
      </w:r>
      <w:r w:rsidRPr="002C5AC6">
        <w:t xml:space="preserve">10 от </w:t>
      </w:r>
      <w:r w:rsidR="000449F4" w:rsidRPr="002C5AC6">
        <w:t xml:space="preserve">ЗОП </w:t>
      </w:r>
      <w:r w:rsidR="007C13C7" w:rsidRPr="002C5AC6">
        <w:t>(отм.)</w:t>
      </w:r>
      <w:r w:rsidRPr="002C5AC6">
        <w:rPr>
          <w:vertAlign w:val="superscript"/>
        </w:rPr>
        <w:footnoteReference w:id="116"/>
      </w:r>
      <w:r w:rsidR="007C13C7" w:rsidRPr="002C5AC6">
        <w:t>.</w:t>
      </w:r>
    </w:p>
    <w:p w:rsidR="00AD0BA6" w:rsidRPr="002C5AC6" w:rsidRDefault="00AD0BA6" w:rsidP="007C13C7">
      <w:pPr>
        <w:ind w:firstLine="709"/>
        <w:jc w:val="both"/>
      </w:pPr>
      <w:r w:rsidRPr="002C5AC6">
        <w:t xml:space="preserve">В нарушение на чл. 62 от </w:t>
      </w:r>
      <w:r w:rsidR="000449F4" w:rsidRPr="002C5AC6">
        <w:t xml:space="preserve">ЗОП </w:t>
      </w:r>
      <w:r w:rsidR="007C13C7" w:rsidRPr="002C5AC6">
        <w:t>(отм.</w:t>
      </w:r>
      <w:r w:rsidR="000449F4" w:rsidRPr="002C5AC6">
        <w:t>)</w:t>
      </w:r>
      <w:r w:rsidRPr="002C5AC6">
        <w:t xml:space="preserve"> гаранцията за участие е върната след законоустановения срок</w:t>
      </w:r>
      <w:r w:rsidRPr="002C5AC6">
        <w:rPr>
          <w:vertAlign w:val="superscript"/>
        </w:rPr>
        <w:footnoteReference w:id="117"/>
      </w:r>
      <w:r w:rsidR="007C13C7" w:rsidRPr="002C5AC6">
        <w:t>.</w:t>
      </w:r>
    </w:p>
    <w:p w:rsidR="00AD0BA6" w:rsidRPr="002C5AC6" w:rsidRDefault="007C13C7" w:rsidP="007C13C7">
      <w:pPr>
        <w:ind w:firstLine="709"/>
        <w:jc w:val="both"/>
        <w:rPr>
          <w:i/>
        </w:rPr>
      </w:pPr>
      <w:r w:rsidRPr="002C5AC6">
        <w:rPr>
          <w:i/>
        </w:rPr>
        <w:t>Установените</w:t>
      </w:r>
      <w:r w:rsidR="00AD0BA6" w:rsidRPr="002C5AC6">
        <w:rPr>
          <w:i/>
        </w:rPr>
        <w:t xml:space="preserve"> съществен</w:t>
      </w:r>
      <w:r w:rsidRPr="002C5AC6">
        <w:rPr>
          <w:i/>
        </w:rPr>
        <w:t>и</w:t>
      </w:r>
      <w:r w:rsidR="00AD0BA6" w:rsidRPr="002C5AC6">
        <w:rPr>
          <w:i/>
        </w:rPr>
        <w:t xml:space="preserve"> нарушени</w:t>
      </w:r>
      <w:r w:rsidRPr="002C5AC6">
        <w:rPr>
          <w:i/>
        </w:rPr>
        <w:t>я в условията на поръчката са до</w:t>
      </w:r>
      <w:r w:rsidR="00AD0BA6" w:rsidRPr="002C5AC6">
        <w:rPr>
          <w:i/>
        </w:rPr>
        <w:t>в</w:t>
      </w:r>
      <w:r w:rsidRPr="002C5AC6">
        <w:rPr>
          <w:i/>
        </w:rPr>
        <w:t>ел</w:t>
      </w:r>
      <w:r w:rsidR="00AD0BA6" w:rsidRPr="002C5AC6">
        <w:rPr>
          <w:i/>
        </w:rPr>
        <w:t xml:space="preserve">и до цялостното </w:t>
      </w:r>
      <w:r w:rsidR="00CB26A0" w:rsidRPr="002C5AC6">
        <w:rPr>
          <w:i/>
        </w:rPr>
        <w:t>ѝ</w:t>
      </w:r>
      <w:r w:rsidR="00AD0BA6" w:rsidRPr="002C5AC6">
        <w:rPr>
          <w:i/>
        </w:rPr>
        <w:t xml:space="preserve"> опорочаване.</w:t>
      </w:r>
    </w:p>
    <w:p w:rsidR="00AD0BA6" w:rsidRPr="00030772" w:rsidRDefault="00AD0BA6" w:rsidP="007C13C7">
      <w:pPr>
        <w:spacing w:before="120"/>
        <w:ind w:firstLine="709"/>
        <w:jc w:val="both"/>
        <w:rPr>
          <w:b/>
        </w:rPr>
      </w:pPr>
      <w:r w:rsidRPr="002C5AC6">
        <w:rPr>
          <w:b/>
        </w:rPr>
        <w:t>4.5. Открита процедура</w:t>
      </w:r>
      <w:r w:rsidRPr="002C5AC6">
        <w:t xml:space="preserve"> с </w:t>
      </w:r>
      <w:r w:rsidRPr="002C5AC6">
        <w:rPr>
          <w:shd w:val="clear" w:color="auto" w:fill="FFFFFF" w:themeFill="background1"/>
        </w:rPr>
        <w:t xml:space="preserve">предмет </w:t>
      </w:r>
      <w:r w:rsidR="00CB26A0" w:rsidRPr="00030772">
        <w:rPr>
          <w:b/>
          <w:shd w:val="clear" w:color="auto" w:fill="FFFFFF" w:themeFill="background1"/>
        </w:rPr>
        <w:t>„</w:t>
      </w:r>
      <w:r w:rsidRPr="00030772">
        <w:rPr>
          <w:b/>
          <w:i/>
          <w:color w:val="000000"/>
          <w:shd w:val="clear" w:color="auto" w:fill="FFFFFF" w:themeFill="background1"/>
        </w:rPr>
        <w:t>Доставка на компютърно оборудване, комуникационно оборудване и софтуерни лицензи за сградата на Софийския районен съд на бул. „Цар Борис III” № 54”, по следните обособени позиции: І-ва обособена позиция „Доставка на компютърна техника и сървърни конфигурации”; ІІ-ра обособена позиция „Доставка и монтаж на комуникационно оборудване ”; ІІІ-та обособена позиция „Доставка на софтуерни лицензи за IBM Domino Client и IBM Domino Server или „еквивалент”, инсталиране и конфигуриране на IBM Domino Client и IBM Domino Server” или „еквивалент”</w:t>
      </w:r>
      <w:r w:rsidRPr="00030772">
        <w:rPr>
          <w:b/>
          <w:color w:val="000000"/>
          <w:shd w:val="clear" w:color="auto" w:fill="FFFFFF" w:themeFill="background1"/>
        </w:rPr>
        <w:t xml:space="preserve"> УИН 01152-2014-0005</w:t>
      </w:r>
      <w:r w:rsidRPr="00030772">
        <w:rPr>
          <w:rStyle w:val="FootnoteReference"/>
          <w:b/>
          <w:color w:val="000000"/>
          <w:shd w:val="clear" w:color="auto" w:fill="FFFFFF" w:themeFill="background1"/>
        </w:rPr>
        <w:footnoteReference w:id="118"/>
      </w:r>
    </w:p>
    <w:p w:rsidR="00AD0BA6" w:rsidRPr="006A3910" w:rsidRDefault="00AD0BA6" w:rsidP="007C13C7">
      <w:pPr>
        <w:ind w:firstLine="709"/>
        <w:jc w:val="both"/>
        <w:rPr>
          <w:i/>
          <w:color w:val="000000"/>
        </w:rPr>
      </w:pPr>
      <w:r w:rsidRPr="002C5AC6">
        <w:rPr>
          <w:color w:val="313131"/>
        </w:rPr>
        <w:t xml:space="preserve">Процедурата е открита с решение </w:t>
      </w:r>
      <w:r w:rsidRPr="002C5AC6">
        <w:t>№ 14 от 30.06.2014 г.</w:t>
      </w:r>
      <w:r w:rsidRPr="002C5AC6">
        <w:rPr>
          <w:color w:val="313131"/>
        </w:rPr>
        <w:t xml:space="preserve"> на председателя на СРС при критерий за оценка на офертите – най-ниска цена.</w:t>
      </w:r>
      <w:r w:rsidRPr="002C5AC6">
        <w:t xml:space="preserve"> </w:t>
      </w:r>
    </w:p>
    <w:p w:rsidR="00AD0BA6" w:rsidRPr="002C5AC6" w:rsidRDefault="00AD0BA6" w:rsidP="007C13C7">
      <w:pPr>
        <w:ind w:firstLine="709"/>
        <w:jc w:val="both"/>
      </w:pPr>
      <w:r w:rsidRPr="002C5AC6">
        <w:t>Обявлението</w:t>
      </w:r>
      <w:r w:rsidR="007C13C7" w:rsidRPr="002C5AC6">
        <w:t xml:space="preserve"> за обществената поръчка до АОП</w:t>
      </w:r>
      <w:r w:rsidRPr="002C5AC6">
        <w:t xml:space="preserve"> за вписване в РОП е изпратено на 07.07.2014 г. - 43 дни преди крайния срок за получаване на офертите на 20.08.2014 г., което е в съответствие с разпоредбите на чл.</w:t>
      </w:r>
      <w:r w:rsidR="007C13C7" w:rsidRPr="002C5AC6">
        <w:t xml:space="preserve"> </w:t>
      </w:r>
      <w:r w:rsidRPr="002C5AC6">
        <w:t>64, ал.</w:t>
      </w:r>
      <w:r w:rsidR="007C13C7" w:rsidRPr="002C5AC6">
        <w:t xml:space="preserve"> </w:t>
      </w:r>
      <w:r w:rsidRPr="002C5AC6">
        <w:t xml:space="preserve">1 и ал. 3 от </w:t>
      </w:r>
      <w:r w:rsidR="000449F4" w:rsidRPr="002C5AC6">
        <w:t xml:space="preserve">ЗОП </w:t>
      </w:r>
      <w:r w:rsidR="007C13C7" w:rsidRPr="002C5AC6">
        <w:t>(отм.</w:t>
      </w:r>
      <w:r w:rsidR="000449F4" w:rsidRPr="002C5AC6">
        <w:t>)</w:t>
      </w:r>
      <w:r w:rsidR="007C13C7" w:rsidRPr="002C5AC6">
        <w:t>,</w:t>
      </w:r>
      <w:r w:rsidRPr="002C5AC6">
        <w:t xml:space="preserve"> поради изпращане на обявлението </w:t>
      </w:r>
      <w:r w:rsidR="00C41D1F">
        <w:t>за публикуване в „О</w:t>
      </w:r>
      <w:r w:rsidR="00F86FC1">
        <w:t>фициален</w:t>
      </w:r>
      <w:r w:rsidR="00C41D1F">
        <w:t xml:space="preserve"> вестник“ на Европейския съюз и осигуряване на</w:t>
      </w:r>
      <w:r w:rsidRPr="002C5AC6">
        <w:t xml:space="preserve"> пълен достъп по електронен път до документацията.</w:t>
      </w:r>
    </w:p>
    <w:p w:rsidR="00AD0BA6" w:rsidRPr="002C5AC6" w:rsidRDefault="007C13C7" w:rsidP="007C13C7">
      <w:pPr>
        <w:ind w:firstLine="709"/>
        <w:jc w:val="both"/>
      </w:pPr>
      <w:r w:rsidRPr="002C5AC6">
        <w:t>Определените в обявлението</w:t>
      </w:r>
      <w:r w:rsidR="00AD0BA6" w:rsidRPr="002C5AC6">
        <w:t xml:space="preserve"> размери на гаранцията за участие и гаранцията за изпълнение на договора по отделните позиции са в съответствие с изискванията на чл.59 от </w:t>
      </w:r>
      <w:r w:rsidR="000449F4" w:rsidRPr="002C5AC6">
        <w:t>ЗОП</w:t>
      </w:r>
      <w:r w:rsidRPr="002C5AC6">
        <w:t xml:space="preserve"> (отм.).</w:t>
      </w:r>
    </w:p>
    <w:p w:rsidR="00AD0BA6" w:rsidRPr="002C5AC6" w:rsidRDefault="00AD0BA6" w:rsidP="007C13C7">
      <w:pPr>
        <w:ind w:firstLine="709"/>
        <w:jc w:val="both"/>
      </w:pPr>
      <w:r w:rsidRPr="002C5AC6">
        <w:t>Назначаването на комисията за разглеждане</w:t>
      </w:r>
      <w:r w:rsidR="007C13C7" w:rsidRPr="002C5AC6">
        <w:t xml:space="preserve"> и оценка на</w:t>
      </w:r>
      <w:r w:rsidRPr="002C5AC6">
        <w:t xml:space="preserve"> офертите е извършено в съответствие с изискванията на чл.</w:t>
      </w:r>
      <w:r w:rsidR="007C13C7" w:rsidRPr="002C5AC6">
        <w:t xml:space="preserve"> </w:t>
      </w:r>
      <w:r w:rsidRPr="002C5AC6">
        <w:t xml:space="preserve">34 от </w:t>
      </w:r>
      <w:r w:rsidR="000449F4" w:rsidRPr="002C5AC6">
        <w:t xml:space="preserve">ЗОП </w:t>
      </w:r>
      <w:r w:rsidR="007C13C7" w:rsidRPr="002C5AC6">
        <w:t>(отм</w:t>
      </w:r>
      <w:r w:rsidR="000449F4" w:rsidRPr="002C5AC6">
        <w:t>.)</w:t>
      </w:r>
      <w:r w:rsidRPr="002C5AC6">
        <w:t xml:space="preserve">. </w:t>
      </w:r>
      <w:r w:rsidR="007C13C7" w:rsidRPr="002C5AC6">
        <w:t>Съставените от комисията</w:t>
      </w:r>
      <w:r w:rsidRPr="002C5AC6">
        <w:t xml:space="preserve"> три протокола, съдържащи извършените действия и взетите решения, са в съответствие с изискванията на чл. 72 от </w:t>
      </w:r>
      <w:r w:rsidR="000449F4" w:rsidRPr="002C5AC6">
        <w:t xml:space="preserve">ЗОП </w:t>
      </w:r>
      <w:r w:rsidR="007C13C7" w:rsidRPr="002C5AC6">
        <w:t>(отм.).</w:t>
      </w:r>
    </w:p>
    <w:p w:rsidR="00AD0BA6" w:rsidRPr="002C5AC6" w:rsidRDefault="007C13C7" w:rsidP="007C13C7">
      <w:pPr>
        <w:ind w:firstLine="709"/>
        <w:jc w:val="both"/>
      </w:pPr>
      <w:r w:rsidRPr="002C5AC6">
        <w:t xml:space="preserve">От </w:t>
      </w:r>
      <w:r w:rsidR="00AD0BA6" w:rsidRPr="002C5AC6">
        <w:t xml:space="preserve">възложителя на 26.09.2014 г. </w:t>
      </w:r>
      <w:r w:rsidR="00513050" w:rsidRPr="002C5AC6">
        <w:t xml:space="preserve">са издадени две решения за класиране </w:t>
      </w:r>
      <w:r w:rsidR="00AD0BA6" w:rsidRPr="002C5AC6">
        <w:t>по позиции № 1 и № 3 и едно решение за прекратяване на процедурата по обособена позиция № 2 в рамките на 5 работни дни</w:t>
      </w:r>
      <w:r w:rsidR="00513050" w:rsidRPr="002C5AC6">
        <w:t>,</w:t>
      </w:r>
      <w:r w:rsidR="00AD0BA6" w:rsidRPr="002C5AC6">
        <w:t xml:space="preserve"> в съответствие с чл.</w:t>
      </w:r>
      <w:r w:rsidR="00513050" w:rsidRPr="002C5AC6">
        <w:t xml:space="preserve"> </w:t>
      </w:r>
      <w:r w:rsidR="00AD0BA6" w:rsidRPr="002C5AC6">
        <w:t>73, ал.</w:t>
      </w:r>
      <w:r w:rsidR="00513050" w:rsidRPr="002C5AC6">
        <w:t xml:space="preserve"> </w:t>
      </w:r>
      <w:r w:rsidR="00AD0BA6" w:rsidRPr="002C5AC6">
        <w:t xml:space="preserve">1 от </w:t>
      </w:r>
      <w:r w:rsidR="000449F4" w:rsidRPr="002C5AC6">
        <w:t xml:space="preserve">ЗОП </w:t>
      </w:r>
      <w:r w:rsidRPr="002C5AC6">
        <w:t>(отм.).</w:t>
      </w:r>
    </w:p>
    <w:p w:rsidR="00AD0BA6" w:rsidRPr="002C5AC6" w:rsidRDefault="00AD0BA6" w:rsidP="007C13C7">
      <w:pPr>
        <w:ind w:firstLine="709"/>
        <w:jc w:val="both"/>
      </w:pPr>
      <w:r w:rsidRPr="002C5AC6">
        <w:t>Възложителят е издал мотивирано решение</w:t>
      </w:r>
      <w:r w:rsidR="00513050" w:rsidRPr="002C5AC6">
        <w:t xml:space="preserve"> за прекратяване на процедурата</w:t>
      </w:r>
      <w:r w:rsidRPr="002C5AC6">
        <w:t xml:space="preserve"> в съответствие на чл.</w:t>
      </w:r>
      <w:r w:rsidR="00513050" w:rsidRPr="002C5AC6">
        <w:t xml:space="preserve"> </w:t>
      </w:r>
      <w:r w:rsidRPr="002C5AC6">
        <w:t>39, ал.</w:t>
      </w:r>
      <w:r w:rsidR="00513050" w:rsidRPr="002C5AC6">
        <w:t xml:space="preserve"> </w:t>
      </w:r>
      <w:r w:rsidRPr="002C5AC6">
        <w:t>1, т.</w:t>
      </w:r>
      <w:r w:rsidR="00513050" w:rsidRPr="002C5AC6">
        <w:t xml:space="preserve"> </w:t>
      </w:r>
      <w:r w:rsidRPr="002C5AC6">
        <w:t xml:space="preserve">1 от </w:t>
      </w:r>
      <w:r w:rsidR="000449F4" w:rsidRPr="002C5AC6">
        <w:t>ЗОП (</w:t>
      </w:r>
      <w:r w:rsidR="007C13C7" w:rsidRPr="002C5AC6">
        <w:t xml:space="preserve">отм.) </w:t>
      </w:r>
      <w:r w:rsidRPr="002C5AC6">
        <w:t>по ІІ обособена позиция, тъй като няма подадена оферта, която да отговаря на изискванията, подробно описани в решението.</w:t>
      </w:r>
      <w:r w:rsidR="00513050" w:rsidRPr="002C5AC6">
        <w:t xml:space="preserve"> Решението за прекратяване </w:t>
      </w:r>
      <w:r w:rsidRPr="002C5AC6">
        <w:t xml:space="preserve">е публикувано в РОП в съответствие с </w:t>
      </w:r>
      <w:r w:rsidR="00513050" w:rsidRPr="002C5AC6">
        <w:t xml:space="preserve">изискванията на </w:t>
      </w:r>
      <w:r w:rsidRPr="002C5AC6">
        <w:t>чл.39, ал.</w:t>
      </w:r>
      <w:r w:rsidR="00773775">
        <w:t> </w:t>
      </w:r>
      <w:r w:rsidRPr="002C5AC6">
        <w:t xml:space="preserve">3 от </w:t>
      </w:r>
      <w:r w:rsidR="000449F4" w:rsidRPr="002C5AC6">
        <w:t xml:space="preserve">ЗОП </w:t>
      </w:r>
      <w:r w:rsidR="007C13C7" w:rsidRPr="002C5AC6">
        <w:t>(отм.)</w:t>
      </w:r>
      <w:r w:rsidRPr="002C5AC6">
        <w:t xml:space="preserve">. </w:t>
      </w:r>
    </w:p>
    <w:p w:rsidR="00AD0BA6" w:rsidRPr="002C5AC6" w:rsidRDefault="00AD0BA6" w:rsidP="007C13C7">
      <w:pPr>
        <w:ind w:firstLine="709"/>
        <w:jc w:val="both"/>
      </w:pPr>
      <w:r w:rsidRPr="002C5AC6">
        <w:t>След представяне на необходимите документи по чл. 42, ал.</w:t>
      </w:r>
      <w:r w:rsidR="00513050" w:rsidRPr="002C5AC6">
        <w:t xml:space="preserve"> </w:t>
      </w:r>
      <w:r w:rsidRPr="002C5AC6">
        <w:t xml:space="preserve">1 от </w:t>
      </w:r>
      <w:r w:rsidR="000449F4" w:rsidRPr="002C5AC6">
        <w:t>ЗОП (</w:t>
      </w:r>
      <w:r w:rsidR="00513050" w:rsidRPr="002C5AC6">
        <w:t>отм.)</w:t>
      </w:r>
      <w:r w:rsidRPr="002C5AC6">
        <w:t xml:space="preserve"> са сключени: </w:t>
      </w:r>
      <w:r w:rsidR="00513050" w:rsidRPr="002C5AC6">
        <w:t>д</w:t>
      </w:r>
      <w:r w:rsidRPr="002C5AC6">
        <w:t xml:space="preserve">оговор от 13.10.2014 г. на стойност 517 170 лв. без ДДС с </w:t>
      </w:r>
      <w:r w:rsidR="00513050" w:rsidRPr="002C5AC6">
        <w:t>„</w:t>
      </w:r>
      <w:r w:rsidRPr="002C5AC6">
        <w:t>Диджитек</w:t>
      </w:r>
      <w:r w:rsidR="00513050" w:rsidRPr="002C5AC6">
        <w:t>“ ООД и д</w:t>
      </w:r>
      <w:r w:rsidRPr="002C5AC6">
        <w:t xml:space="preserve">оговор от 20.10.2014 г. на стойност 43 982 лв. без ДДС с фирма </w:t>
      </w:r>
      <w:r w:rsidR="00513050" w:rsidRPr="002C5AC6">
        <w:t>„</w:t>
      </w:r>
      <w:r w:rsidRPr="002C5AC6">
        <w:t>Перфект Плюс</w:t>
      </w:r>
      <w:r w:rsidR="00513050" w:rsidRPr="002C5AC6">
        <w:t>“</w:t>
      </w:r>
      <w:r w:rsidRPr="002C5AC6">
        <w:t xml:space="preserve"> ЕООД. Представени са гаранции </w:t>
      </w:r>
      <w:r w:rsidR="005D41BF" w:rsidRPr="002C5AC6">
        <w:t xml:space="preserve">за </w:t>
      </w:r>
      <w:r w:rsidRPr="002C5AC6">
        <w:t>изпълнение, като са приложени и изискуемите документи по чл.</w:t>
      </w:r>
      <w:r w:rsidR="00513050" w:rsidRPr="002C5AC6">
        <w:t> </w:t>
      </w:r>
      <w:r w:rsidRPr="002C5AC6">
        <w:t>47, ал.</w:t>
      </w:r>
      <w:r w:rsidR="00513050" w:rsidRPr="002C5AC6">
        <w:t xml:space="preserve"> </w:t>
      </w:r>
      <w:r w:rsidRPr="002C5AC6">
        <w:t xml:space="preserve">10 от </w:t>
      </w:r>
      <w:r w:rsidR="000449F4" w:rsidRPr="002C5AC6">
        <w:t>ЗОП (</w:t>
      </w:r>
      <w:r w:rsidR="00513050" w:rsidRPr="002C5AC6">
        <w:t>отм.).</w:t>
      </w:r>
      <w:r w:rsidRPr="002C5AC6">
        <w:rPr>
          <w:vertAlign w:val="superscript"/>
        </w:rPr>
        <w:t xml:space="preserve"> </w:t>
      </w:r>
    </w:p>
    <w:p w:rsidR="00DB7B02" w:rsidRPr="002C5AC6" w:rsidRDefault="00AD0BA6" w:rsidP="00DB7B02">
      <w:pPr>
        <w:ind w:firstLine="709"/>
        <w:jc w:val="both"/>
      </w:pPr>
      <w:r w:rsidRPr="002C5AC6">
        <w:lastRenderedPageBreak/>
        <w:t>Представените гаранции за участие са възстановени след законоустановените срокове, в нарушение на чл.</w:t>
      </w:r>
      <w:r w:rsidR="00513050" w:rsidRPr="002C5AC6">
        <w:t xml:space="preserve"> </w:t>
      </w:r>
      <w:r w:rsidRPr="002C5AC6">
        <w:t>62, ал.</w:t>
      </w:r>
      <w:r w:rsidR="00513050" w:rsidRPr="002C5AC6">
        <w:t xml:space="preserve"> </w:t>
      </w:r>
      <w:r w:rsidRPr="002C5AC6">
        <w:t>1, т.</w:t>
      </w:r>
      <w:r w:rsidR="00513050" w:rsidRPr="002C5AC6">
        <w:t xml:space="preserve"> </w:t>
      </w:r>
      <w:r w:rsidRPr="002C5AC6">
        <w:t xml:space="preserve">1 и 2 от </w:t>
      </w:r>
      <w:r w:rsidR="000449F4" w:rsidRPr="002C5AC6">
        <w:t xml:space="preserve">ЗОП </w:t>
      </w:r>
      <w:r w:rsidR="00513050" w:rsidRPr="002C5AC6">
        <w:t>(отм.).</w:t>
      </w:r>
      <w:r w:rsidRPr="002C5AC6">
        <w:t xml:space="preserve"> Не са възстановени в сроковете по </w:t>
      </w:r>
      <w:r w:rsidR="000449F4" w:rsidRPr="002C5AC6">
        <w:t xml:space="preserve">ЗОП </w:t>
      </w:r>
      <w:r w:rsidR="00513050" w:rsidRPr="002C5AC6">
        <w:t>(отм.)</w:t>
      </w:r>
      <w:r w:rsidRPr="002C5AC6">
        <w:t xml:space="preserve"> гаранциите за участие на класираните на първо място и подписали договори по </w:t>
      </w:r>
      <w:r w:rsidR="00513050" w:rsidRPr="002C5AC6">
        <w:t xml:space="preserve">позиции </w:t>
      </w:r>
      <w:r w:rsidR="005D41BF" w:rsidRPr="002C5AC6">
        <w:t>І</w:t>
      </w:r>
      <w:r w:rsidRPr="002C5AC6">
        <w:t xml:space="preserve"> и </w:t>
      </w:r>
      <w:r w:rsidR="005D41BF" w:rsidRPr="002C5AC6">
        <w:t>ІІ</w:t>
      </w:r>
      <w:r w:rsidR="00513050" w:rsidRPr="002C5AC6">
        <w:rPr>
          <w:rStyle w:val="FootnoteReference"/>
        </w:rPr>
        <w:footnoteReference w:id="119"/>
      </w:r>
      <w:r w:rsidRPr="002C5AC6">
        <w:t xml:space="preserve">. На отстранените участници </w:t>
      </w:r>
      <w:r w:rsidR="00513050" w:rsidRPr="002C5AC6">
        <w:t>„</w:t>
      </w:r>
      <w:r w:rsidRPr="002C5AC6">
        <w:t>Контракс</w:t>
      </w:r>
      <w:r w:rsidR="00513050" w:rsidRPr="002C5AC6">
        <w:t>“</w:t>
      </w:r>
      <w:r w:rsidRPr="002C5AC6">
        <w:t xml:space="preserve"> АД, ДЗЗД </w:t>
      </w:r>
      <w:r w:rsidR="00513050" w:rsidRPr="002C5AC6">
        <w:t>„</w:t>
      </w:r>
      <w:r w:rsidRPr="002C5AC6">
        <w:t>В и В консултинг</w:t>
      </w:r>
      <w:r w:rsidR="00513050" w:rsidRPr="002C5AC6">
        <w:t>“ и</w:t>
      </w:r>
      <w:r w:rsidRPr="002C5AC6">
        <w:t xml:space="preserve"> </w:t>
      </w:r>
      <w:r w:rsidR="00513050" w:rsidRPr="002C5AC6">
        <w:t>„</w:t>
      </w:r>
      <w:r w:rsidRPr="002C5AC6">
        <w:t>Прайм техноложис</w:t>
      </w:r>
      <w:r w:rsidR="00513050" w:rsidRPr="002C5AC6">
        <w:t>“ ЕООД</w:t>
      </w:r>
      <w:r w:rsidRPr="002C5AC6">
        <w:t xml:space="preserve"> гаранциите са възстановени на 24.10.2014 г.</w:t>
      </w:r>
      <w:r w:rsidR="00513050" w:rsidRPr="002C5AC6">
        <w:t>,</w:t>
      </w:r>
      <w:r w:rsidRPr="002C5AC6">
        <w:t xml:space="preserve"> вместо на 10.10.2014 г.</w:t>
      </w:r>
      <w:r w:rsidRPr="002C5AC6">
        <w:rPr>
          <w:vertAlign w:val="superscript"/>
        </w:rPr>
        <w:footnoteReference w:id="120"/>
      </w:r>
    </w:p>
    <w:p w:rsidR="00AD0BA6" w:rsidRPr="002C5AC6" w:rsidRDefault="00AD0BA6" w:rsidP="00DB7B02">
      <w:pPr>
        <w:ind w:firstLine="709"/>
        <w:jc w:val="both"/>
      </w:pPr>
      <w:r w:rsidRPr="002C5AC6">
        <w:rPr>
          <w:i/>
        </w:rPr>
        <w:t xml:space="preserve">В останалата </w:t>
      </w:r>
      <w:r w:rsidR="005D41BF" w:rsidRPr="002C5AC6">
        <w:rPr>
          <w:i/>
        </w:rPr>
        <w:t xml:space="preserve">си </w:t>
      </w:r>
      <w:r w:rsidRPr="002C5AC6">
        <w:rPr>
          <w:i/>
        </w:rPr>
        <w:t>част процедурата е проведена законосъобразно</w:t>
      </w:r>
    </w:p>
    <w:p w:rsidR="00AD0BA6" w:rsidRPr="002C5AC6" w:rsidRDefault="00AD0BA6" w:rsidP="00E84618">
      <w:pPr>
        <w:spacing w:before="120" w:after="120"/>
        <w:ind w:firstLine="709"/>
        <w:jc w:val="both"/>
        <w:rPr>
          <w:rFonts w:eastAsia="Calibri"/>
          <w:b/>
          <w:lang w:eastAsia="en-US"/>
        </w:rPr>
      </w:pPr>
      <w:r w:rsidRPr="002C5AC6">
        <w:rPr>
          <w:rFonts w:eastAsia="Calibri"/>
          <w:b/>
          <w:lang w:eastAsia="en-US"/>
        </w:rPr>
        <w:t>5. Публични покани</w:t>
      </w:r>
    </w:p>
    <w:p w:rsidR="00AD0BA6" w:rsidRPr="002C5AC6" w:rsidRDefault="00AD0BA6" w:rsidP="00DB7B02">
      <w:pPr>
        <w:ind w:firstLine="709"/>
        <w:jc w:val="both"/>
      </w:pPr>
      <w:r w:rsidRPr="002C5AC6">
        <w:rPr>
          <w:b/>
        </w:rPr>
        <w:t xml:space="preserve">5.1.Обществена поръчка чрез възлагане на публична покана </w:t>
      </w:r>
      <w:r w:rsidRPr="002C5AC6">
        <w:t xml:space="preserve">с предмет </w:t>
      </w:r>
      <w:r w:rsidRPr="00407B6E">
        <w:rPr>
          <w:b/>
          <w:i/>
        </w:rPr>
        <w:t xml:space="preserve">„Официални преводи на съдебни книжа от  български </w:t>
      </w:r>
      <w:r w:rsidR="00407B6E">
        <w:rPr>
          <w:b/>
          <w:i/>
        </w:rPr>
        <w:t>на чужди езици и от чужди езици</w:t>
      </w:r>
      <w:r w:rsidRPr="00407B6E">
        <w:rPr>
          <w:b/>
          <w:i/>
        </w:rPr>
        <w:t xml:space="preserve"> на български език“</w:t>
      </w:r>
      <w:r w:rsidRPr="002C5AC6">
        <w:rPr>
          <w:i/>
        </w:rPr>
        <w:t>.</w:t>
      </w:r>
    </w:p>
    <w:p w:rsidR="00AD0BA6" w:rsidRPr="002C5AC6" w:rsidRDefault="00AD0BA6" w:rsidP="00DB7B02">
      <w:pPr>
        <w:ind w:firstLine="709"/>
        <w:jc w:val="both"/>
        <w:rPr>
          <w:bCs/>
        </w:rPr>
      </w:pPr>
      <w:r w:rsidRPr="002C5AC6">
        <w:t>Прогнозната стойност на поръчка е 25 000 лв. без ДДС. Публичната покана е публикувана на 28.03.2014 г. едновременно в Портала на обществените поръчки и Профила на купувача в съответствие с чл.</w:t>
      </w:r>
      <w:r w:rsidR="00DB7B02" w:rsidRPr="002C5AC6">
        <w:t xml:space="preserve"> 101</w:t>
      </w:r>
      <w:r w:rsidRPr="002C5AC6">
        <w:t>б, ал.</w:t>
      </w:r>
      <w:r w:rsidR="00DB7B02" w:rsidRPr="002C5AC6">
        <w:t xml:space="preserve"> </w:t>
      </w:r>
      <w:r w:rsidRPr="002C5AC6">
        <w:t xml:space="preserve">2 от </w:t>
      </w:r>
      <w:r w:rsidR="000449F4" w:rsidRPr="002C5AC6">
        <w:t xml:space="preserve">ЗОП </w:t>
      </w:r>
      <w:r w:rsidR="00DB7B02" w:rsidRPr="002C5AC6">
        <w:t>(отм.)</w:t>
      </w:r>
      <w:r w:rsidRPr="002C5AC6">
        <w:t>. Със</w:t>
      </w:r>
      <w:r w:rsidR="00DB7B02" w:rsidRPr="002C5AC6">
        <w:t xml:space="preserve"> Заповед</w:t>
      </w:r>
      <w:r w:rsidRPr="002C5AC6">
        <w:rPr>
          <w:rStyle w:val="FootnoteReference"/>
        </w:rPr>
        <w:footnoteReference w:id="121"/>
      </w:r>
      <w:r w:rsidRPr="002C5AC6">
        <w:t xml:space="preserve"> от възложителя е </w:t>
      </w:r>
      <w:r w:rsidR="00DB7B02" w:rsidRPr="002C5AC6">
        <w:rPr>
          <w:bCs/>
        </w:rPr>
        <w:t>назначена комисия</w:t>
      </w:r>
      <w:r w:rsidRPr="002C5AC6">
        <w:rPr>
          <w:bCs/>
        </w:rPr>
        <w:t>, която да разгледа</w:t>
      </w:r>
      <w:r w:rsidR="00DB7B02" w:rsidRPr="002C5AC6">
        <w:rPr>
          <w:bCs/>
        </w:rPr>
        <w:t xml:space="preserve"> и оцени офертите. Получени са </w:t>
      </w:r>
      <w:r w:rsidRPr="002C5AC6">
        <w:rPr>
          <w:bCs/>
        </w:rPr>
        <w:t>оферти от осем участници</w:t>
      </w:r>
      <w:r w:rsidRPr="002C5AC6">
        <w:rPr>
          <w:rStyle w:val="FootnoteReference"/>
          <w:bCs/>
        </w:rPr>
        <w:footnoteReference w:id="122"/>
      </w:r>
      <w:r w:rsidR="00DB7B02" w:rsidRPr="002C5AC6">
        <w:rPr>
          <w:bCs/>
        </w:rPr>
        <w:t>. Съставен е</w:t>
      </w:r>
      <w:r w:rsidRPr="002C5AC6">
        <w:rPr>
          <w:bCs/>
        </w:rPr>
        <w:t xml:space="preserve"> протокол за разглеждане и оценяв</w:t>
      </w:r>
      <w:r w:rsidR="00DB7B02" w:rsidRPr="002C5AC6">
        <w:rPr>
          <w:bCs/>
        </w:rPr>
        <w:t xml:space="preserve">ане на офертите при критерий </w:t>
      </w:r>
      <w:r w:rsidRPr="002C5AC6">
        <w:rPr>
          <w:bCs/>
        </w:rPr>
        <w:t>за оценка най-ниска цена.</w:t>
      </w:r>
      <w:r w:rsidR="00DB7B02" w:rsidRPr="002C5AC6">
        <w:rPr>
          <w:bCs/>
        </w:rPr>
        <w:t xml:space="preserve"> Поръчката е възложена </w:t>
      </w:r>
      <w:r w:rsidRPr="002C5AC6">
        <w:rPr>
          <w:bCs/>
        </w:rPr>
        <w:t xml:space="preserve">с договор, сключен с участника, предложил най-ниска цена. </w:t>
      </w:r>
      <w:r w:rsidRPr="002C5AC6">
        <w:rPr>
          <w:rStyle w:val="FootnoteReference"/>
          <w:bCs/>
        </w:rPr>
        <w:t xml:space="preserve"> </w:t>
      </w:r>
      <w:r w:rsidRPr="002C5AC6">
        <w:rPr>
          <w:bCs/>
        </w:rPr>
        <w:t>Тъй като ск</w:t>
      </w:r>
      <w:r w:rsidR="00DB7B02" w:rsidRPr="002C5AC6">
        <w:rPr>
          <w:bCs/>
        </w:rPr>
        <w:t>люченият договор е със срок от една</w:t>
      </w:r>
      <w:r w:rsidRPr="002C5AC6">
        <w:rPr>
          <w:bCs/>
        </w:rPr>
        <w:t xml:space="preserve"> година</w:t>
      </w:r>
      <w:r w:rsidR="00DB7B02" w:rsidRPr="002C5AC6">
        <w:rPr>
          <w:bCs/>
        </w:rPr>
        <w:t>, в който се</w:t>
      </w:r>
      <w:r w:rsidRPr="002C5AC6">
        <w:rPr>
          <w:bCs/>
        </w:rPr>
        <w:t xml:space="preserve"> включва и период след 01.10.2014 г.</w:t>
      </w:r>
      <w:r w:rsidR="00DB7B02" w:rsidRPr="002C5AC6">
        <w:rPr>
          <w:bCs/>
        </w:rPr>
        <w:t xml:space="preserve"> е извършена проверка относно</w:t>
      </w:r>
      <w:r w:rsidRPr="002C5AC6">
        <w:rPr>
          <w:bCs/>
        </w:rPr>
        <w:t xml:space="preserve"> публикуван</w:t>
      </w:r>
      <w:r w:rsidR="00DB7B02" w:rsidRPr="002C5AC6">
        <w:rPr>
          <w:bCs/>
        </w:rPr>
        <w:t>е на</w:t>
      </w:r>
      <w:r w:rsidRPr="002C5AC6">
        <w:rPr>
          <w:bCs/>
        </w:rPr>
        <w:t xml:space="preserve"> информация за извършените плащания</w:t>
      </w:r>
      <w:r w:rsidR="00DB7B02" w:rsidRPr="002C5AC6">
        <w:rPr>
          <w:bCs/>
        </w:rPr>
        <w:t xml:space="preserve">. </w:t>
      </w:r>
      <w:r w:rsidR="00344136" w:rsidRPr="002C5AC6">
        <w:rPr>
          <w:bCs/>
        </w:rPr>
        <w:t>Констатирано</w:t>
      </w:r>
      <w:r w:rsidR="00DB7B02" w:rsidRPr="002C5AC6">
        <w:rPr>
          <w:bCs/>
        </w:rPr>
        <w:t xml:space="preserve"> е, че информацията </w:t>
      </w:r>
      <w:r w:rsidRPr="002C5AC6">
        <w:rPr>
          <w:bCs/>
        </w:rPr>
        <w:t xml:space="preserve">е налична на профила, </w:t>
      </w:r>
      <w:r w:rsidR="00DB7B02" w:rsidRPr="002C5AC6">
        <w:rPr>
          <w:bCs/>
        </w:rPr>
        <w:t xml:space="preserve">но </w:t>
      </w:r>
      <w:r w:rsidRPr="002C5AC6">
        <w:rPr>
          <w:bCs/>
        </w:rPr>
        <w:t xml:space="preserve">не може да </w:t>
      </w:r>
      <w:r w:rsidR="00344136" w:rsidRPr="002C5AC6">
        <w:rPr>
          <w:bCs/>
        </w:rPr>
        <w:t>се установи</w:t>
      </w:r>
      <w:r w:rsidRPr="002C5AC6">
        <w:rPr>
          <w:bCs/>
        </w:rPr>
        <w:t xml:space="preserve"> датата на публикуването</w:t>
      </w:r>
      <w:r w:rsidR="00344136" w:rsidRPr="002C5AC6">
        <w:rPr>
          <w:bCs/>
        </w:rPr>
        <w:t xml:space="preserve"> ѝ</w:t>
      </w:r>
      <w:r w:rsidRPr="002C5AC6">
        <w:rPr>
          <w:bCs/>
        </w:rPr>
        <w:t xml:space="preserve">, </w:t>
      </w:r>
      <w:r w:rsidR="00344136" w:rsidRPr="002C5AC6">
        <w:rPr>
          <w:bCs/>
        </w:rPr>
        <w:t>както и спазен ли е срокът по</w:t>
      </w:r>
      <w:r w:rsidRPr="002C5AC6">
        <w:t xml:space="preserve"> чл.</w:t>
      </w:r>
      <w:r w:rsidR="00344136" w:rsidRPr="002C5AC6">
        <w:t xml:space="preserve"> 101</w:t>
      </w:r>
      <w:r w:rsidRPr="002C5AC6">
        <w:t>г, ал.</w:t>
      </w:r>
      <w:r w:rsidR="00344136" w:rsidRPr="002C5AC6">
        <w:t xml:space="preserve"> </w:t>
      </w:r>
      <w:r w:rsidRPr="002C5AC6">
        <w:t xml:space="preserve">4 </w:t>
      </w:r>
      <w:r w:rsidR="00773775">
        <w:t xml:space="preserve">от </w:t>
      </w:r>
      <w:r w:rsidR="000449F4" w:rsidRPr="002C5AC6">
        <w:t xml:space="preserve">ЗОП </w:t>
      </w:r>
      <w:r w:rsidR="00344136" w:rsidRPr="002C5AC6">
        <w:t>(отм.)</w:t>
      </w:r>
      <w:r w:rsidRPr="002C5AC6">
        <w:rPr>
          <w:rStyle w:val="FootnoteReference"/>
          <w:bCs/>
        </w:rPr>
        <w:footnoteReference w:id="123"/>
      </w:r>
      <w:r w:rsidR="00344136" w:rsidRPr="002C5AC6">
        <w:t>.</w:t>
      </w:r>
    </w:p>
    <w:p w:rsidR="00AD0BA6" w:rsidRPr="002C5AC6" w:rsidRDefault="00AD0BA6" w:rsidP="00DB7B02">
      <w:pPr>
        <w:ind w:firstLine="709"/>
        <w:jc w:val="both"/>
      </w:pPr>
      <w:r w:rsidRPr="002C5AC6">
        <w:rPr>
          <w:i/>
        </w:rPr>
        <w:t>Възлагането е законосъобразно</w:t>
      </w:r>
      <w:r w:rsidR="00344136" w:rsidRPr="002C5AC6">
        <w:rPr>
          <w:i/>
        </w:rPr>
        <w:t>, но наличната информация не дава възможност да се определи съответствието по отношение срока на публикуване на информацията за извършените плащания</w:t>
      </w:r>
      <w:r w:rsidRPr="002C5AC6">
        <w:t>.</w:t>
      </w:r>
    </w:p>
    <w:p w:rsidR="00344136" w:rsidRPr="00407B6E" w:rsidRDefault="00AD0BA6" w:rsidP="00E84618">
      <w:pPr>
        <w:spacing w:before="120"/>
        <w:ind w:firstLine="709"/>
        <w:jc w:val="both"/>
        <w:rPr>
          <w:b/>
        </w:rPr>
      </w:pPr>
      <w:r w:rsidRPr="002C5AC6">
        <w:rPr>
          <w:b/>
        </w:rPr>
        <w:t>5.2.</w:t>
      </w:r>
      <w:r w:rsidR="00344136" w:rsidRPr="002C5AC6">
        <w:rPr>
          <w:b/>
        </w:rPr>
        <w:t xml:space="preserve"> </w:t>
      </w:r>
      <w:r w:rsidRPr="002C5AC6">
        <w:rPr>
          <w:b/>
        </w:rPr>
        <w:t>Обществена поръчка чрез възлагане с публична покана</w:t>
      </w:r>
      <w:r w:rsidRPr="002C5AC6">
        <w:t xml:space="preserve"> с предмет </w:t>
      </w:r>
      <w:r w:rsidRPr="00407B6E">
        <w:rPr>
          <w:b/>
          <w:i/>
        </w:rPr>
        <w:t>“Строително –монтажни работи и ремонтни работи в сградата на СРС на бул. Цар Борис III № 54”</w:t>
      </w:r>
      <w:r w:rsidRPr="00407B6E">
        <w:rPr>
          <w:b/>
        </w:rPr>
        <w:t xml:space="preserve"> </w:t>
      </w:r>
    </w:p>
    <w:p w:rsidR="00344136" w:rsidRPr="002C5AC6" w:rsidRDefault="00AD0BA6" w:rsidP="00344136">
      <w:pPr>
        <w:ind w:firstLine="709"/>
        <w:jc w:val="both"/>
        <w:rPr>
          <w:bCs/>
        </w:rPr>
      </w:pPr>
      <w:r w:rsidRPr="002C5AC6">
        <w:t xml:space="preserve">Прогнозната стойност на поръчката е 186 000 лв. </w:t>
      </w:r>
      <w:r w:rsidR="00344136" w:rsidRPr="002C5AC6">
        <w:t>без ДДС.</w:t>
      </w:r>
      <w:r w:rsidRPr="002C5AC6">
        <w:t xml:space="preserve"> Публичната покана е публикувана на </w:t>
      </w:r>
      <w:r w:rsidR="0026234B" w:rsidRPr="002C5AC6">
        <w:t>0</w:t>
      </w:r>
      <w:r w:rsidRPr="002C5AC6">
        <w:t>3.12.2014 г.</w:t>
      </w:r>
      <w:r w:rsidR="00344136" w:rsidRPr="002C5AC6">
        <w:t>, едновременно</w:t>
      </w:r>
      <w:r w:rsidRPr="002C5AC6">
        <w:t xml:space="preserve"> в Портала на обществените поръчки и Профила на купувача на интернет адреса на СРС в съответствие с чл.</w:t>
      </w:r>
      <w:r w:rsidR="00344136" w:rsidRPr="002C5AC6">
        <w:t xml:space="preserve"> </w:t>
      </w:r>
      <w:r w:rsidRPr="002C5AC6">
        <w:t>101б, ал.</w:t>
      </w:r>
      <w:r w:rsidR="00344136" w:rsidRPr="002C5AC6">
        <w:t xml:space="preserve"> </w:t>
      </w:r>
      <w:r w:rsidRPr="002C5AC6">
        <w:t xml:space="preserve">2 от </w:t>
      </w:r>
      <w:r w:rsidR="000449F4" w:rsidRPr="002C5AC6">
        <w:t xml:space="preserve">ЗОП </w:t>
      </w:r>
      <w:r w:rsidR="00344136" w:rsidRPr="002C5AC6">
        <w:t xml:space="preserve">(отм., </w:t>
      </w:r>
      <w:r w:rsidR="00344136" w:rsidRPr="002C5AC6">
        <w:rPr>
          <w:bCs/>
        </w:rPr>
        <w:t>ред. ДВ, бр.40/2014 г.).</w:t>
      </w:r>
    </w:p>
    <w:p w:rsidR="006E02F6" w:rsidRPr="002C5AC6" w:rsidRDefault="00AD0BA6" w:rsidP="006E02F6">
      <w:pPr>
        <w:ind w:firstLine="709"/>
        <w:jc w:val="both"/>
        <w:rPr>
          <w:bCs/>
          <w:i/>
          <w:u w:val="single"/>
        </w:rPr>
      </w:pPr>
      <w:r w:rsidRPr="002C5AC6">
        <w:t xml:space="preserve">В деня на публикуването е изпратено </w:t>
      </w:r>
      <w:r w:rsidRPr="002C5AC6">
        <w:rPr>
          <w:bCs/>
        </w:rPr>
        <w:t>е съобщение за поканата до средствата за масово осведомяване в съотве</w:t>
      </w:r>
      <w:r w:rsidR="00344136" w:rsidRPr="002C5AC6">
        <w:rPr>
          <w:bCs/>
        </w:rPr>
        <w:t>тствие с чл. 101</w:t>
      </w:r>
      <w:r w:rsidRPr="002C5AC6">
        <w:rPr>
          <w:bCs/>
        </w:rPr>
        <w:t>б, ал.</w:t>
      </w:r>
      <w:r w:rsidR="00344136" w:rsidRPr="002C5AC6">
        <w:rPr>
          <w:bCs/>
        </w:rPr>
        <w:t xml:space="preserve"> </w:t>
      </w:r>
      <w:r w:rsidRPr="002C5AC6">
        <w:rPr>
          <w:bCs/>
        </w:rPr>
        <w:t xml:space="preserve">3 от </w:t>
      </w:r>
      <w:r w:rsidR="000449F4" w:rsidRPr="002C5AC6">
        <w:rPr>
          <w:bCs/>
        </w:rPr>
        <w:t>ЗОП (</w:t>
      </w:r>
      <w:r w:rsidR="00344136" w:rsidRPr="002C5AC6">
        <w:rPr>
          <w:bCs/>
        </w:rPr>
        <w:t xml:space="preserve">отм., </w:t>
      </w:r>
      <w:r w:rsidRPr="002C5AC6">
        <w:rPr>
          <w:bCs/>
        </w:rPr>
        <w:t>ред. ДВ, бр.40/2014 г.)</w:t>
      </w:r>
      <w:r w:rsidR="006E02F6" w:rsidRPr="002C5AC6">
        <w:rPr>
          <w:bCs/>
          <w:i/>
          <w:u w:val="single"/>
        </w:rPr>
        <w:t>.</w:t>
      </w:r>
    </w:p>
    <w:p w:rsidR="006E02F6" w:rsidRPr="002C5AC6" w:rsidRDefault="00AD0BA6" w:rsidP="006E02F6">
      <w:pPr>
        <w:ind w:firstLine="709"/>
        <w:jc w:val="both"/>
        <w:rPr>
          <w:bCs/>
        </w:rPr>
      </w:pPr>
      <w:r w:rsidRPr="002C5AC6">
        <w:rPr>
          <w:bCs/>
        </w:rPr>
        <w:t>С документацията за участие е изискано представяне към офертите на декларация за обстоятелствата по чл.</w:t>
      </w:r>
      <w:r w:rsidR="006E02F6" w:rsidRPr="002C5AC6">
        <w:rPr>
          <w:bCs/>
        </w:rPr>
        <w:t xml:space="preserve"> </w:t>
      </w:r>
      <w:r w:rsidRPr="002C5AC6">
        <w:rPr>
          <w:bCs/>
        </w:rPr>
        <w:t>47, ал.</w:t>
      </w:r>
      <w:r w:rsidR="006E02F6" w:rsidRPr="002C5AC6">
        <w:rPr>
          <w:bCs/>
        </w:rPr>
        <w:t xml:space="preserve"> </w:t>
      </w:r>
      <w:r w:rsidRPr="002C5AC6">
        <w:rPr>
          <w:bCs/>
        </w:rPr>
        <w:t>1,</w:t>
      </w:r>
      <w:r w:rsidR="00202FC9" w:rsidRPr="002C5AC6">
        <w:rPr>
          <w:bCs/>
        </w:rPr>
        <w:t xml:space="preserve"> </w:t>
      </w:r>
      <w:r w:rsidRPr="002C5AC6">
        <w:rPr>
          <w:bCs/>
        </w:rPr>
        <w:t>т.</w:t>
      </w:r>
      <w:r w:rsidR="006E02F6" w:rsidRPr="002C5AC6">
        <w:rPr>
          <w:bCs/>
        </w:rPr>
        <w:t xml:space="preserve"> </w:t>
      </w:r>
      <w:r w:rsidRPr="002C5AC6">
        <w:rPr>
          <w:bCs/>
        </w:rPr>
        <w:t xml:space="preserve">1 от </w:t>
      </w:r>
      <w:r w:rsidR="000449F4" w:rsidRPr="002C5AC6">
        <w:rPr>
          <w:bCs/>
        </w:rPr>
        <w:t xml:space="preserve">ЗОП </w:t>
      </w:r>
      <w:r w:rsidR="006E02F6" w:rsidRPr="002C5AC6">
        <w:rPr>
          <w:bCs/>
        </w:rPr>
        <w:t xml:space="preserve">(отм.) </w:t>
      </w:r>
      <w:r w:rsidRPr="002C5AC6">
        <w:rPr>
          <w:bCs/>
        </w:rPr>
        <w:t>като не е съобразено правилото на чл.</w:t>
      </w:r>
      <w:r w:rsidR="006E02F6" w:rsidRPr="002C5AC6">
        <w:rPr>
          <w:bCs/>
        </w:rPr>
        <w:t> </w:t>
      </w:r>
      <w:r w:rsidRPr="002C5AC6">
        <w:rPr>
          <w:bCs/>
        </w:rPr>
        <w:t>101е, ал.</w:t>
      </w:r>
      <w:r w:rsidR="006E02F6" w:rsidRPr="002C5AC6">
        <w:rPr>
          <w:bCs/>
        </w:rPr>
        <w:t xml:space="preserve"> </w:t>
      </w:r>
      <w:r w:rsidRPr="002C5AC6">
        <w:rPr>
          <w:bCs/>
        </w:rPr>
        <w:t xml:space="preserve">2 от </w:t>
      </w:r>
      <w:r w:rsidR="000449F4" w:rsidRPr="002C5AC6">
        <w:rPr>
          <w:bCs/>
        </w:rPr>
        <w:t xml:space="preserve">ЗОП </w:t>
      </w:r>
      <w:r w:rsidR="006E02F6" w:rsidRPr="002C5AC6">
        <w:rPr>
          <w:bCs/>
        </w:rPr>
        <w:t>(отм.</w:t>
      </w:r>
      <w:r w:rsidR="000449F4" w:rsidRPr="002C5AC6">
        <w:rPr>
          <w:bCs/>
        </w:rPr>
        <w:t>)</w:t>
      </w:r>
      <w:r w:rsidRPr="002C5AC6">
        <w:rPr>
          <w:bCs/>
        </w:rPr>
        <w:t>, съгласно което само определеният за изпълнител преди сключването на договора представя документ от компетентен орган за обстоятелствата по чл.</w:t>
      </w:r>
      <w:r w:rsidR="00773775">
        <w:rPr>
          <w:bCs/>
        </w:rPr>
        <w:t> </w:t>
      </w:r>
      <w:r w:rsidRPr="002C5AC6">
        <w:rPr>
          <w:bCs/>
        </w:rPr>
        <w:t>47, ал.</w:t>
      </w:r>
      <w:r w:rsidR="006E02F6" w:rsidRPr="002C5AC6">
        <w:rPr>
          <w:bCs/>
        </w:rPr>
        <w:t xml:space="preserve"> </w:t>
      </w:r>
      <w:r w:rsidRPr="002C5AC6">
        <w:rPr>
          <w:bCs/>
        </w:rPr>
        <w:t>1,</w:t>
      </w:r>
      <w:r w:rsidR="00202FC9" w:rsidRPr="002C5AC6">
        <w:rPr>
          <w:bCs/>
        </w:rPr>
        <w:t xml:space="preserve"> </w:t>
      </w:r>
      <w:r w:rsidRPr="002C5AC6">
        <w:rPr>
          <w:bCs/>
        </w:rPr>
        <w:t>т.</w:t>
      </w:r>
      <w:r w:rsidR="006E02F6" w:rsidRPr="002C5AC6">
        <w:rPr>
          <w:bCs/>
        </w:rPr>
        <w:t xml:space="preserve"> </w:t>
      </w:r>
      <w:r w:rsidRPr="002C5AC6">
        <w:rPr>
          <w:bCs/>
        </w:rPr>
        <w:t xml:space="preserve">1 от </w:t>
      </w:r>
      <w:r w:rsidR="000449F4" w:rsidRPr="002C5AC6">
        <w:rPr>
          <w:bCs/>
        </w:rPr>
        <w:t>ЗОП (</w:t>
      </w:r>
      <w:r w:rsidR="006E02F6" w:rsidRPr="002C5AC6">
        <w:rPr>
          <w:bCs/>
        </w:rPr>
        <w:t>отм.)</w:t>
      </w:r>
      <w:r w:rsidRPr="002C5AC6">
        <w:rPr>
          <w:bCs/>
        </w:rPr>
        <w:t>. С поставеното изискване за представяне на декларация е създадена необоснована административна тежест пред участниците.</w:t>
      </w:r>
    </w:p>
    <w:p w:rsidR="006E02F6" w:rsidRPr="002C5AC6" w:rsidRDefault="00AD0BA6" w:rsidP="006E02F6">
      <w:pPr>
        <w:ind w:firstLine="709"/>
        <w:jc w:val="both"/>
        <w:rPr>
          <w:bCs/>
        </w:rPr>
      </w:pPr>
      <w:r w:rsidRPr="002C5AC6">
        <w:rPr>
          <w:bCs/>
        </w:rPr>
        <w:lastRenderedPageBreak/>
        <w:t xml:space="preserve">В документацията е изискано от участниците да представят копие от удостоверение за вписване в </w:t>
      </w:r>
      <w:r w:rsidR="006E02F6" w:rsidRPr="002C5AC6">
        <w:rPr>
          <w:bCs/>
        </w:rPr>
        <w:t>Централен професионален регистър на строителя,</w:t>
      </w:r>
      <w:r w:rsidRPr="002C5AC6">
        <w:rPr>
          <w:bCs/>
        </w:rPr>
        <w:t xml:space="preserve"> но не е формулирано минимално изискване, което следва да доказва, а именно - категорията строеж, за която следва да се отнася</w:t>
      </w:r>
      <w:r w:rsidR="006E02F6" w:rsidRPr="002C5AC6">
        <w:rPr>
          <w:bCs/>
        </w:rPr>
        <w:t>,</w:t>
      </w:r>
      <w:r w:rsidRPr="002C5AC6">
        <w:rPr>
          <w:bCs/>
        </w:rPr>
        <w:t xml:space="preserve"> в съответствие със строителния обект, предмет на обществената поръчка.</w:t>
      </w:r>
    </w:p>
    <w:p w:rsidR="006E02F6" w:rsidRPr="002C5AC6" w:rsidRDefault="00AD0BA6" w:rsidP="006E02F6">
      <w:pPr>
        <w:ind w:firstLine="709"/>
        <w:jc w:val="both"/>
      </w:pPr>
      <w:r w:rsidRPr="002C5AC6">
        <w:t>Със заповед</w:t>
      </w:r>
      <w:r w:rsidRPr="002C5AC6">
        <w:rPr>
          <w:vertAlign w:val="superscript"/>
        </w:rPr>
        <w:t xml:space="preserve">  </w:t>
      </w:r>
      <w:r w:rsidRPr="002C5AC6">
        <w:t>на възложителя</w:t>
      </w:r>
      <w:r w:rsidRPr="002C5AC6">
        <w:rPr>
          <w:vertAlign w:val="superscript"/>
        </w:rPr>
        <w:footnoteReference w:id="124"/>
      </w:r>
      <w:r w:rsidRPr="002C5AC6">
        <w:t xml:space="preserve"> е</w:t>
      </w:r>
      <w:r w:rsidRPr="002C5AC6">
        <w:rPr>
          <w:bCs/>
        </w:rPr>
        <w:t xml:space="preserve"> назначена комисия от длъжностни лица</w:t>
      </w:r>
      <w:r w:rsidR="006E02F6" w:rsidRPr="002C5AC6">
        <w:rPr>
          <w:bCs/>
        </w:rPr>
        <w:t>, която</w:t>
      </w:r>
      <w:r w:rsidRPr="002C5AC6">
        <w:rPr>
          <w:bCs/>
        </w:rPr>
        <w:t xml:space="preserve"> </w:t>
      </w:r>
      <w:r w:rsidR="006E02F6" w:rsidRPr="002C5AC6">
        <w:rPr>
          <w:bCs/>
        </w:rPr>
        <w:t>д</w:t>
      </w:r>
      <w:r w:rsidRPr="002C5AC6">
        <w:rPr>
          <w:bCs/>
        </w:rPr>
        <w:t>а разгледа и оцени офертите на участниците. В състава на комисията е назначен външен експерт с проектантска правоспособност, притежаващ необходимата професионална компетентност. Протоколът е утвърден от възложителя на 15.12. 2014 г. и е изпратен по факс на участниците на същата дата.</w:t>
      </w:r>
      <w:r w:rsidRPr="002C5AC6">
        <w:rPr>
          <w:bCs/>
          <w:vertAlign w:val="superscript"/>
        </w:rPr>
        <w:t xml:space="preserve"> </w:t>
      </w:r>
      <w:r w:rsidRPr="002C5AC6">
        <w:rPr>
          <w:bCs/>
        </w:rPr>
        <w:t xml:space="preserve"> Сключен е писмен договор №</w:t>
      </w:r>
      <w:r w:rsidRPr="002C5AC6">
        <w:t xml:space="preserve"> ПП-02 от 16.12.2014 г. с класирания на първо място участник и е публикуван на профила на купувача. Тъй като при публикуването на проток</w:t>
      </w:r>
      <w:r w:rsidR="006E02F6" w:rsidRPr="002C5AC6">
        <w:t>ола на комисията и на договора з</w:t>
      </w:r>
      <w:r w:rsidRPr="002C5AC6">
        <w:t>а обществената поръчка не е посочена дата</w:t>
      </w:r>
      <w:r w:rsidR="006E02F6" w:rsidRPr="002C5AC6">
        <w:t>та</w:t>
      </w:r>
      <w:r w:rsidRPr="002C5AC6">
        <w:t xml:space="preserve"> на публикуване, не може да се установи дали са спа</w:t>
      </w:r>
      <w:r w:rsidR="006E02F6" w:rsidRPr="002C5AC6">
        <w:t>зени законоустановените срокове</w:t>
      </w:r>
      <w:r w:rsidRPr="002C5AC6">
        <w:rPr>
          <w:rStyle w:val="FootnoteReference"/>
        </w:rPr>
        <w:footnoteReference w:id="125"/>
      </w:r>
      <w:r w:rsidR="006E02F6" w:rsidRPr="002C5AC6">
        <w:t>.</w:t>
      </w:r>
    </w:p>
    <w:p w:rsidR="00AD0BA6" w:rsidRPr="002C5AC6" w:rsidRDefault="00AD0BA6" w:rsidP="006E02F6">
      <w:pPr>
        <w:spacing w:after="120"/>
        <w:ind w:firstLine="709"/>
        <w:jc w:val="both"/>
      </w:pPr>
      <w:r w:rsidRPr="002C5AC6">
        <w:rPr>
          <w:i/>
        </w:rPr>
        <w:t>Възлагането е законосъобразно с изключение на посочените несъответствия</w:t>
      </w:r>
      <w:r w:rsidRPr="002C5AC6">
        <w:t>.</w:t>
      </w:r>
    </w:p>
    <w:p w:rsidR="00AD0BA6" w:rsidRPr="002C5AC6" w:rsidRDefault="00AD0BA6" w:rsidP="006E02F6">
      <w:pPr>
        <w:ind w:firstLine="709"/>
        <w:jc w:val="both"/>
      </w:pPr>
      <w:r w:rsidRPr="002C5AC6">
        <w:rPr>
          <w:b/>
        </w:rPr>
        <w:t xml:space="preserve">5.3. Обществена поръчка чрез възлагане с  публична покана </w:t>
      </w:r>
      <w:r w:rsidRPr="002C5AC6">
        <w:t xml:space="preserve">с предмет </w:t>
      </w:r>
      <w:r w:rsidRPr="00407B6E">
        <w:rPr>
          <w:b/>
          <w:i/>
        </w:rPr>
        <w:t>“Доставка и монтаж на комуникационно оборудване</w:t>
      </w:r>
      <w:r w:rsidR="006E02F6" w:rsidRPr="00407B6E">
        <w:rPr>
          <w:b/>
          <w:i/>
        </w:rPr>
        <w:t xml:space="preserve"> </w:t>
      </w:r>
      <w:r w:rsidRPr="00407B6E">
        <w:rPr>
          <w:b/>
          <w:i/>
        </w:rPr>
        <w:t>- комутатори,</w:t>
      </w:r>
      <w:r w:rsidR="006E02F6" w:rsidRPr="00407B6E">
        <w:rPr>
          <w:b/>
          <w:i/>
        </w:rPr>
        <w:t xml:space="preserve"> мултифункционални устройства</w:t>
      </w:r>
      <w:r w:rsidRPr="00407B6E">
        <w:rPr>
          <w:b/>
          <w:i/>
        </w:rPr>
        <w:t>”</w:t>
      </w:r>
      <w:r w:rsidRPr="002C5AC6">
        <w:t xml:space="preserve">  </w:t>
      </w:r>
    </w:p>
    <w:p w:rsidR="00AD0BA6" w:rsidRPr="002C5AC6" w:rsidRDefault="00AD0BA6" w:rsidP="006E02F6">
      <w:pPr>
        <w:ind w:firstLine="709"/>
        <w:jc w:val="both"/>
      </w:pPr>
      <w:r w:rsidRPr="002C5AC6">
        <w:t>Прогнозната стойност на поръчката е 66 000 лв. без ДДС. Публичната покана е публикувана на 30.10.2014 г.</w:t>
      </w:r>
      <w:r w:rsidR="006E02F6" w:rsidRPr="002C5AC6">
        <w:t>,</w:t>
      </w:r>
      <w:r w:rsidRPr="002C5AC6">
        <w:t xml:space="preserve"> едновременно в Портала на обществените поръчки и </w:t>
      </w:r>
      <w:r w:rsidR="006E02F6" w:rsidRPr="002C5AC6">
        <w:t xml:space="preserve">в </w:t>
      </w:r>
      <w:r w:rsidRPr="002C5AC6">
        <w:t>Профила на купувача на интернет адреса на СРС</w:t>
      </w:r>
      <w:r w:rsidR="006E02F6" w:rsidRPr="002C5AC6">
        <w:t>,</w:t>
      </w:r>
      <w:r w:rsidRPr="002C5AC6">
        <w:t xml:space="preserve"> в съответствие с</w:t>
      </w:r>
      <w:r w:rsidR="006E02F6" w:rsidRPr="002C5AC6">
        <w:t xml:space="preserve"> изискванията на</w:t>
      </w:r>
      <w:r w:rsidRPr="002C5AC6">
        <w:t xml:space="preserve"> чл.</w:t>
      </w:r>
      <w:r w:rsidR="006E02F6" w:rsidRPr="002C5AC6">
        <w:t> </w:t>
      </w:r>
      <w:r w:rsidRPr="002C5AC6">
        <w:t>101б, ал.</w:t>
      </w:r>
      <w:r w:rsidR="006E02F6" w:rsidRPr="002C5AC6">
        <w:t xml:space="preserve"> </w:t>
      </w:r>
      <w:r w:rsidRPr="002C5AC6">
        <w:t xml:space="preserve">2 от </w:t>
      </w:r>
      <w:r w:rsidR="000449F4" w:rsidRPr="002C5AC6">
        <w:t>ЗОП (</w:t>
      </w:r>
      <w:r w:rsidR="006E02F6" w:rsidRPr="002C5AC6">
        <w:t>отм.,</w:t>
      </w:r>
      <w:r w:rsidR="006E02F6" w:rsidRPr="002C5AC6">
        <w:rPr>
          <w:bCs/>
        </w:rPr>
        <w:t xml:space="preserve"> ред. ДВ, бр.40/2014 г.)</w:t>
      </w:r>
      <w:r w:rsidRPr="002C5AC6">
        <w:t>.</w:t>
      </w:r>
      <w:r w:rsidRPr="002C5AC6">
        <w:rPr>
          <w:bCs/>
        </w:rPr>
        <w:t xml:space="preserve"> В деня</w:t>
      </w:r>
      <w:r w:rsidR="0068027D" w:rsidRPr="002C5AC6">
        <w:rPr>
          <w:bCs/>
        </w:rPr>
        <w:t xml:space="preserve"> на публикуването е изпратено </w:t>
      </w:r>
      <w:r w:rsidRPr="002C5AC6">
        <w:rPr>
          <w:bCs/>
        </w:rPr>
        <w:t>съобщение за поканата до средствата за масово осведомяване в съответствие с чл.</w:t>
      </w:r>
      <w:r w:rsidR="0068027D" w:rsidRPr="002C5AC6">
        <w:rPr>
          <w:bCs/>
        </w:rPr>
        <w:t xml:space="preserve"> 101</w:t>
      </w:r>
      <w:r w:rsidRPr="002C5AC6">
        <w:rPr>
          <w:bCs/>
        </w:rPr>
        <w:t>б, ал.</w:t>
      </w:r>
      <w:r w:rsidR="0068027D" w:rsidRPr="002C5AC6">
        <w:rPr>
          <w:bCs/>
        </w:rPr>
        <w:t xml:space="preserve"> </w:t>
      </w:r>
      <w:r w:rsidRPr="002C5AC6">
        <w:rPr>
          <w:bCs/>
        </w:rPr>
        <w:t xml:space="preserve">3 от </w:t>
      </w:r>
      <w:r w:rsidR="000449F4" w:rsidRPr="002C5AC6">
        <w:rPr>
          <w:bCs/>
        </w:rPr>
        <w:t xml:space="preserve">ЗОП </w:t>
      </w:r>
      <w:r w:rsidR="0068027D" w:rsidRPr="002C5AC6">
        <w:rPr>
          <w:bCs/>
        </w:rPr>
        <w:t xml:space="preserve">(отм., </w:t>
      </w:r>
      <w:r w:rsidRPr="002C5AC6">
        <w:rPr>
          <w:bCs/>
        </w:rPr>
        <w:t>ред. ДВ, бр.40/2014 г.)</w:t>
      </w:r>
      <w:r w:rsidRPr="002C5AC6">
        <w:rPr>
          <w:bCs/>
          <w:vertAlign w:val="superscript"/>
        </w:rPr>
        <w:footnoteReference w:id="126"/>
      </w:r>
      <w:r w:rsidR="0068027D" w:rsidRPr="002C5AC6">
        <w:rPr>
          <w:bCs/>
        </w:rPr>
        <w:t>.</w:t>
      </w:r>
      <w:r w:rsidRPr="002C5AC6">
        <w:t xml:space="preserve"> </w:t>
      </w:r>
    </w:p>
    <w:p w:rsidR="0068027D" w:rsidRPr="002C5AC6" w:rsidRDefault="00AD0BA6" w:rsidP="0068027D">
      <w:pPr>
        <w:ind w:firstLine="709"/>
        <w:jc w:val="both"/>
        <w:rPr>
          <w:bCs/>
        </w:rPr>
      </w:pPr>
      <w:r w:rsidRPr="002C5AC6">
        <w:rPr>
          <w:bCs/>
        </w:rPr>
        <w:t>С документацията за участие е изискано представяне към офертите на декларация за обстоятелствата по чл.</w:t>
      </w:r>
      <w:r w:rsidR="0068027D" w:rsidRPr="002C5AC6">
        <w:rPr>
          <w:bCs/>
        </w:rPr>
        <w:t xml:space="preserve"> </w:t>
      </w:r>
      <w:r w:rsidRPr="002C5AC6">
        <w:rPr>
          <w:bCs/>
        </w:rPr>
        <w:t>47, ал.</w:t>
      </w:r>
      <w:r w:rsidR="0068027D" w:rsidRPr="002C5AC6">
        <w:rPr>
          <w:bCs/>
        </w:rPr>
        <w:t xml:space="preserve"> </w:t>
      </w:r>
      <w:r w:rsidRPr="002C5AC6">
        <w:rPr>
          <w:bCs/>
        </w:rPr>
        <w:t>1, т.</w:t>
      </w:r>
      <w:r w:rsidR="0068027D" w:rsidRPr="002C5AC6">
        <w:rPr>
          <w:bCs/>
        </w:rPr>
        <w:t xml:space="preserve"> </w:t>
      </w:r>
      <w:r w:rsidRPr="002C5AC6">
        <w:rPr>
          <w:bCs/>
        </w:rPr>
        <w:t xml:space="preserve">1 от </w:t>
      </w:r>
      <w:r w:rsidR="000449F4" w:rsidRPr="002C5AC6">
        <w:rPr>
          <w:bCs/>
        </w:rPr>
        <w:t>ЗОП (</w:t>
      </w:r>
      <w:r w:rsidR="0068027D" w:rsidRPr="002C5AC6">
        <w:rPr>
          <w:bCs/>
        </w:rPr>
        <w:t xml:space="preserve">отм.) </w:t>
      </w:r>
      <w:r w:rsidRPr="002C5AC6">
        <w:rPr>
          <w:bCs/>
        </w:rPr>
        <w:t>като не е съобразено правилото на чл.</w:t>
      </w:r>
      <w:r w:rsidR="0068027D" w:rsidRPr="002C5AC6">
        <w:rPr>
          <w:bCs/>
        </w:rPr>
        <w:t xml:space="preserve"> </w:t>
      </w:r>
      <w:r w:rsidRPr="002C5AC6">
        <w:rPr>
          <w:bCs/>
        </w:rPr>
        <w:t>101е, ал.</w:t>
      </w:r>
      <w:r w:rsidR="0068027D" w:rsidRPr="002C5AC6">
        <w:rPr>
          <w:bCs/>
        </w:rPr>
        <w:t xml:space="preserve"> </w:t>
      </w:r>
      <w:r w:rsidRPr="002C5AC6">
        <w:rPr>
          <w:bCs/>
        </w:rPr>
        <w:t xml:space="preserve">2 от </w:t>
      </w:r>
      <w:r w:rsidR="000449F4" w:rsidRPr="002C5AC6">
        <w:rPr>
          <w:bCs/>
        </w:rPr>
        <w:t xml:space="preserve">ЗОП </w:t>
      </w:r>
      <w:r w:rsidR="0068027D" w:rsidRPr="002C5AC6">
        <w:rPr>
          <w:bCs/>
        </w:rPr>
        <w:t xml:space="preserve">(отм.), </w:t>
      </w:r>
      <w:r w:rsidRPr="002C5AC6">
        <w:rPr>
          <w:bCs/>
        </w:rPr>
        <w:t>съгласно което само определеният за изпълнител преди сключването на договора представя документ от компетентен орган за обстоятелствата по чл.</w:t>
      </w:r>
      <w:r w:rsidR="0068027D" w:rsidRPr="002C5AC6">
        <w:rPr>
          <w:bCs/>
        </w:rPr>
        <w:t xml:space="preserve"> </w:t>
      </w:r>
      <w:r w:rsidRPr="002C5AC6">
        <w:rPr>
          <w:bCs/>
        </w:rPr>
        <w:t>47, ал.</w:t>
      </w:r>
      <w:r w:rsidR="0068027D" w:rsidRPr="002C5AC6">
        <w:rPr>
          <w:bCs/>
        </w:rPr>
        <w:t xml:space="preserve"> </w:t>
      </w:r>
      <w:r w:rsidRPr="002C5AC6">
        <w:rPr>
          <w:bCs/>
        </w:rPr>
        <w:t>1,</w:t>
      </w:r>
      <w:r w:rsidR="00202FC9" w:rsidRPr="002C5AC6">
        <w:rPr>
          <w:bCs/>
        </w:rPr>
        <w:t xml:space="preserve"> </w:t>
      </w:r>
      <w:r w:rsidRPr="002C5AC6">
        <w:rPr>
          <w:bCs/>
        </w:rPr>
        <w:t>т.</w:t>
      </w:r>
      <w:r w:rsidR="0068027D" w:rsidRPr="002C5AC6">
        <w:rPr>
          <w:bCs/>
        </w:rPr>
        <w:t xml:space="preserve"> </w:t>
      </w:r>
      <w:r w:rsidRPr="002C5AC6">
        <w:rPr>
          <w:bCs/>
        </w:rPr>
        <w:t xml:space="preserve">1 от </w:t>
      </w:r>
      <w:r w:rsidR="000449F4" w:rsidRPr="002C5AC6">
        <w:rPr>
          <w:bCs/>
        </w:rPr>
        <w:t xml:space="preserve">ЗОП </w:t>
      </w:r>
      <w:r w:rsidR="0068027D" w:rsidRPr="002C5AC6">
        <w:rPr>
          <w:bCs/>
        </w:rPr>
        <w:t>(отм.).</w:t>
      </w:r>
      <w:r w:rsidRPr="002C5AC6">
        <w:rPr>
          <w:bCs/>
        </w:rPr>
        <w:t xml:space="preserve"> С поставеното изискване за представяне на декларация е създадена необоснована административна тежест пред участниците.</w:t>
      </w:r>
    </w:p>
    <w:p w:rsidR="0068027D" w:rsidRPr="002C5AC6" w:rsidRDefault="00AD0BA6" w:rsidP="0068027D">
      <w:pPr>
        <w:ind w:firstLine="709"/>
        <w:jc w:val="both"/>
        <w:rPr>
          <w:bCs/>
        </w:rPr>
      </w:pPr>
      <w:r w:rsidRPr="002C5AC6">
        <w:t>На 03.11.2014 г. и  на 05.11.2014 г. са постъпили искания за разяснение на условията на обществената поръчка. Разясненията са публикувани в профила на купувача, но не е посочена дата. Със заповед</w:t>
      </w:r>
      <w:r w:rsidRPr="002C5AC6">
        <w:rPr>
          <w:vertAlign w:val="superscript"/>
        </w:rPr>
        <w:footnoteReference w:id="127"/>
      </w:r>
      <w:r w:rsidR="0068027D" w:rsidRPr="002C5AC6">
        <w:t xml:space="preserve"> от възложителя</w:t>
      </w:r>
      <w:r w:rsidRPr="002C5AC6">
        <w:t xml:space="preserve"> е</w:t>
      </w:r>
      <w:r w:rsidRPr="002C5AC6">
        <w:rPr>
          <w:bCs/>
        </w:rPr>
        <w:t xml:space="preserve"> назначена</w:t>
      </w:r>
      <w:r w:rsidR="0068027D" w:rsidRPr="002C5AC6">
        <w:rPr>
          <w:bCs/>
        </w:rPr>
        <w:t xml:space="preserve"> комисия</w:t>
      </w:r>
      <w:r w:rsidRPr="002C5AC6">
        <w:rPr>
          <w:bCs/>
        </w:rPr>
        <w:t xml:space="preserve"> за разглеждане и оценка на офертите, в която са включени две лица с необходимата професионална компетентност, съобразно предмета на обществената поръчка. Протоколът на комисията е утвърден от възложителя, изпратен е на единствения участник и е публикуван в профила на купувача, но </w:t>
      </w:r>
      <w:r w:rsidR="0068027D" w:rsidRPr="002C5AC6">
        <w:rPr>
          <w:bCs/>
        </w:rPr>
        <w:t>отново не е посочена дата</w:t>
      </w:r>
      <w:r w:rsidRPr="002C5AC6">
        <w:rPr>
          <w:vertAlign w:val="superscript"/>
        </w:rPr>
        <w:footnoteReference w:id="128"/>
      </w:r>
      <w:r w:rsidR="0068027D" w:rsidRPr="002C5AC6">
        <w:rPr>
          <w:bCs/>
        </w:rPr>
        <w:t>.</w:t>
      </w:r>
      <w:r w:rsidRPr="002C5AC6">
        <w:rPr>
          <w:bCs/>
        </w:rPr>
        <w:t xml:space="preserve"> </w:t>
      </w:r>
    </w:p>
    <w:p w:rsidR="0068027D" w:rsidRPr="002C5AC6" w:rsidRDefault="00AD0BA6" w:rsidP="0068027D">
      <w:pPr>
        <w:ind w:firstLine="709"/>
        <w:jc w:val="both"/>
        <w:rPr>
          <w:bCs/>
        </w:rPr>
      </w:pPr>
      <w:r w:rsidRPr="002C5AC6">
        <w:rPr>
          <w:bCs/>
        </w:rPr>
        <w:t>Сключен е писмен договор с определения за изпълнител участник, който е публикуван в профила на ку</w:t>
      </w:r>
      <w:r w:rsidR="0068027D" w:rsidRPr="002C5AC6">
        <w:rPr>
          <w:bCs/>
        </w:rPr>
        <w:t>пувача, без да е посочена дата</w:t>
      </w:r>
      <w:r w:rsidRPr="002C5AC6">
        <w:rPr>
          <w:rStyle w:val="FootnoteReference"/>
        </w:rPr>
        <w:footnoteReference w:id="129"/>
      </w:r>
      <w:r w:rsidR="0068027D" w:rsidRPr="002C5AC6">
        <w:rPr>
          <w:bCs/>
        </w:rPr>
        <w:t>.</w:t>
      </w:r>
    </w:p>
    <w:p w:rsidR="00AD0BA6" w:rsidRPr="002C5AC6" w:rsidRDefault="00AD0BA6" w:rsidP="0068027D">
      <w:pPr>
        <w:ind w:firstLine="709"/>
        <w:jc w:val="both"/>
        <w:rPr>
          <w:bCs/>
          <w:i/>
        </w:rPr>
      </w:pPr>
      <w:r w:rsidRPr="002C5AC6">
        <w:rPr>
          <w:bCs/>
          <w:i/>
        </w:rPr>
        <w:t xml:space="preserve">Липсата на дата при публикуването на документи, свързани с </w:t>
      </w:r>
      <w:r w:rsidR="0068027D" w:rsidRPr="002C5AC6">
        <w:rPr>
          <w:bCs/>
          <w:i/>
        </w:rPr>
        <w:t>действия, за извършването на които законът е определил срокове, е пречка з</w:t>
      </w:r>
      <w:r w:rsidRPr="002C5AC6">
        <w:rPr>
          <w:bCs/>
          <w:i/>
        </w:rPr>
        <w:t>а установ</w:t>
      </w:r>
      <w:r w:rsidR="0068027D" w:rsidRPr="002C5AC6">
        <w:rPr>
          <w:bCs/>
          <w:i/>
        </w:rPr>
        <w:t>яване на съответствие</w:t>
      </w:r>
      <w:r w:rsidR="00C0185E" w:rsidRPr="002C5AC6">
        <w:rPr>
          <w:bCs/>
          <w:i/>
        </w:rPr>
        <w:t>то</w:t>
      </w:r>
      <w:r w:rsidR="0068027D" w:rsidRPr="002C5AC6">
        <w:rPr>
          <w:bCs/>
          <w:i/>
        </w:rPr>
        <w:t xml:space="preserve"> с изискванията на правната рамка</w:t>
      </w:r>
      <w:r w:rsidRPr="002C5AC6">
        <w:rPr>
          <w:bCs/>
          <w:i/>
        </w:rPr>
        <w:t xml:space="preserve">. </w:t>
      </w:r>
    </w:p>
    <w:p w:rsidR="00AD0BA6" w:rsidRPr="002C5AC6" w:rsidRDefault="00AD0BA6" w:rsidP="00077C5D">
      <w:pPr>
        <w:ind w:firstLine="709"/>
        <w:jc w:val="both"/>
        <w:rPr>
          <w:i/>
        </w:rPr>
      </w:pPr>
      <w:r w:rsidRPr="002C5AC6">
        <w:rPr>
          <w:i/>
        </w:rPr>
        <w:t>Възлагането е законосъобразно с изключение на посочените несъответствия.</w:t>
      </w:r>
    </w:p>
    <w:p w:rsidR="00D57054" w:rsidRDefault="00D57054" w:rsidP="00077C5D">
      <w:pPr>
        <w:spacing w:before="120" w:after="120"/>
        <w:ind w:firstLine="709"/>
        <w:jc w:val="both"/>
        <w:rPr>
          <w:b/>
          <w:lang w:val="en-US"/>
        </w:rPr>
      </w:pPr>
    </w:p>
    <w:p w:rsidR="00AD0BA6" w:rsidRPr="002C5AC6" w:rsidRDefault="00AD0BA6" w:rsidP="00077C5D">
      <w:pPr>
        <w:spacing w:before="120" w:after="120"/>
        <w:ind w:firstLine="709"/>
        <w:jc w:val="both"/>
        <w:rPr>
          <w:b/>
        </w:rPr>
      </w:pPr>
      <w:r w:rsidRPr="002C5AC6">
        <w:rPr>
          <w:b/>
        </w:rPr>
        <w:t xml:space="preserve">6. Изпълнение на договорите, сключени въз основа на проведени процедури по </w:t>
      </w:r>
      <w:r w:rsidR="000449F4" w:rsidRPr="002C5AC6">
        <w:rPr>
          <w:b/>
        </w:rPr>
        <w:t xml:space="preserve">ЗОП </w:t>
      </w:r>
      <w:r w:rsidR="00077C5D" w:rsidRPr="002C5AC6">
        <w:rPr>
          <w:b/>
        </w:rPr>
        <w:t>(отм.)</w:t>
      </w:r>
    </w:p>
    <w:p w:rsidR="00AD0BA6" w:rsidRPr="002C5AC6" w:rsidRDefault="00AD0BA6" w:rsidP="00077C5D">
      <w:pPr>
        <w:ind w:firstLine="709"/>
        <w:jc w:val="both"/>
        <w:rPr>
          <w:rFonts w:eastAsia="Calibri"/>
          <w:lang w:eastAsia="en-US"/>
        </w:rPr>
      </w:pPr>
      <w:r w:rsidRPr="002C5AC6">
        <w:rPr>
          <w:rFonts w:eastAsia="Calibri"/>
          <w:lang w:eastAsia="en-US"/>
        </w:rPr>
        <w:t>Проведените процедури и възлагания са завърши</w:t>
      </w:r>
      <w:r w:rsidR="009D5523" w:rsidRPr="002C5AC6">
        <w:rPr>
          <w:rFonts w:eastAsia="Calibri"/>
          <w:lang w:eastAsia="en-US"/>
        </w:rPr>
        <w:t xml:space="preserve">ли със сключване на 16 </w:t>
      </w:r>
      <w:r w:rsidRPr="002C5AC6">
        <w:rPr>
          <w:rFonts w:eastAsia="Calibri"/>
          <w:lang w:eastAsia="en-US"/>
        </w:rPr>
        <w:t>договора, като при една обществена поръчка</w:t>
      </w:r>
      <w:r w:rsidRPr="002C5AC6">
        <w:rPr>
          <w:rFonts w:eastAsia="Calibri"/>
          <w:vertAlign w:val="superscript"/>
          <w:lang w:eastAsia="en-US"/>
        </w:rPr>
        <w:t xml:space="preserve"> </w:t>
      </w:r>
      <w:r w:rsidR="009D5523" w:rsidRPr="002C5AC6">
        <w:rPr>
          <w:rFonts w:eastAsia="Calibri"/>
          <w:lang w:eastAsia="en-US"/>
        </w:rPr>
        <w:t xml:space="preserve"> по една</w:t>
      </w:r>
      <w:r w:rsidRPr="002C5AC6">
        <w:rPr>
          <w:rFonts w:eastAsia="Calibri"/>
          <w:lang w:eastAsia="en-US"/>
        </w:rPr>
        <w:t xml:space="preserve"> от обособените позиции не е сключен дого</w:t>
      </w:r>
      <w:r w:rsidR="009D5523" w:rsidRPr="002C5AC6">
        <w:rPr>
          <w:rFonts w:eastAsia="Calibri"/>
          <w:lang w:eastAsia="en-US"/>
        </w:rPr>
        <w:t xml:space="preserve">вор поради прекратяването </w:t>
      </w:r>
      <w:r w:rsidR="00C0185E" w:rsidRPr="002C5AC6">
        <w:rPr>
          <w:rFonts w:eastAsia="Calibri"/>
          <w:lang w:eastAsia="en-US"/>
        </w:rPr>
        <w:t>ѝ</w:t>
      </w:r>
      <w:r w:rsidR="009D5523" w:rsidRPr="002C5AC6">
        <w:rPr>
          <w:rFonts w:eastAsia="Calibri"/>
          <w:lang w:eastAsia="en-US"/>
        </w:rPr>
        <w:t>. Всички договори с</w:t>
      </w:r>
      <w:r w:rsidRPr="002C5AC6">
        <w:rPr>
          <w:rFonts w:eastAsia="Calibri"/>
          <w:lang w:eastAsia="en-US"/>
        </w:rPr>
        <w:t>а изпълн</w:t>
      </w:r>
      <w:r w:rsidR="009D5523" w:rsidRPr="002C5AC6">
        <w:rPr>
          <w:rFonts w:eastAsia="Calibri"/>
          <w:lang w:eastAsia="en-US"/>
        </w:rPr>
        <w:t>явани</w:t>
      </w:r>
      <w:r w:rsidRPr="002C5AC6">
        <w:rPr>
          <w:rFonts w:eastAsia="Calibri"/>
          <w:lang w:eastAsia="en-US"/>
        </w:rPr>
        <w:t xml:space="preserve"> през 2014 г.</w:t>
      </w:r>
      <w:r w:rsidR="009D5523" w:rsidRPr="002C5AC6">
        <w:rPr>
          <w:rFonts w:eastAsia="Calibri"/>
          <w:lang w:eastAsia="en-US"/>
        </w:rPr>
        <w:t>,</w:t>
      </w:r>
      <w:r w:rsidRPr="002C5AC6">
        <w:rPr>
          <w:rFonts w:eastAsia="Calibri"/>
          <w:lang w:eastAsia="en-US"/>
        </w:rPr>
        <w:t xml:space="preserve"> с изключение на</w:t>
      </w:r>
      <w:r w:rsidR="009D5523" w:rsidRPr="002C5AC6">
        <w:t xml:space="preserve"> д</w:t>
      </w:r>
      <w:r w:rsidRPr="002C5AC6">
        <w:t xml:space="preserve">оговор </w:t>
      </w:r>
      <w:r w:rsidR="009D5523" w:rsidRPr="002C5AC6">
        <w:t xml:space="preserve">от </w:t>
      </w:r>
      <w:r w:rsidRPr="002C5AC6">
        <w:t xml:space="preserve">05.08.2014 г. с </w:t>
      </w:r>
      <w:r w:rsidR="009D5523" w:rsidRPr="002C5AC6">
        <w:t>„</w:t>
      </w:r>
      <w:r w:rsidRPr="002C5AC6">
        <w:t>МКД</w:t>
      </w:r>
      <w:r w:rsidR="009D5523" w:rsidRPr="002C5AC6">
        <w:t xml:space="preserve"> – </w:t>
      </w:r>
      <w:r w:rsidRPr="002C5AC6">
        <w:t>96</w:t>
      </w:r>
      <w:r w:rsidR="009D5523" w:rsidRPr="002C5AC6">
        <w:t>“</w:t>
      </w:r>
      <w:r w:rsidRPr="002C5AC6">
        <w:t xml:space="preserve"> ООД </w:t>
      </w:r>
      <w:r w:rsidRPr="002C5AC6">
        <w:rPr>
          <w:rFonts w:eastAsia="Calibri"/>
          <w:lang w:eastAsia="en-US"/>
        </w:rPr>
        <w:t>с предмет отпечатване на книги и бланки за наказателни и граждански дела.</w:t>
      </w:r>
    </w:p>
    <w:p w:rsidR="009D5523" w:rsidRPr="002C5AC6" w:rsidRDefault="009D5523" w:rsidP="002A24D1">
      <w:pPr>
        <w:spacing w:before="120" w:after="120"/>
        <w:ind w:firstLine="709"/>
        <w:jc w:val="both"/>
        <w:rPr>
          <w:rFonts w:eastAsia="Calibri"/>
          <w:lang w:eastAsia="en-US"/>
        </w:rPr>
      </w:pPr>
      <w:r w:rsidRPr="002C5AC6">
        <w:rPr>
          <w:rFonts w:eastAsia="Calibri"/>
          <w:lang w:eastAsia="en-US"/>
        </w:rPr>
        <w:t>При извършените проверки на изпълнението на договорите е установено:</w:t>
      </w:r>
    </w:p>
    <w:p w:rsidR="00AD0BA6" w:rsidRPr="002C5AC6" w:rsidRDefault="00AD0BA6" w:rsidP="009D5523">
      <w:pPr>
        <w:ind w:firstLine="709"/>
        <w:jc w:val="both"/>
        <w:rPr>
          <w:color w:val="000000"/>
          <w:shd w:val="clear" w:color="auto" w:fill="E9FCE9"/>
        </w:rPr>
      </w:pPr>
      <w:r w:rsidRPr="002C5AC6">
        <w:rPr>
          <w:b/>
        </w:rPr>
        <w:t>6.1</w:t>
      </w:r>
      <w:r w:rsidR="009D5523" w:rsidRPr="002C5AC6">
        <w:rPr>
          <w:b/>
        </w:rPr>
        <w:t>.</w:t>
      </w:r>
      <w:r w:rsidRPr="002C5AC6">
        <w:t xml:space="preserve"> П</w:t>
      </w:r>
      <w:r w:rsidR="009D5523" w:rsidRPr="002C5AC6">
        <w:t xml:space="preserve">о договор за обществена поръчка </w:t>
      </w:r>
      <w:r w:rsidRPr="002C5AC6">
        <w:t>от 13.10.2014 г.</w:t>
      </w:r>
      <w:r w:rsidR="009D5523" w:rsidRPr="002C5AC6">
        <w:t xml:space="preserve"> за</w:t>
      </w:r>
      <w:r w:rsidRPr="002C5AC6">
        <w:t xml:space="preserve"> </w:t>
      </w:r>
      <w:r w:rsidR="009D5523" w:rsidRPr="002C5AC6">
        <w:t>д</w:t>
      </w:r>
      <w:r w:rsidRPr="002C5AC6">
        <w:rPr>
          <w:color w:val="000000"/>
          <w:shd w:val="clear" w:color="auto" w:fill="FFFFFF" w:themeFill="background1"/>
        </w:rPr>
        <w:t>оставка на компютърно оборудване, комуникационно оборудване и софтуерни лицензи за сградата на Софийския районен с</w:t>
      </w:r>
      <w:r w:rsidR="009D5523" w:rsidRPr="002C5AC6">
        <w:rPr>
          <w:color w:val="000000"/>
          <w:shd w:val="clear" w:color="auto" w:fill="FFFFFF" w:themeFill="background1"/>
        </w:rPr>
        <w:t>ъд на бул. „Цар Борис III” № 54,</w:t>
      </w:r>
      <w:r w:rsidRPr="002C5AC6">
        <w:rPr>
          <w:color w:val="000000"/>
          <w:shd w:val="clear" w:color="auto" w:fill="FFFFFF" w:themeFill="background1"/>
        </w:rPr>
        <w:t xml:space="preserve"> по І-ва обособена позиция с </w:t>
      </w:r>
      <w:r w:rsidR="009D5523" w:rsidRPr="002C5AC6">
        <w:rPr>
          <w:color w:val="000000"/>
          <w:shd w:val="clear" w:color="auto" w:fill="FFFFFF" w:themeFill="background1"/>
        </w:rPr>
        <w:t>„</w:t>
      </w:r>
      <w:r w:rsidRPr="002C5AC6">
        <w:rPr>
          <w:color w:val="000000"/>
          <w:shd w:val="clear" w:color="auto" w:fill="FFFFFF" w:themeFill="background1"/>
        </w:rPr>
        <w:t>Диджитек</w:t>
      </w:r>
      <w:r w:rsidR="009D5523" w:rsidRPr="002C5AC6">
        <w:rPr>
          <w:color w:val="000000"/>
          <w:shd w:val="clear" w:color="auto" w:fill="FFFFFF" w:themeFill="background1"/>
        </w:rPr>
        <w:t>“</w:t>
      </w:r>
      <w:r w:rsidRPr="002C5AC6">
        <w:rPr>
          <w:color w:val="000000"/>
          <w:shd w:val="clear" w:color="auto" w:fill="FFFFFF" w:themeFill="background1"/>
        </w:rPr>
        <w:t xml:space="preserve"> ООД</w:t>
      </w:r>
      <w:r w:rsidR="00E20F75" w:rsidRPr="00407B6E">
        <w:rPr>
          <w:rStyle w:val="FootnoteReference"/>
        </w:rPr>
        <w:footnoteReference w:id="130"/>
      </w:r>
      <w:r w:rsidR="00E20F75" w:rsidRPr="002C5AC6">
        <w:rPr>
          <w:color w:val="000000"/>
          <w:shd w:val="clear" w:color="auto" w:fill="FFFFFF" w:themeFill="background1"/>
        </w:rPr>
        <w:t>:</w:t>
      </w:r>
      <w:r w:rsidRPr="002C5AC6">
        <w:rPr>
          <w:color w:val="000000"/>
          <w:shd w:val="clear" w:color="auto" w:fill="E9FCE9"/>
        </w:rPr>
        <w:t xml:space="preserve"> </w:t>
      </w:r>
    </w:p>
    <w:p w:rsidR="004F3099" w:rsidRDefault="00AD0BA6" w:rsidP="00AD0BA6">
      <w:pPr>
        <w:ind w:firstLine="709"/>
        <w:jc w:val="both"/>
      </w:pPr>
      <w:r w:rsidRPr="002C5AC6">
        <w:rPr>
          <w:bCs/>
          <w:lang w:eastAsia="en-US"/>
        </w:rPr>
        <w:t xml:space="preserve">а) </w:t>
      </w:r>
      <w:r w:rsidR="00E20F75" w:rsidRPr="002C5AC6">
        <w:t>и</w:t>
      </w:r>
      <w:r w:rsidR="007F757A" w:rsidRPr="002C5AC6">
        <w:t>звършен</w:t>
      </w:r>
      <w:r w:rsidR="00A34A03">
        <w:t xml:space="preserve">ите </w:t>
      </w:r>
      <w:r w:rsidR="00420E23">
        <w:t xml:space="preserve">доставки и </w:t>
      </w:r>
      <w:r w:rsidR="00A34A03">
        <w:t>плащания са в съо</w:t>
      </w:r>
      <w:r w:rsidR="004F3099">
        <w:t>тветствие с условията по договора;</w:t>
      </w:r>
      <w:r w:rsidR="00A34A03">
        <w:t xml:space="preserve"> </w:t>
      </w:r>
    </w:p>
    <w:p w:rsidR="00AD0BA6" w:rsidRPr="002C5AC6" w:rsidRDefault="004F3099" w:rsidP="00AD0BA6">
      <w:pPr>
        <w:ind w:firstLine="709"/>
        <w:jc w:val="both"/>
        <w:rPr>
          <w:bCs/>
          <w:lang w:eastAsia="en-US"/>
        </w:rPr>
      </w:pPr>
      <w:r w:rsidRPr="0036491D">
        <w:t xml:space="preserve">б) </w:t>
      </w:r>
      <w:r w:rsidR="00AD0BA6" w:rsidRPr="0036491D">
        <w:rPr>
          <w:bCs/>
          <w:lang w:eastAsia="en-US"/>
        </w:rPr>
        <w:t xml:space="preserve">изпълнението на договора е приключило на 18.12.2014 г. и информацията по чл. 44, ал. 9 от </w:t>
      </w:r>
      <w:r w:rsidR="000449F4" w:rsidRPr="0036491D">
        <w:rPr>
          <w:bCs/>
          <w:lang w:eastAsia="en-US"/>
        </w:rPr>
        <w:t xml:space="preserve">ЗОП </w:t>
      </w:r>
      <w:r w:rsidR="00E20F75" w:rsidRPr="0036491D">
        <w:rPr>
          <w:bCs/>
          <w:lang w:eastAsia="en-US"/>
        </w:rPr>
        <w:t>(отм.)</w:t>
      </w:r>
      <w:r w:rsidR="00AD0BA6" w:rsidRPr="0036491D">
        <w:rPr>
          <w:bCs/>
          <w:lang w:eastAsia="en-US"/>
        </w:rPr>
        <w:t xml:space="preserve"> е изпратена за публикуване </w:t>
      </w:r>
      <w:r w:rsidR="00E20F75" w:rsidRPr="0036491D">
        <w:rPr>
          <w:bCs/>
          <w:lang w:eastAsia="en-US"/>
        </w:rPr>
        <w:t xml:space="preserve">в АОП </w:t>
      </w:r>
      <w:r w:rsidR="00AD0BA6" w:rsidRPr="0036491D">
        <w:rPr>
          <w:bCs/>
          <w:lang w:eastAsia="en-US"/>
        </w:rPr>
        <w:t>на 19.12.2014 г.</w:t>
      </w:r>
      <w:r w:rsidR="00E20F75" w:rsidRPr="0036491D">
        <w:rPr>
          <w:bCs/>
          <w:lang w:eastAsia="en-US"/>
        </w:rPr>
        <w:t>, с което са спазени определените за това срокове;</w:t>
      </w:r>
      <w:r w:rsidR="00AD0BA6" w:rsidRPr="002C5AC6">
        <w:rPr>
          <w:bCs/>
          <w:lang w:eastAsia="en-US"/>
        </w:rPr>
        <w:t xml:space="preserve"> </w:t>
      </w:r>
    </w:p>
    <w:p w:rsidR="00E20F75" w:rsidRPr="002C5AC6" w:rsidRDefault="00A17C95" w:rsidP="00E20F75">
      <w:pPr>
        <w:ind w:firstLine="709"/>
        <w:jc w:val="both"/>
        <w:rPr>
          <w:bCs/>
          <w:lang w:eastAsia="en-US"/>
        </w:rPr>
      </w:pPr>
      <w:r>
        <w:rPr>
          <w:bCs/>
          <w:lang w:eastAsia="en-US"/>
        </w:rPr>
        <w:t>в</w:t>
      </w:r>
      <w:r w:rsidR="00E20F75" w:rsidRPr="002C5AC6">
        <w:rPr>
          <w:bCs/>
          <w:lang w:eastAsia="en-US"/>
        </w:rPr>
        <w:t xml:space="preserve">) </w:t>
      </w:r>
      <w:r w:rsidR="00AD0BA6" w:rsidRPr="002C5AC6">
        <w:rPr>
          <w:bCs/>
          <w:lang w:eastAsia="en-US"/>
        </w:rPr>
        <w:t>в профила на купувача е публикувана информация за две извършени плащания по дого</w:t>
      </w:r>
      <w:r w:rsidR="00E20F75" w:rsidRPr="002C5AC6">
        <w:rPr>
          <w:bCs/>
          <w:lang w:eastAsia="en-US"/>
        </w:rPr>
        <w:t>вора, но без да е посочена дата</w:t>
      </w:r>
      <w:r w:rsidR="0036491D">
        <w:rPr>
          <w:bCs/>
          <w:lang w:eastAsia="en-US"/>
        </w:rPr>
        <w:t>, което е пречка да се установи спазването на предвидените в ЗОП (отм.) срокове</w:t>
      </w:r>
      <w:r w:rsidR="00E20F75" w:rsidRPr="002C5AC6">
        <w:rPr>
          <w:bCs/>
          <w:lang w:eastAsia="en-US"/>
        </w:rPr>
        <w:t>;</w:t>
      </w:r>
    </w:p>
    <w:p w:rsidR="00A17C95" w:rsidRDefault="00A17C95" w:rsidP="00417D40">
      <w:pPr>
        <w:ind w:firstLine="709"/>
        <w:jc w:val="both"/>
        <w:rPr>
          <w:bCs/>
          <w:lang w:eastAsia="en-US"/>
        </w:rPr>
      </w:pPr>
      <w:r>
        <w:rPr>
          <w:bCs/>
          <w:lang w:eastAsia="en-US"/>
        </w:rPr>
        <w:t xml:space="preserve">г) гаранцията за добро изпълнение е възстановена на 19.12.2014 г. при спазване на сроковете за това; </w:t>
      </w:r>
    </w:p>
    <w:p w:rsidR="00417D40" w:rsidRPr="002C5AC6" w:rsidRDefault="00A17C95" w:rsidP="00417D40">
      <w:pPr>
        <w:ind w:firstLine="709"/>
        <w:jc w:val="both"/>
        <w:rPr>
          <w:bCs/>
          <w:lang w:eastAsia="en-US"/>
        </w:rPr>
      </w:pPr>
      <w:r>
        <w:rPr>
          <w:bCs/>
          <w:lang w:eastAsia="en-US"/>
        </w:rPr>
        <w:t>д</w:t>
      </w:r>
      <w:r w:rsidR="00E20F75" w:rsidRPr="002C5AC6">
        <w:rPr>
          <w:bCs/>
          <w:lang w:eastAsia="en-US"/>
        </w:rPr>
        <w:t xml:space="preserve">) </w:t>
      </w:r>
      <w:r w:rsidR="009B49FF" w:rsidRPr="002C5AC6">
        <w:t>при сключването на договора</w:t>
      </w:r>
      <w:r w:rsidR="009B49FF" w:rsidRPr="002C5AC6">
        <w:rPr>
          <w:bCs/>
          <w:lang w:eastAsia="en-US"/>
        </w:rPr>
        <w:t xml:space="preserve"> </w:t>
      </w:r>
      <w:r w:rsidR="009B49FF" w:rsidRPr="002C5AC6">
        <w:rPr>
          <w:bCs/>
        </w:rPr>
        <w:t xml:space="preserve">в нарушение </w:t>
      </w:r>
      <w:r w:rsidR="009B49FF" w:rsidRPr="002C5AC6">
        <w:t>на чл. 13, ал. 3, т. 3 от  ЗФУКПС</w:t>
      </w:r>
      <w:r w:rsidR="009B49FF" w:rsidRPr="002C5AC6">
        <w:rPr>
          <w:bCs/>
          <w:lang w:eastAsia="en-US"/>
        </w:rPr>
        <w:t xml:space="preserve"> </w:t>
      </w:r>
      <w:r w:rsidR="00E20F75" w:rsidRPr="002C5AC6">
        <w:rPr>
          <w:bCs/>
          <w:lang w:eastAsia="en-US"/>
        </w:rPr>
        <w:t>н</w:t>
      </w:r>
      <w:r w:rsidR="00AD0BA6" w:rsidRPr="002C5AC6">
        <w:t>е е приложена системата на двоен подпис</w:t>
      </w:r>
    </w:p>
    <w:p w:rsidR="00417D40" w:rsidRPr="002C5AC6" w:rsidRDefault="00A17C95" w:rsidP="00417D40">
      <w:pPr>
        <w:ind w:firstLine="709"/>
        <w:jc w:val="both"/>
        <w:rPr>
          <w:bCs/>
          <w:lang w:eastAsia="en-US"/>
        </w:rPr>
      </w:pPr>
      <w:r>
        <w:rPr>
          <w:i/>
        </w:rPr>
        <w:t>И</w:t>
      </w:r>
      <w:r w:rsidR="00AD0BA6" w:rsidRPr="00A17C95">
        <w:rPr>
          <w:i/>
        </w:rPr>
        <w:t xml:space="preserve">зпълнението на договора е </w:t>
      </w:r>
      <w:r>
        <w:rPr>
          <w:i/>
        </w:rPr>
        <w:t xml:space="preserve">в съответствие с </w:t>
      </w:r>
      <w:r w:rsidR="00670208">
        <w:rPr>
          <w:i/>
        </w:rPr>
        <w:t>договорените условия.</w:t>
      </w:r>
    </w:p>
    <w:p w:rsidR="00417D40" w:rsidRPr="002C5AC6" w:rsidRDefault="00AD0BA6" w:rsidP="00417D40">
      <w:pPr>
        <w:spacing w:before="120"/>
        <w:ind w:firstLine="709"/>
        <w:jc w:val="both"/>
      </w:pPr>
      <w:r w:rsidRPr="002C5AC6">
        <w:rPr>
          <w:b/>
        </w:rPr>
        <w:t>6.2.</w:t>
      </w:r>
      <w:r w:rsidRPr="002C5AC6">
        <w:t xml:space="preserve"> П</w:t>
      </w:r>
      <w:r w:rsidR="00417D40" w:rsidRPr="002C5AC6">
        <w:t>о</w:t>
      </w:r>
      <w:r w:rsidRPr="002C5AC6">
        <w:t xml:space="preserve"> договор от 20.10.2014 г. за </w:t>
      </w:r>
      <w:r w:rsidR="00417D40" w:rsidRPr="002C5AC6">
        <w:t>д</w:t>
      </w:r>
      <w:r w:rsidRPr="002C5AC6">
        <w:rPr>
          <w:color w:val="000000"/>
          <w:shd w:val="clear" w:color="auto" w:fill="FFFFFF" w:themeFill="background1"/>
        </w:rPr>
        <w:t>оставка на софтуерни лицензи за IBM Domino Client и IBM Domino Server или „еквивалент”, инсталиране и конфигуриране на IBM Domino Client и IBM Domino Server или „еквивалент</w:t>
      </w:r>
      <w:r w:rsidR="00417D40" w:rsidRPr="002C5AC6">
        <w:rPr>
          <w:color w:val="000000"/>
          <w:shd w:val="clear" w:color="auto" w:fill="FFFFFF" w:themeFill="background1"/>
        </w:rPr>
        <w:t>“</w:t>
      </w:r>
      <w:r w:rsidRPr="002C5AC6">
        <w:rPr>
          <w:shd w:val="clear" w:color="auto" w:fill="FFFFFF" w:themeFill="background1"/>
        </w:rPr>
        <w:t xml:space="preserve"> с</w:t>
      </w:r>
      <w:r w:rsidRPr="002C5AC6">
        <w:t xml:space="preserve"> фирма </w:t>
      </w:r>
      <w:r w:rsidR="00417D40" w:rsidRPr="002C5AC6">
        <w:t>„</w:t>
      </w:r>
      <w:r w:rsidRPr="002C5AC6">
        <w:t>Перфект плюс</w:t>
      </w:r>
      <w:r w:rsidR="00417D40" w:rsidRPr="002C5AC6">
        <w:t>“</w:t>
      </w:r>
      <w:r w:rsidRPr="002C5AC6">
        <w:t xml:space="preserve"> ЕООД</w:t>
      </w:r>
      <w:r w:rsidR="007439BC" w:rsidRPr="002C5AC6">
        <w:rPr>
          <w:rStyle w:val="FootnoteReference"/>
          <w:bCs/>
        </w:rPr>
        <w:footnoteReference w:id="131"/>
      </w:r>
      <w:r w:rsidR="00417D40" w:rsidRPr="002C5AC6">
        <w:t>:</w:t>
      </w:r>
    </w:p>
    <w:p w:rsidR="00417D40" w:rsidRPr="002C5AC6" w:rsidRDefault="00417D40" w:rsidP="00417D40">
      <w:pPr>
        <w:ind w:firstLine="709"/>
        <w:jc w:val="both"/>
        <w:rPr>
          <w:bCs/>
        </w:rPr>
      </w:pPr>
      <w:r w:rsidRPr="002C5AC6">
        <w:t xml:space="preserve">а) </w:t>
      </w:r>
      <w:r w:rsidRPr="002C5AC6">
        <w:rPr>
          <w:bCs/>
        </w:rPr>
        <w:t>н</w:t>
      </w:r>
      <w:r w:rsidR="00AD0BA6" w:rsidRPr="002C5AC6">
        <w:rPr>
          <w:bCs/>
        </w:rPr>
        <w:t xml:space="preserve">а 10.12.2014 г. </w:t>
      </w:r>
      <w:r w:rsidR="00B2192B" w:rsidRPr="002C5AC6">
        <w:t xml:space="preserve">на изпълнителя </w:t>
      </w:r>
      <w:r w:rsidR="005067FA" w:rsidRPr="002C5AC6">
        <w:rPr>
          <w:bCs/>
        </w:rPr>
        <w:t xml:space="preserve">по договора </w:t>
      </w:r>
      <w:r w:rsidR="00B2192B" w:rsidRPr="002C5AC6">
        <w:rPr>
          <w:bCs/>
        </w:rPr>
        <w:t xml:space="preserve">авансово </w:t>
      </w:r>
      <w:r w:rsidR="00AD0BA6" w:rsidRPr="002C5AC6">
        <w:rPr>
          <w:bCs/>
        </w:rPr>
        <w:t xml:space="preserve">е </w:t>
      </w:r>
      <w:r w:rsidR="00B2192B" w:rsidRPr="002C5AC6">
        <w:rPr>
          <w:bCs/>
        </w:rPr>
        <w:t>из</w:t>
      </w:r>
      <w:r w:rsidR="00AD0BA6" w:rsidRPr="002C5AC6">
        <w:rPr>
          <w:bCs/>
        </w:rPr>
        <w:t xml:space="preserve">платена сумата от </w:t>
      </w:r>
      <w:r w:rsidR="00670208">
        <w:rPr>
          <w:bCs/>
        </w:rPr>
        <w:t>43 982 </w:t>
      </w:r>
      <w:r w:rsidR="00AD0BA6" w:rsidRPr="002C5AC6">
        <w:rPr>
          <w:bCs/>
        </w:rPr>
        <w:t xml:space="preserve">лв. </w:t>
      </w:r>
      <w:r w:rsidR="00670208">
        <w:rPr>
          <w:bCs/>
        </w:rPr>
        <w:t>без</w:t>
      </w:r>
      <w:r w:rsidR="00AD0BA6" w:rsidRPr="002C5AC6">
        <w:rPr>
          <w:bCs/>
        </w:rPr>
        <w:t xml:space="preserve"> ДДС </w:t>
      </w:r>
      <w:r w:rsidRPr="002C5AC6">
        <w:rPr>
          <w:bCs/>
        </w:rPr>
        <w:t>на основание</w:t>
      </w:r>
      <w:r w:rsidR="00AD0BA6" w:rsidRPr="002C5AC6">
        <w:rPr>
          <w:bCs/>
        </w:rPr>
        <w:t xml:space="preserve"> издадената фактура</w:t>
      </w:r>
      <w:r w:rsidRPr="002C5AC6">
        <w:rPr>
          <w:bCs/>
        </w:rPr>
        <w:t>. За гарантиране изпълнението на договора от изпълнителя е п</w:t>
      </w:r>
      <w:r w:rsidRPr="002C5AC6">
        <w:t>редставена банкова гаранция за сумата, със срок до 30.11.2015 г.;</w:t>
      </w:r>
    </w:p>
    <w:p w:rsidR="00417D40" w:rsidRPr="002C5AC6" w:rsidRDefault="00417D40" w:rsidP="00417D40">
      <w:pPr>
        <w:ind w:firstLine="709"/>
        <w:jc w:val="both"/>
        <w:rPr>
          <w:bCs/>
        </w:rPr>
      </w:pPr>
      <w:r w:rsidRPr="002C5AC6">
        <w:rPr>
          <w:bCs/>
        </w:rPr>
        <w:t>б) преди</w:t>
      </w:r>
      <w:r w:rsidR="00AD0BA6" w:rsidRPr="002C5AC6">
        <w:rPr>
          <w:bCs/>
        </w:rPr>
        <w:t xml:space="preserve"> </w:t>
      </w:r>
      <w:r w:rsidRPr="002C5AC6">
        <w:rPr>
          <w:bCs/>
        </w:rPr>
        <w:t>извършване на плащането е</w:t>
      </w:r>
      <w:r w:rsidR="00AD0BA6" w:rsidRPr="002C5AC6">
        <w:rPr>
          <w:bCs/>
        </w:rPr>
        <w:t xml:space="preserve"> </w:t>
      </w:r>
      <w:r w:rsidRPr="002C5AC6">
        <w:rPr>
          <w:bCs/>
        </w:rPr>
        <w:t xml:space="preserve">осъществен предварителен контрол и е </w:t>
      </w:r>
      <w:r w:rsidR="00AD0BA6" w:rsidRPr="002C5AC6">
        <w:rPr>
          <w:bCs/>
        </w:rPr>
        <w:t>съставен контролен лист от главния счетоводител в качеството му на финансов контрольор</w:t>
      </w:r>
      <w:r w:rsidRPr="002C5AC6">
        <w:rPr>
          <w:bCs/>
        </w:rPr>
        <w:t>;</w:t>
      </w:r>
    </w:p>
    <w:p w:rsidR="007439BC" w:rsidRPr="002C5AC6" w:rsidRDefault="00417D40" w:rsidP="007439BC">
      <w:pPr>
        <w:ind w:firstLine="709"/>
        <w:jc w:val="both"/>
        <w:rPr>
          <w:bCs/>
        </w:rPr>
      </w:pPr>
      <w:r w:rsidRPr="002C5AC6">
        <w:rPr>
          <w:bCs/>
        </w:rPr>
        <w:t xml:space="preserve">в) </w:t>
      </w:r>
      <w:r w:rsidR="00421E7E" w:rsidRPr="002C5AC6">
        <w:t>при сключване</w:t>
      </w:r>
      <w:r w:rsidR="009B49FF" w:rsidRPr="002C5AC6">
        <w:t>то</w:t>
      </w:r>
      <w:r w:rsidR="00421E7E" w:rsidRPr="002C5AC6">
        <w:t xml:space="preserve"> на договора</w:t>
      </w:r>
      <w:r w:rsidR="00421E7E" w:rsidRPr="002C5AC6">
        <w:rPr>
          <w:bCs/>
        </w:rPr>
        <w:t xml:space="preserve"> в нарушение </w:t>
      </w:r>
      <w:r w:rsidR="00421E7E" w:rsidRPr="002C5AC6">
        <w:t>на чл. 13, ал. 3, т. 3 от  ЗФУКПС</w:t>
      </w:r>
      <w:r w:rsidR="00421E7E" w:rsidRPr="002C5AC6">
        <w:rPr>
          <w:bCs/>
        </w:rPr>
        <w:t xml:space="preserve"> </w:t>
      </w:r>
      <w:r w:rsidRPr="002C5AC6">
        <w:rPr>
          <w:bCs/>
        </w:rPr>
        <w:t>н</w:t>
      </w:r>
      <w:r w:rsidR="00AD0BA6" w:rsidRPr="002C5AC6">
        <w:t>е е приложена системата на двоен подпис.</w:t>
      </w:r>
    </w:p>
    <w:p w:rsidR="00670208" w:rsidRPr="002C5AC6" w:rsidRDefault="00670208" w:rsidP="00670208">
      <w:pPr>
        <w:ind w:firstLine="709"/>
        <w:jc w:val="both"/>
        <w:rPr>
          <w:bCs/>
          <w:lang w:eastAsia="en-US"/>
        </w:rPr>
      </w:pPr>
      <w:r>
        <w:rPr>
          <w:i/>
        </w:rPr>
        <w:t>И</w:t>
      </w:r>
      <w:r w:rsidRPr="00A17C95">
        <w:rPr>
          <w:i/>
        </w:rPr>
        <w:t xml:space="preserve">зпълнението на договора е </w:t>
      </w:r>
      <w:r>
        <w:rPr>
          <w:i/>
        </w:rPr>
        <w:t>в съответствие с договорените условия.</w:t>
      </w:r>
    </w:p>
    <w:p w:rsidR="007439BC" w:rsidRPr="002C5AC6" w:rsidRDefault="00AD0BA6" w:rsidP="007439BC">
      <w:pPr>
        <w:spacing w:before="120"/>
        <w:ind w:firstLine="709"/>
        <w:jc w:val="both"/>
      </w:pPr>
      <w:r w:rsidRPr="002C5AC6">
        <w:rPr>
          <w:b/>
        </w:rPr>
        <w:t>6.3.</w:t>
      </w:r>
      <w:r w:rsidRPr="002C5AC6">
        <w:t xml:space="preserve"> П</w:t>
      </w:r>
      <w:r w:rsidR="007439BC" w:rsidRPr="002C5AC6">
        <w:t>о</w:t>
      </w:r>
      <w:r w:rsidRPr="002C5AC6">
        <w:t xml:space="preserve"> договор от 03.09.2014 г. с предмет </w:t>
      </w:r>
      <w:r w:rsidR="007439BC" w:rsidRPr="002C5AC6">
        <w:t>о</w:t>
      </w:r>
      <w:r w:rsidRPr="002C5AC6">
        <w:t>звучителна и информационна система за съдебните зали за сградата на СРС на бул.</w:t>
      </w:r>
      <w:r w:rsidR="00421E7E" w:rsidRPr="002C5AC6">
        <w:t xml:space="preserve"> </w:t>
      </w:r>
      <w:r w:rsidRPr="002C5AC6">
        <w:t>“Цар Борис III</w:t>
      </w:r>
      <w:r w:rsidR="00421E7E" w:rsidRPr="002C5AC6">
        <w:t>“</w:t>
      </w:r>
      <w:r w:rsidRPr="002C5AC6">
        <w:t xml:space="preserve"> №</w:t>
      </w:r>
      <w:r w:rsidR="00421E7E" w:rsidRPr="002C5AC6">
        <w:t xml:space="preserve"> </w:t>
      </w:r>
      <w:r w:rsidRPr="002C5AC6">
        <w:t xml:space="preserve">54 с </w:t>
      </w:r>
      <w:r w:rsidR="007439BC" w:rsidRPr="002C5AC6">
        <w:t>„</w:t>
      </w:r>
      <w:r w:rsidRPr="002C5AC6">
        <w:t>ЕОС Електроникс</w:t>
      </w:r>
      <w:r w:rsidR="007439BC" w:rsidRPr="002C5AC6">
        <w:t>“ ЕООД</w:t>
      </w:r>
      <w:r w:rsidR="007439BC" w:rsidRPr="002C5AC6">
        <w:rPr>
          <w:bCs/>
          <w:vertAlign w:val="superscript"/>
        </w:rPr>
        <w:footnoteReference w:id="132"/>
      </w:r>
      <w:r w:rsidRPr="002C5AC6">
        <w:t>:</w:t>
      </w:r>
    </w:p>
    <w:p w:rsidR="007439BC" w:rsidRPr="002C5AC6" w:rsidRDefault="007439BC" w:rsidP="007439BC">
      <w:pPr>
        <w:ind w:firstLine="709"/>
        <w:jc w:val="both"/>
      </w:pPr>
      <w:r w:rsidRPr="002C5AC6">
        <w:t xml:space="preserve">а) в съответствие с договореното </w:t>
      </w:r>
      <w:r w:rsidR="00AD59E8" w:rsidRPr="002C5AC6">
        <w:t xml:space="preserve">на изпълнителя </w:t>
      </w:r>
      <w:r w:rsidRPr="002C5AC6">
        <w:t>е и</w:t>
      </w:r>
      <w:r w:rsidR="00AD0BA6" w:rsidRPr="002C5AC6">
        <w:t xml:space="preserve">зплатена сумата </w:t>
      </w:r>
      <w:r w:rsidR="00AD0BA6" w:rsidRPr="00670208">
        <w:t xml:space="preserve">от </w:t>
      </w:r>
      <w:r w:rsidR="00670208" w:rsidRPr="00670208">
        <w:t>3</w:t>
      </w:r>
      <w:r w:rsidR="00670208">
        <w:t>66 358</w:t>
      </w:r>
      <w:r w:rsidR="00AD0BA6" w:rsidRPr="002C5AC6">
        <w:t xml:space="preserve"> лв</w:t>
      </w:r>
      <w:r w:rsidR="00670208">
        <w:t>. без</w:t>
      </w:r>
      <w:r w:rsidR="00AD0BA6" w:rsidRPr="002C5AC6">
        <w:t xml:space="preserve"> ДДС</w:t>
      </w:r>
      <w:r w:rsidRPr="002C5AC6">
        <w:t>;</w:t>
      </w:r>
    </w:p>
    <w:p w:rsidR="007439BC" w:rsidRPr="002C5AC6" w:rsidRDefault="007439BC" w:rsidP="007439BC">
      <w:pPr>
        <w:ind w:firstLine="709"/>
        <w:jc w:val="both"/>
      </w:pPr>
      <w:r w:rsidRPr="002C5AC6">
        <w:t>б) за удостоверяване на получената престация е</w:t>
      </w:r>
      <w:r w:rsidR="00AD0BA6" w:rsidRPr="002C5AC6">
        <w:t xml:space="preserve"> съставен приемо</w:t>
      </w:r>
      <w:r w:rsidRPr="002C5AC6">
        <w:t>-</w:t>
      </w:r>
      <w:r w:rsidR="00AD0BA6" w:rsidRPr="002C5AC6">
        <w:t>предавателен протокол и складова разпи</w:t>
      </w:r>
      <w:r w:rsidRPr="002C5AC6">
        <w:t>ска;</w:t>
      </w:r>
    </w:p>
    <w:p w:rsidR="007439BC" w:rsidRPr="002C5AC6" w:rsidRDefault="007439BC" w:rsidP="007439BC">
      <w:pPr>
        <w:ind w:firstLine="709"/>
        <w:jc w:val="both"/>
        <w:rPr>
          <w:bCs/>
        </w:rPr>
      </w:pPr>
      <w:r w:rsidRPr="002C5AC6">
        <w:lastRenderedPageBreak/>
        <w:t xml:space="preserve">в) </w:t>
      </w:r>
      <w:r w:rsidRPr="002C5AC6">
        <w:rPr>
          <w:bCs/>
        </w:rPr>
        <w:t xml:space="preserve">преди </w:t>
      </w:r>
      <w:r w:rsidRPr="002C5AC6">
        <w:t>поемане на задължението и</w:t>
      </w:r>
      <w:r w:rsidRPr="002C5AC6">
        <w:rPr>
          <w:bCs/>
        </w:rPr>
        <w:t xml:space="preserve"> извършване на плащането е осъществен предварителен контрол и е съставен контролен лист от главния счетоводител в качеството му на финансов контрольор;</w:t>
      </w:r>
    </w:p>
    <w:p w:rsidR="00AD0BA6" w:rsidRPr="002C5AC6" w:rsidRDefault="007439BC" w:rsidP="007439BC">
      <w:pPr>
        <w:ind w:firstLine="709"/>
        <w:jc w:val="both"/>
      </w:pPr>
      <w:r w:rsidRPr="002C5AC6">
        <w:rPr>
          <w:bCs/>
        </w:rPr>
        <w:t xml:space="preserve">г) </w:t>
      </w:r>
      <w:r w:rsidR="00421E7E" w:rsidRPr="002C5AC6">
        <w:rPr>
          <w:bCs/>
        </w:rPr>
        <w:t xml:space="preserve">при </w:t>
      </w:r>
      <w:r w:rsidR="009B49FF" w:rsidRPr="002C5AC6">
        <w:t>сключването</w:t>
      </w:r>
      <w:r w:rsidR="009B49FF" w:rsidRPr="002C5AC6">
        <w:rPr>
          <w:bCs/>
        </w:rPr>
        <w:t xml:space="preserve"> </w:t>
      </w:r>
      <w:r w:rsidR="00421E7E" w:rsidRPr="002C5AC6">
        <w:rPr>
          <w:bCs/>
        </w:rPr>
        <w:t>на договора в нарушение на чл.</w:t>
      </w:r>
      <w:r w:rsidR="005947C6" w:rsidRPr="002C5AC6">
        <w:rPr>
          <w:bCs/>
        </w:rPr>
        <w:t xml:space="preserve"> </w:t>
      </w:r>
      <w:r w:rsidR="00421E7E" w:rsidRPr="002C5AC6">
        <w:rPr>
          <w:bCs/>
        </w:rPr>
        <w:t xml:space="preserve">13, ал. 3, т. 3 от ЗФУКПС </w:t>
      </w:r>
      <w:r w:rsidRPr="002C5AC6">
        <w:rPr>
          <w:bCs/>
        </w:rPr>
        <w:t>н</w:t>
      </w:r>
      <w:r w:rsidR="00AD0BA6" w:rsidRPr="002C5AC6">
        <w:rPr>
          <w:bCs/>
        </w:rPr>
        <w:t>е е приложена системата на двоен подпис</w:t>
      </w:r>
      <w:r w:rsidRPr="002C5AC6">
        <w:rPr>
          <w:bCs/>
        </w:rPr>
        <w:t>;</w:t>
      </w:r>
    </w:p>
    <w:p w:rsidR="00AD0BA6" w:rsidRPr="002C5AC6" w:rsidRDefault="007439BC" w:rsidP="00AD0BA6">
      <w:pPr>
        <w:ind w:firstLine="709"/>
        <w:jc w:val="both"/>
        <w:rPr>
          <w:bCs/>
          <w:lang w:eastAsia="en-US"/>
        </w:rPr>
      </w:pPr>
      <w:r w:rsidRPr="002C5AC6">
        <w:rPr>
          <w:bCs/>
          <w:lang w:eastAsia="en-US"/>
        </w:rPr>
        <w:t>д</w:t>
      </w:r>
      <w:r w:rsidR="00AD0BA6" w:rsidRPr="002C5AC6">
        <w:rPr>
          <w:bCs/>
          <w:lang w:eastAsia="en-US"/>
        </w:rPr>
        <w:t>) на 26.11.2014 г. е направено плащане по договора, информация за което е публикувана в профила на купувача, но без да е посочена дата;</w:t>
      </w:r>
    </w:p>
    <w:p w:rsidR="007439BC" w:rsidRPr="002C5AC6" w:rsidRDefault="007439BC" w:rsidP="007439BC">
      <w:pPr>
        <w:ind w:firstLine="709"/>
        <w:jc w:val="both"/>
        <w:rPr>
          <w:bCs/>
          <w:lang w:eastAsia="en-US"/>
        </w:rPr>
      </w:pPr>
      <w:r w:rsidRPr="002C5AC6">
        <w:rPr>
          <w:bCs/>
          <w:lang w:eastAsia="en-US"/>
        </w:rPr>
        <w:t>е</w:t>
      </w:r>
      <w:r w:rsidR="00AD0BA6" w:rsidRPr="002C5AC6">
        <w:rPr>
          <w:bCs/>
          <w:lang w:eastAsia="en-US"/>
        </w:rPr>
        <w:t xml:space="preserve">) изпълнението на договора е приключило на 26.11.2014 г., като на 09.12.2014 г. е изпратена за публикуване в РОП информация по чл. 44, ал. 9 от </w:t>
      </w:r>
      <w:r w:rsidR="000449F4" w:rsidRPr="002C5AC6">
        <w:rPr>
          <w:bCs/>
          <w:lang w:eastAsia="en-US"/>
        </w:rPr>
        <w:t xml:space="preserve">ЗОП </w:t>
      </w:r>
      <w:r w:rsidRPr="002C5AC6">
        <w:rPr>
          <w:bCs/>
          <w:lang w:eastAsia="en-US"/>
        </w:rPr>
        <w:t>(отм.)</w:t>
      </w:r>
      <w:r w:rsidR="00AD0BA6" w:rsidRPr="002C5AC6">
        <w:rPr>
          <w:bCs/>
          <w:lang w:eastAsia="en-US"/>
        </w:rPr>
        <w:t xml:space="preserve">. </w:t>
      </w:r>
    </w:p>
    <w:p w:rsidR="00670208" w:rsidRPr="002C5AC6" w:rsidRDefault="00670208" w:rsidP="0066269F">
      <w:pPr>
        <w:spacing w:before="120" w:after="120"/>
        <w:ind w:firstLine="709"/>
        <w:jc w:val="both"/>
        <w:rPr>
          <w:bCs/>
          <w:lang w:eastAsia="en-US"/>
        </w:rPr>
      </w:pPr>
      <w:r>
        <w:rPr>
          <w:i/>
        </w:rPr>
        <w:t>И</w:t>
      </w:r>
      <w:r w:rsidRPr="00A17C95">
        <w:rPr>
          <w:i/>
        </w:rPr>
        <w:t xml:space="preserve">зпълнението на договора е </w:t>
      </w:r>
      <w:r>
        <w:rPr>
          <w:i/>
        </w:rPr>
        <w:t>в съответствие с договорените условия.</w:t>
      </w:r>
    </w:p>
    <w:p w:rsidR="00A403F8" w:rsidRPr="002C5AC6" w:rsidRDefault="00AD0BA6" w:rsidP="00A403F8">
      <w:pPr>
        <w:ind w:firstLine="709"/>
        <w:jc w:val="both"/>
      </w:pPr>
      <w:r w:rsidRPr="002C5AC6">
        <w:rPr>
          <w:b/>
        </w:rPr>
        <w:t>6.4.</w:t>
      </w:r>
      <w:r w:rsidRPr="002C5AC6">
        <w:t xml:space="preserve"> П</w:t>
      </w:r>
      <w:r w:rsidR="00A403F8" w:rsidRPr="002C5AC6">
        <w:t xml:space="preserve">о </w:t>
      </w:r>
      <w:r w:rsidRPr="002C5AC6">
        <w:t xml:space="preserve">договор от 08.09.2014 г. с </w:t>
      </w:r>
      <w:r w:rsidR="00A403F8" w:rsidRPr="002C5AC6">
        <w:t>„</w:t>
      </w:r>
      <w:r w:rsidRPr="002C5AC6">
        <w:t>Дилекс</w:t>
      </w:r>
      <w:r w:rsidR="00A403F8" w:rsidRPr="002C5AC6">
        <w:t>“</w:t>
      </w:r>
      <w:r w:rsidRPr="002C5AC6">
        <w:t xml:space="preserve"> ООД за </w:t>
      </w:r>
      <w:r w:rsidR="00A403F8" w:rsidRPr="002C5AC6">
        <w:t>д</w:t>
      </w:r>
      <w:r w:rsidRPr="002C5AC6">
        <w:t xml:space="preserve">оставка на многофункционални устройства за копиране, сканиране и принтиране и предоставяне на услуги по управление на печата в сградата на Софийския районен </w:t>
      </w:r>
      <w:r w:rsidR="00A403F8" w:rsidRPr="002C5AC6">
        <w:t>съд, бул. „Цар Борис III”, № 54</w:t>
      </w:r>
      <w:r w:rsidR="00A403F8" w:rsidRPr="002C5AC6">
        <w:rPr>
          <w:bCs/>
          <w:vertAlign w:val="superscript"/>
        </w:rPr>
        <w:footnoteReference w:id="133"/>
      </w:r>
      <w:r w:rsidRPr="002C5AC6">
        <w:t>:</w:t>
      </w:r>
    </w:p>
    <w:p w:rsidR="00A403F8" w:rsidRPr="002C5AC6" w:rsidRDefault="00A403F8" w:rsidP="00A403F8">
      <w:pPr>
        <w:ind w:firstLine="709"/>
        <w:jc w:val="both"/>
      </w:pPr>
      <w:r w:rsidRPr="002C5AC6">
        <w:t xml:space="preserve">а) в съответствие с договореното </w:t>
      </w:r>
      <w:r w:rsidR="0066269F">
        <w:t xml:space="preserve">на 21.11.2014 г. </w:t>
      </w:r>
      <w:r w:rsidR="005548B2" w:rsidRPr="002C5AC6">
        <w:t xml:space="preserve">на изпълнителя </w:t>
      </w:r>
      <w:r w:rsidRPr="002C5AC6">
        <w:t xml:space="preserve">са </w:t>
      </w:r>
      <w:r w:rsidR="00AD0BA6" w:rsidRPr="002C5AC6">
        <w:t>п</w:t>
      </w:r>
      <w:r w:rsidRPr="002C5AC6">
        <w:t xml:space="preserve">латени </w:t>
      </w:r>
      <w:r w:rsidR="0066269F">
        <w:t>366</w:t>
      </w:r>
      <w:r w:rsidRPr="002C5AC6">
        <w:t> </w:t>
      </w:r>
      <w:r w:rsidR="0066269F">
        <w:t>286</w:t>
      </w:r>
      <w:r w:rsidRPr="002C5AC6">
        <w:t>.</w:t>
      </w:r>
      <w:r w:rsidR="0066269F">
        <w:t>41</w:t>
      </w:r>
      <w:r w:rsidR="00CA1D41">
        <w:t> </w:t>
      </w:r>
      <w:r w:rsidRPr="002C5AC6">
        <w:t xml:space="preserve">лв. </w:t>
      </w:r>
      <w:r w:rsidR="0066269F">
        <w:t>без</w:t>
      </w:r>
      <w:r w:rsidRPr="002C5AC6">
        <w:t xml:space="preserve"> ДДС;</w:t>
      </w:r>
    </w:p>
    <w:p w:rsidR="00A403F8" w:rsidRPr="002C5AC6" w:rsidRDefault="00CA1D41" w:rsidP="00A403F8">
      <w:pPr>
        <w:ind w:firstLine="709"/>
        <w:jc w:val="both"/>
      </w:pPr>
      <w:r>
        <w:t>б) за извършените дос</w:t>
      </w:r>
      <w:r w:rsidR="00A403F8" w:rsidRPr="002C5AC6">
        <w:t>тавки са подписани два приемо-предавателни протоколи</w:t>
      </w:r>
      <w:r w:rsidR="00AD0BA6" w:rsidRPr="002C5AC6">
        <w:t xml:space="preserve"> от 03.11.</w:t>
      </w:r>
      <w:r w:rsidR="00A403F8" w:rsidRPr="002C5AC6">
        <w:t>2014 г.</w:t>
      </w:r>
      <w:r w:rsidR="00AD0BA6" w:rsidRPr="002C5AC6">
        <w:t xml:space="preserve"> и 20.11.2014 г. </w:t>
      </w:r>
      <w:r>
        <w:t>За удостоверяване на о</w:t>
      </w:r>
      <w:r w:rsidR="00AD0BA6" w:rsidRPr="002C5AC6">
        <w:t>конча</w:t>
      </w:r>
      <w:r w:rsidR="007B2283">
        <w:t>телното изпълнение на договора</w:t>
      </w:r>
      <w:r w:rsidR="007B2283">
        <w:rPr>
          <w:rStyle w:val="FootnoteReference"/>
        </w:rPr>
        <w:footnoteReference w:id="134"/>
      </w:r>
      <w:r w:rsidR="000166DF">
        <w:t>,</w:t>
      </w:r>
      <w:r w:rsidR="00AD0BA6" w:rsidRPr="002C5AC6">
        <w:t xml:space="preserve"> </w:t>
      </w:r>
      <w:r w:rsidR="000166DF">
        <w:t xml:space="preserve">в съответствиес с договореното в чл. </w:t>
      </w:r>
      <w:r w:rsidR="00B619BE">
        <w:t xml:space="preserve">6, ал. 1 от договора, </w:t>
      </w:r>
      <w:r w:rsidR="00AD0BA6" w:rsidRPr="002C5AC6">
        <w:t xml:space="preserve">на 29.04.2015 г. </w:t>
      </w:r>
      <w:r w:rsidR="000166DF">
        <w:t xml:space="preserve">между страните </w:t>
      </w:r>
      <w:r w:rsidR="007B2283">
        <w:t xml:space="preserve">е подписан </w:t>
      </w:r>
      <w:r w:rsidR="000166DF">
        <w:t>протокол</w:t>
      </w:r>
      <w:r w:rsidR="00A403F8" w:rsidRPr="002C5AC6">
        <w:t>;</w:t>
      </w:r>
    </w:p>
    <w:p w:rsidR="00A403F8" w:rsidRPr="002C5AC6" w:rsidRDefault="00A403F8" w:rsidP="00A403F8">
      <w:pPr>
        <w:ind w:firstLine="709"/>
        <w:jc w:val="both"/>
      </w:pPr>
      <w:r w:rsidRPr="002C5AC6">
        <w:t xml:space="preserve">в) </w:t>
      </w:r>
      <w:r w:rsidR="00AD0BA6" w:rsidRPr="002C5AC6">
        <w:t>извършен</w:t>
      </w:r>
      <w:r w:rsidRPr="002C5AC6">
        <w:t xml:space="preserve"> е</w:t>
      </w:r>
      <w:r w:rsidR="00AD0BA6" w:rsidRPr="002C5AC6">
        <w:t xml:space="preserve"> предварителен контрол пр</w:t>
      </w:r>
      <w:r w:rsidRPr="002C5AC6">
        <w:t>ед</w:t>
      </w:r>
      <w:r w:rsidR="00AD0BA6" w:rsidRPr="002C5AC6">
        <w:t>и поемане на задължението и извършване на разхода</w:t>
      </w:r>
      <w:r w:rsidRPr="002C5AC6">
        <w:t>, с съответствие с изискванията на чл. 13, ал. 3, т. 5 от ЗФУКПС;</w:t>
      </w:r>
    </w:p>
    <w:p w:rsidR="00A403F8" w:rsidRPr="002C5AC6" w:rsidRDefault="00A403F8" w:rsidP="00A403F8">
      <w:pPr>
        <w:ind w:firstLine="709"/>
        <w:jc w:val="both"/>
        <w:rPr>
          <w:bCs/>
        </w:rPr>
      </w:pPr>
      <w:r w:rsidRPr="002C5AC6">
        <w:rPr>
          <w:bCs/>
        </w:rPr>
        <w:t xml:space="preserve">г) </w:t>
      </w:r>
      <w:r w:rsidR="00AD0BA6" w:rsidRPr="002C5AC6">
        <w:rPr>
          <w:bCs/>
        </w:rPr>
        <w:t xml:space="preserve">при </w:t>
      </w:r>
      <w:r w:rsidRPr="002C5AC6">
        <w:rPr>
          <w:bCs/>
        </w:rPr>
        <w:t>скл</w:t>
      </w:r>
      <w:r w:rsidR="008A2DAE" w:rsidRPr="002C5AC6">
        <w:rPr>
          <w:bCs/>
        </w:rPr>
        <w:t>ю</w:t>
      </w:r>
      <w:r w:rsidRPr="002C5AC6">
        <w:rPr>
          <w:bCs/>
        </w:rPr>
        <w:t>чване</w:t>
      </w:r>
      <w:r w:rsidR="008A2DAE" w:rsidRPr="002C5AC6">
        <w:rPr>
          <w:bCs/>
        </w:rPr>
        <w:t>то</w:t>
      </w:r>
      <w:r w:rsidR="00AD0BA6" w:rsidRPr="002C5AC6">
        <w:rPr>
          <w:bCs/>
        </w:rPr>
        <w:t xml:space="preserve"> на договора в нарушение на чл.</w:t>
      </w:r>
      <w:r w:rsidRPr="002C5AC6">
        <w:rPr>
          <w:bCs/>
        </w:rPr>
        <w:t xml:space="preserve"> </w:t>
      </w:r>
      <w:r w:rsidR="00AD0BA6" w:rsidRPr="002C5AC6">
        <w:rPr>
          <w:bCs/>
        </w:rPr>
        <w:t>13, ал.</w:t>
      </w:r>
      <w:r w:rsidRPr="002C5AC6">
        <w:rPr>
          <w:bCs/>
        </w:rPr>
        <w:t xml:space="preserve"> </w:t>
      </w:r>
      <w:r w:rsidR="00AD0BA6" w:rsidRPr="002C5AC6">
        <w:rPr>
          <w:bCs/>
        </w:rPr>
        <w:t>3,</w:t>
      </w:r>
      <w:r w:rsidR="008A2DAE" w:rsidRPr="002C5AC6">
        <w:rPr>
          <w:bCs/>
        </w:rPr>
        <w:t xml:space="preserve"> </w:t>
      </w:r>
      <w:r w:rsidR="00AD0BA6" w:rsidRPr="002C5AC6">
        <w:rPr>
          <w:bCs/>
        </w:rPr>
        <w:t>т.</w:t>
      </w:r>
      <w:r w:rsidRPr="002C5AC6">
        <w:rPr>
          <w:bCs/>
        </w:rPr>
        <w:t xml:space="preserve"> 3 от ЗФУКПС</w:t>
      </w:r>
      <w:r w:rsidR="008A2DAE" w:rsidRPr="002C5AC6">
        <w:rPr>
          <w:bCs/>
        </w:rPr>
        <w:t xml:space="preserve"> не е приложена системата на двоен подпис</w:t>
      </w:r>
      <w:r w:rsidRPr="002C5AC6">
        <w:rPr>
          <w:bCs/>
        </w:rPr>
        <w:t>.</w:t>
      </w:r>
    </w:p>
    <w:p w:rsidR="00B619BE" w:rsidRPr="002C5AC6" w:rsidRDefault="00B619BE" w:rsidP="00B619BE">
      <w:pPr>
        <w:spacing w:before="120" w:after="120"/>
        <w:ind w:firstLine="709"/>
        <w:jc w:val="both"/>
        <w:rPr>
          <w:bCs/>
          <w:lang w:eastAsia="en-US"/>
        </w:rPr>
      </w:pPr>
      <w:r>
        <w:rPr>
          <w:i/>
        </w:rPr>
        <w:t>И</w:t>
      </w:r>
      <w:r w:rsidRPr="00A17C95">
        <w:rPr>
          <w:i/>
        </w:rPr>
        <w:t xml:space="preserve">зпълнението на договора е </w:t>
      </w:r>
      <w:r>
        <w:rPr>
          <w:i/>
        </w:rPr>
        <w:t>в съответствие с договорените условия.</w:t>
      </w:r>
    </w:p>
    <w:p w:rsidR="00AD0BA6" w:rsidRPr="002C5AC6" w:rsidRDefault="00AD0BA6" w:rsidP="00FB5D89">
      <w:pPr>
        <w:ind w:firstLine="709"/>
        <w:jc w:val="both"/>
      </w:pPr>
      <w:r w:rsidRPr="002C5AC6">
        <w:rPr>
          <w:b/>
        </w:rPr>
        <w:t>6.5</w:t>
      </w:r>
      <w:r w:rsidRPr="002C5AC6">
        <w:t>. П</w:t>
      </w:r>
      <w:r w:rsidR="00A403F8" w:rsidRPr="002C5AC6">
        <w:t>о</w:t>
      </w:r>
      <w:r w:rsidRPr="002C5AC6">
        <w:t xml:space="preserve"> договор от 10.06.2014 г. с </w:t>
      </w:r>
      <w:r w:rsidR="00FB5D89" w:rsidRPr="002C5AC6">
        <w:t>„</w:t>
      </w:r>
      <w:r w:rsidRPr="002C5AC6">
        <w:t>ЧЕЗ Електро България</w:t>
      </w:r>
      <w:r w:rsidR="00FB5D89" w:rsidRPr="002C5AC6">
        <w:t>“ АД</w:t>
      </w:r>
      <w:r w:rsidRPr="002C5AC6">
        <w:t xml:space="preserve"> за доставка на електроенергия за обекти на</w:t>
      </w:r>
      <w:r w:rsidR="00FB5D89" w:rsidRPr="002C5AC6">
        <w:t xml:space="preserve"> Софийски районен съд</w:t>
      </w:r>
      <w:r w:rsidRPr="002C5AC6">
        <w:t xml:space="preserve"> с </w:t>
      </w:r>
      <w:r w:rsidR="00FB5D89" w:rsidRPr="002C5AC6">
        <w:t>местоположение гр. София, бул. „</w:t>
      </w:r>
      <w:r w:rsidRPr="002C5AC6">
        <w:t>Драган Цанков”</w:t>
      </w:r>
      <w:r w:rsidR="00FB5D89" w:rsidRPr="002C5AC6">
        <w:t xml:space="preserve"> </w:t>
      </w:r>
      <w:r w:rsidRPr="002C5AC6">
        <w:t xml:space="preserve">№ 6 и бул. </w:t>
      </w:r>
      <w:r w:rsidR="00FB5D89" w:rsidRPr="002C5AC6">
        <w:t>„Патриарх Евтимий” № 2</w:t>
      </w:r>
      <w:r w:rsidR="00FB5D89" w:rsidRPr="002C5AC6">
        <w:rPr>
          <w:bCs/>
          <w:vertAlign w:val="superscript"/>
        </w:rPr>
        <w:footnoteReference w:id="135"/>
      </w:r>
      <w:r w:rsidR="00FB5D89" w:rsidRPr="002C5AC6">
        <w:t>:</w:t>
      </w:r>
    </w:p>
    <w:p w:rsidR="00FB5D89" w:rsidRPr="002C5AC6" w:rsidRDefault="00FB5D89" w:rsidP="00FB5D89">
      <w:pPr>
        <w:ind w:firstLine="709"/>
        <w:jc w:val="both"/>
      </w:pPr>
      <w:r w:rsidRPr="002C5AC6">
        <w:t>а) д</w:t>
      </w:r>
      <w:r w:rsidR="00AD0BA6" w:rsidRPr="002C5AC6">
        <w:t xml:space="preserve">о 31.12.2014 г. е изразходвана </w:t>
      </w:r>
      <w:r w:rsidR="008A2DAE" w:rsidRPr="002C5AC6">
        <w:t>електро</w:t>
      </w:r>
      <w:r w:rsidRPr="002C5AC6">
        <w:t>енергия за 101 421.28 лв. с ДДС;</w:t>
      </w:r>
    </w:p>
    <w:p w:rsidR="00FB5D89" w:rsidRPr="002C5AC6" w:rsidRDefault="00FB5D89" w:rsidP="00FB5D89">
      <w:pPr>
        <w:ind w:firstLine="709"/>
        <w:jc w:val="both"/>
        <w:rPr>
          <w:bCs/>
        </w:rPr>
      </w:pPr>
      <w:r w:rsidRPr="002C5AC6">
        <w:t xml:space="preserve">б) </w:t>
      </w:r>
      <w:r w:rsidRPr="002C5AC6">
        <w:rPr>
          <w:bCs/>
        </w:rPr>
        <w:t>при поемане на задължението и при извършване на разхода в нарушение на чл. 13, ал. 3, т. 5 от ЗФУКПС</w:t>
      </w:r>
      <w:r w:rsidRPr="002C5AC6">
        <w:t xml:space="preserve"> н</w:t>
      </w:r>
      <w:r w:rsidR="00AD0BA6" w:rsidRPr="002C5AC6">
        <w:rPr>
          <w:bCs/>
        </w:rPr>
        <w:t>е е о</w:t>
      </w:r>
      <w:r w:rsidRPr="002C5AC6">
        <w:rPr>
          <w:bCs/>
        </w:rPr>
        <w:t>съществ</w:t>
      </w:r>
      <w:r w:rsidR="008A2DAE" w:rsidRPr="002C5AC6">
        <w:rPr>
          <w:bCs/>
        </w:rPr>
        <w:t>ява</w:t>
      </w:r>
      <w:r w:rsidRPr="002C5AC6">
        <w:rPr>
          <w:bCs/>
        </w:rPr>
        <w:t>н предварителен контрол;</w:t>
      </w:r>
    </w:p>
    <w:p w:rsidR="00AD0BA6" w:rsidRPr="002C5AC6" w:rsidRDefault="00FB5D89" w:rsidP="00FB5D89">
      <w:pPr>
        <w:ind w:firstLine="709"/>
        <w:jc w:val="both"/>
        <w:rPr>
          <w:bCs/>
        </w:rPr>
      </w:pPr>
      <w:r w:rsidRPr="002C5AC6">
        <w:rPr>
          <w:bCs/>
        </w:rPr>
        <w:t xml:space="preserve">в) </w:t>
      </w:r>
      <w:r w:rsidR="008A2DAE" w:rsidRPr="002C5AC6">
        <w:rPr>
          <w:bCs/>
        </w:rPr>
        <w:t>при сключването на договора</w:t>
      </w:r>
      <w:r w:rsidR="00B619BE">
        <w:rPr>
          <w:bCs/>
        </w:rPr>
        <w:t>,</w:t>
      </w:r>
      <w:r w:rsidR="008A2DAE" w:rsidRPr="002C5AC6">
        <w:rPr>
          <w:bCs/>
        </w:rPr>
        <w:t xml:space="preserve"> в нарушение на изискванията на чл.13, ал.3, т.3 от ЗФУКПС </w:t>
      </w:r>
      <w:r w:rsidRPr="002C5AC6">
        <w:rPr>
          <w:bCs/>
        </w:rPr>
        <w:t>н</w:t>
      </w:r>
      <w:r w:rsidR="00AD0BA6" w:rsidRPr="002C5AC6">
        <w:rPr>
          <w:bCs/>
        </w:rPr>
        <w:t>е е приложена системата на двоен подпис</w:t>
      </w:r>
      <w:r w:rsidRPr="002C5AC6">
        <w:rPr>
          <w:bCs/>
        </w:rPr>
        <w:t>.</w:t>
      </w:r>
    </w:p>
    <w:p w:rsidR="00B619BE" w:rsidRPr="002C5AC6" w:rsidRDefault="00B619BE" w:rsidP="00B619BE">
      <w:pPr>
        <w:spacing w:before="120" w:after="120"/>
        <w:ind w:firstLine="709"/>
        <w:jc w:val="both"/>
        <w:rPr>
          <w:bCs/>
          <w:lang w:eastAsia="en-US"/>
        </w:rPr>
      </w:pPr>
      <w:r>
        <w:rPr>
          <w:i/>
        </w:rPr>
        <w:t>И</w:t>
      </w:r>
      <w:r w:rsidRPr="00A17C95">
        <w:rPr>
          <w:i/>
        </w:rPr>
        <w:t xml:space="preserve">зпълнението на договора е </w:t>
      </w:r>
      <w:r>
        <w:rPr>
          <w:i/>
        </w:rPr>
        <w:t>в съответствие с договорените условия.</w:t>
      </w:r>
    </w:p>
    <w:p w:rsidR="00AD0BA6" w:rsidRPr="002C5AC6" w:rsidRDefault="00AD0BA6" w:rsidP="00FB5D89">
      <w:pPr>
        <w:ind w:firstLine="709"/>
        <w:jc w:val="both"/>
      </w:pPr>
      <w:r w:rsidRPr="002C5AC6">
        <w:rPr>
          <w:b/>
        </w:rPr>
        <w:t>6.6.</w:t>
      </w:r>
      <w:r w:rsidRPr="002C5AC6">
        <w:t xml:space="preserve"> П</w:t>
      </w:r>
      <w:r w:rsidR="00FB5D89" w:rsidRPr="002C5AC6">
        <w:t>о</w:t>
      </w:r>
      <w:r w:rsidRPr="002C5AC6">
        <w:t xml:space="preserve"> </w:t>
      </w:r>
      <w:r w:rsidR="00B16066">
        <w:t xml:space="preserve">сключените на 05.08.2014 г. </w:t>
      </w:r>
      <w:r w:rsidRPr="002C5AC6">
        <w:t>договори</w:t>
      </w:r>
      <w:r w:rsidR="00B16066">
        <w:t xml:space="preserve"> за доставка на канцеларски материали и консумативи за офис-техника</w:t>
      </w:r>
      <w:r w:rsidRPr="002C5AC6">
        <w:t xml:space="preserve"> по 8-те </w:t>
      </w:r>
      <w:r w:rsidR="00B16066">
        <w:t>обособени позиции по обществена поръчка с УИН 01152-2014-0002</w:t>
      </w:r>
      <w:r w:rsidR="00C771E4">
        <w:t xml:space="preserve"> е установено, че </w:t>
      </w:r>
      <w:r w:rsidRPr="002C5AC6">
        <w:rPr>
          <w:color w:val="000000"/>
          <w:shd w:val="clear" w:color="auto" w:fill="FFFFFF" w:themeFill="background1"/>
        </w:rPr>
        <w:t>изпълнение</w:t>
      </w:r>
      <w:r w:rsidR="00FB5D89" w:rsidRPr="002C5AC6">
        <w:rPr>
          <w:color w:val="000000"/>
          <w:shd w:val="clear" w:color="auto" w:fill="FFFFFF" w:themeFill="background1"/>
        </w:rPr>
        <w:t>то е в съответствие с договорените клаузи</w:t>
      </w:r>
      <w:r w:rsidR="00CD0EC4" w:rsidRPr="002C5AC6">
        <w:rPr>
          <w:rStyle w:val="FootnoteReference"/>
        </w:rPr>
        <w:footnoteReference w:id="136"/>
      </w:r>
      <w:r w:rsidR="00CD0EC4" w:rsidRPr="002C5AC6">
        <w:rPr>
          <w:color w:val="000000"/>
          <w:shd w:val="clear" w:color="auto" w:fill="FFFFFF" w:themeFill="background1"/>
        </w:rPr>
        <w:t>.</w:t>
      </w:r>
      <w:r w:rsidRPr="002C5AC6">
        <w:rPr>
          <w:color w:val="000000"/>
          <w:shd w:val="clear" w:color="auto" w:fill="FFFFFF" w:themeFill="background1"/>
        </w:rPr>
        <w:t xml:space="preserve"> </w:t>
      </w:r>
      <w:r w:rsidR="00CD0EC4" w:rsidRPr="002C5AC6">
        <w:rPr>
          <w:color w:val="000000"/>
          <w:shd w:val="clear" w:color="auto" w:fill="FFFFFF" w:themeFill="background1"/>
        </w:rPr>
        <w:t>По</w:t>
      </w:r>
      <w:r w:rsidRPr="002C5AC6">
        <w:rPr>
          <w:color w:val="000000"/>
          <w:shd w:val="clear" w:color="auto" w:fill="FFFFFF" w:themeFill="background1"/>
        </w:rPr>
        <w:t xml:space="preserve"> </w:t>
      </w:r>
      <w:r w:rsidR="00FB5D89" w:rsidRPr="002C5AC6">
        <w:rPr>
          <w:shd w:val="clear" w:color="auto" w:fill="FFFFFF" w:themeFill="background1"/>
        </w:rPr>
        <w:t>д</w:t>
      </w:r>
      <w:r w:rsidRPr="002C5AC6">
        <w:rPr>
          <w:shd w:val="clear" w:color="auto" w:fill="FFFFFF" w:themeFill="background1"/>
        </w:rPr>
        <w:t xml:space="preserve">оговор </w:t>
      </w:r>
      <w:r w:rsidR="00FB5D89" w:rsidRPr="002C5AC6">
        <w:rPr>
          <w:shd w:val="clear" w:color="auto" w:fill="FFFFFF" w:themeFill="background1"/>
        </w:rPr>
        <w:t xml:space="preserve">от </w:t>
      </w:r>
      <w:r w:rsidRPr="002C5AC6">
        <w:rPr>
          <w:shd w:val="clear" w:color="auto" w:fill="FFFFFF" w:themeFill="background1"/>
        </w:rPr>
        <w:t xml:space="preserve">05.08.2014 г. с </w:t>
      </w:r>
      <w:r w:rsidR="00FB5D89" w:rsidRPr="002C5AC6">
        <w:rPr>
          <w:shd w:val="clear" w:color="auto" w:fill="FFFFFF" w:themeFill="background1"/>
        </w:rPr>
        <w:t>„</w:t>
      </w:r>
      <w:r w:rsidRPr="002C5AC6">
        <w:rPr>
          <w:shd w:val="clear" w:color="auto" w:fill="FFFFFF" w:themeFill="background1"/>
        </w:rPr>
        <w:t>МКД</w:t>
      </w:r>
      <w:r w:rsidR="00FB5D89" w:rsidRPr="002C5AC6">
        <w:rPr>
          <w:shd w:val="clear" w:color="auto" w:fill="FFFFFF" w:themeFill="background1"/>
        </w:rPr>
        <w:t xml:space="preserve"> – </w:t>
      </w:r>
      <w:r w:rsidRPr="002C5AC6">
        <w:rPr>
          <w:shd w:val="clear" w:color="auto" w:fill="FFFFFF" w:themeFill="background1"/>
        </w:rPr>
        <w:t>96</w:t>
      </w:r>
      <w:r w:rsidR="00FB5D89" w:rsidRPr="002C5AC6">
        <w:rPr>
          <w:shd w:val="clear" w:color="auto" w:fill="FFFFFF" w:themeFill="background1"/>
        </w:rPr>
        <w:t>“</w:t>
      </w:r>
      <w:r w:rsidRPr="002C5AC6">
        <w:rPr>
          <w:shd w:val="clear" w:color="auto" w:fill="FFFFFF" w:themeFill="background1"/>
        </w:rPr>
        <w:t xml:space="preserve"> ООД </w:t>
      </w:r>
      <w:r w:rsidR="00FB5D89" w:rsidRPr="002C5AC6">
        <w:rPr>
          <w:shd w:val="clear" w:color="auto" w:fill="FFFFFF" w:themeFill="background1"/>
        </w:rPr>
        <w:t>(</w:t>
      </w:r>
      <w:r w:rsidRPr="002C5AC6">
        <w:rPr>
          <w:shd w:val="clear" w:color="auto" w:fill="FFFFFF" w:themeFill="background1"/>
        </w:rPr>
        <w:t>позиция № 8</w:t>
      </w:r>
      <w:r w:rsidR="00FB5D89" w:rsidRPr="002C5AC6">
        <w:rPr>
          <w:shd w:val="clear" w:color="auto" w:fill="FFFFFF" w:themeFill="background1"/>
        </w:rPr>
        <w:t>)</w:t>
      </w:r>
      <w:r w:rsidRPr="002C5AC6">
        <w:rPr>
          <w:shd w:val="clear" w:color="auto" w:fill="FFFFFF" w:themeFill="background1"/>
        </w:rPr>
        <w:t xml:space="preserve"> за отпечатване на к</w:t>
      </w:r>
      <w:r w:rsidRPr="002C5AC6">
        <w:rPr>
          <w:color w:val="000000"/>
          <w:shd w:val="clear" w:color="auto" w:fill="FFFFFF" w:themeFill="background1"/>
        </w:rPr>
        <w:t>ниги, картони и бланки</w:t>
      </w:r>
      <w:r w:rsidR="00FB5D89" w:rsidRPr="002C5AC6">
        <w:rPr>
          <w:color w:val="000000"/>
          <w:shd w:val="clear" w:color="auto" w:fill="FFFFFF" w:themeFill="background1"/>
        </w:rPr>
        <w:t xml:space="preserve"> </w:t>
      </w:r>
      <w:r w:rsidRPr="002C5AC6">
        <w:rPr>
          <w:color w:val="000000"/>
          <w:shd w:val="clear" w:color="auto" w:fill="FFFFFF" w:themeFill="background1"/>
        </w:rPr>
        <w:t>по граждански и наказателни дел</w:t>
      </w:r>
      <w:r w:rsidRPr="002C5AC6">
        <w:rPr>
          <w:shd w:val="clear" w:color="auto" w:fill="FFFFFF" w:themeFill="background1"/>
        </w:rPr>
        <w:t>а</w:t>
      </w:r>
      <w:r w:rsidR="00FB5D89" w:rsidRPr="002C5AC6">
        <w:t xml:space="preserve"> до </w:t>
      </w:r>
      <w:r w:rsidRPr="002C5AC6">
        <w:t>края на 2014 г. н</w:t>
      </w:r>
      <w:r w:rsidR="00FB5D89" w:rsidRPr="002C5AC6">
        <w:t>яма изпълнение</w:t>
      </w:r>
      <w:r w:rsidR="00CD0EC4" w:rsidRPr="002C5AC6">
        <w:t>, тъй като н</w:t>
      </w:r>
      <w:r w:rsidRPr="002C5AC6">
        <w:t xml:space="preserve">е е </w:t>
      </w:r>
      <w:r w:rsidR="00CD0EC4" w:rsidRPr="002C5AC6">
        <w:t>възникнала необходимост</w:t>
      </w:r>
      <w:r w:rsidRPr="002C5AC6">
        <w:t xml:space="preserve"> от отпечатване на т</w:t>
      </w:r>
      <w:r w:rsidR="00CD0EC4" w:rsidRPr="002C5AC6">
        <w:t>акива</w:t>
      </w:r>
      <w:r w:rsidRPr="002C5AC6">
        <w:t xml:space="preserve"> материали</w:t>
      </w:r>
      <w:r w:rsidR="00C771E4">
        <w:t xml:space="preserve"> и не е изготвена заявка</w:t>
      </w:r>
      <w:r w:rsidRPr="002C5AC6">
        <w:t xml:space="preserve">, което </w:t>
      </w:r>
      <w:r w:rsidR="00C771E4">
        <w:t>е условие за извършване на доставка</w:t>
      </w:r>
      <w:r w:rsidRPr="002C5AC6">
        <w:t>.</w:t>
      </w:r>
    </w:p>
    <w:p w:rsidR="00C771E4" w:rsidRPr="002C5AC6" w:rsidRDefault="00C771E4" w:rsidP="00C771E4">
      <w:pPr>
        <w:spacing w:before="120" w:after="120"/>
        <w:ind w:firstLine="709"/>
        <w:jc w:val="both"/>
        <w:rPr>
          <w:bCs/>
          <w:lang w:eastAsia="en-US"/>
        </w:rPr>
      </w:pPr>
      <w:r>
        <w:rPr>
          <w:i/>
        </w:rPr>
        <w:lastRenderedPageBreak/>
        <w:t>И</w:t>
      </w:r>
      <w:r w:rsidRPr="00A17C95">
        <w:rPr>
          <w:i/>
        </w:rPr>
        <w:t>зпълнението на договор</w:t>
      </w:r>
      <w:r>
        <w:rPr>
          <w:i/>
        </w:rPr>
        <w:t xml:space="preserve">ите </w:t>
      </w:r>
      <w:r w:rsidRPr="00A17C95">
        <w:rPr>
          <w:i/>
        </w:rPr>
        <w:t xml:space="preserve">е </w:t>
      </w:r>
      <w:r>
        <w:rPr>
          <w:i/>
        </w:rPr>
        <w:t>в съответствие с договорените условия.</w:t>
      </w:r>
    </w:p>
    <w:p w:rsidR="00AD0BA6" w:rsidRPr="002C5AC6" w:rsidRDefault="00AD0BA6" w:rsidP="00CD0EC4">
      <w:pPr>
        <w:spacing w:before="120" w:after="120"/>
        <w:ind w:firstLine="709"/>
        <w:jc w:val="both"/>
        <w:rPr>
          <w:b/>
          <w:bCs/>
        </w:rPr>
      </w:pPr>
      <w:r w:rsidRPr="002C5AC6">
        <w:rPr>
          <w:b/>
        </w:rPr>
        <w:t xml:space="preserve">7. Изпълнение на договори, сключени въз основа на възлагане чрез </w:t>
      </w:r>
      <w:r w:rsidR="00CD0EC4" w:rsidRPr="002C5AC6">
        <w:rPr>
          <w:b/>
        </w:rPr>
        <w:t>п</w:t>
      </w:r>
      <w:r w:rsidRPr="002C5AC6">
        <w:rPr>
          <w:b/>
        </w:rPr>
        <w:t>ублични покани</w:t>
      </w:r>
    </w:p>
    <w:p w:rsidR="00AD0BA6" w:rsidRPr="002C5AC6" w:rsidRDefault="00AD0BA6" w:rsidP="00CD0EC4">
      <w:pPr>
        <w:ind w:firstLine="709"/>
        <w:jc w:val="both"/>
        <w:rPr>
          <w:bCs/>
        </w:rPr>
      </w:pPr>
      <w:r w:rsidRPr="002C5AC6">
        <w:rPr>
          <w:b/>
        </w:rPr>
        <w:t>7.1.</w:t>
      </w:r>
      <w:r w:rsidR="00481F81" w:rsidRPr="002C5AC6">
        <w:rPr>
          <w:b/>
        </w:rPr>
        <w:t xml:space="preserve"> </w:t>
      </w:r>
      <w:r w:rsidRPr="002C5AC6">
        <w:t xml:space="preserve">При извършената проверка по изпълнението на договор с предмет </w:t>
      </w:r>
      <w:r w:rsidR="00CD0EC4" w:rsidRPr="002C5AC6">
        <w:t>„о</w:t>
      </w:r>
      <w:r w:rsidRPr="002C5AC6">
        <w:t>фициални преводи на съдебни книжа от български на чужди езици и от чужди езици  на български език</w:t>
      </w:r>
      <w:r w:rsidR="00CD0EC4" w:rsidRPr="002C5AC6">
        <w:t>“</w:t>
      </w:r>
      <w:r w:rsidRPr="002C5AC6">
        <w:t xml:space="preserve"> </w:t>
      </w:r>
      <w:r w:rsidR="00CD0EC4" w:rsidRPr="002C5AC6">
        <w:t>с</w:t>
      </w:r>
      <w:r w:rsidRPr="002C5AC6">
        <w:t xml:space="preserve"> фирма </w:t>
      </w:r>
      <w:r w:rsidR="00CD0EC4" w:rsidRPr="002C5AC6">
        <w:t>„</w:t>
      </w:r>
      <w:r w:rsidRPr="002C5AC6">
        <w:t>Диалог</w:t>
      </w:r>
      <w:r w:rsidR="00CD0EC4" w:rsidRPr="002C5AC6">
        <w:t xml:space="preserve"> – </w:t>
      </w:r>
      <w:r w:rsidRPr="002C5AC6">
        <w:t>Плюс</w:t>
      </w:r>
      <w:r w:rsidR="00CD0EC4" w:rsidRPr="002C5AC6">
        <w:t>“</w:t>
      </w:r>
      <w:r w:rsidRPr="002C5AC6">
        <w:t xml:space="preserve"> ООД</w:t>
      </w:r>
      <w:r w:rsidR="00CD0EC4" w:rsidRPr="002C5AC6">
        <w:rPr>
          <w:rStyle w:val="FootnoteReference"/>
          <w:bCs/>
        </w:rPr>
        <w:footnoteReference w:id="137"/>
      </w:r>
      <w:r w:rsidRPr="002C5AC6">
        <w:t xml:space="preserve"> е установено, че </w:t>
      </w:r>
      <w:r w:rsidR="00CD0EC4" w:rsidRPr="002C5AC6">
        <w:t>към 31.12.2014 г. по него са платени 13 830 лв. с ДДС</w:t>
      </w:r>
      <w:r w:rsidR="00481F81" w:rsidRPr="002C5AC6">
        <w:t xml:space="preserve"> и д</w:t>
      </w:r>
      <w:r w:rsidRPr="002C5AC6">
        <w:t>оговорът е в процес на изпълнение.</w:t>
      </w:r>
    </w:p>
    <w:p w:rsidR="00AD0BA6" w:rsidRPr="002C5AC6" w:rsidRDefault="00AD0BA6" w:rsidP="00CD0EC4">
      <w:pPr>
        <w:spacing w:after="120"/>
        <w:ind w:firstLine="709"/>
        <w:jc w:val="both"/>
        <w:rPr>
          <w:bCs/>
          <w:i/>
        </w:rPr>
      </w:pPr>
      <w:r w:rsidRPr="00C771E4">
        <w:rPr>
          <w:bCs/>
          <w:i/>
        </w:rPr>
        <w:t>Изпълнението на договора е в съответствие с клаузите в него.</w:t>
      </w:r>
    </w:p>
    <w:p w:rsidR="00AD0BA6" w:rsidRPr="002C5AC6" w:rsidRDefault="00AD0BA6" w:rsidP="00CD0EC4">
      <w:pPr>
        <w:ind w:firstLine="709"/>
        <w:jc w:val="both"/>
      </w:pPr>
      <w:r w:rsidRPr="002C5AC6">
        <w:rPr>
          <w:b/>
          <w:bCs/>
        </w:rPr>
        <w:t>7.2.</w:t>
      </w:r>
      <w:r w:rsidR="00481F81" w:rsidRPr="002C5AC6">
        <w:rPr>
          <w:b/>
          <w:bCs/>
        </w:rPr>
        <w:t xml:space="preserve"> </w:t>
      </w:r>
      <w:r w:rsidRPr="002C5AC6">
        <w:rPr>
          <w:bCs/>
        </w:rPr>
        <w:t>При проверка</w:t>
      </w:r>
      <w:r w:rsidR="00CD0EC4" w:rsidRPr="002C5AC6">
        <w:rPr>
          <w:bCs/>
        </w:rPr>
        <w:t>та</w:t>
      </w:r>
      <w:r w:rsidRPr="002C5AC6">
        <w:rPr>
          <w:bCs/>
        </w:rPr>
        <w:t xml:space="preserve"> по изпълнението на договор </w:t>
      </w:r>
      <w:r w:rsidR="00CD0EC4" w:rsidRPr="002C5AC6">
        <w:t xml:space="preserve">от 16.12.2014 г. </w:t>
      </w:r>
      <w:r w:rsidRPr="002C5AC6">
        <w:t xml:space="preserve">с предмет </w:t>
      </w:r>
      <w:r w:rsidR="00CD0EC4" w:rsidRPr="002C5AC6">
        <w:t>„с</w:t>
      </w:r>
      <w:r w:rsidRPr="002C5AC6">
        <w:t xml:space="preserve">троително-монтажни и ремонтни работи в сградата на Софийския районен </w:t>
      </w:r>
      <w:r w:rsidR="00CD0EC4" w:rsidRPr="002C5AC6">
        <w:t>съд, бул.„Цар Борис III” № 54” с</w:t>
      </w:r>
      <w:r w:rsidRPr="002C5AC6">
        <w:t xml:space="preserve"> фирма</w:t>
      </w:r>
      <w:r w:rsidR="00CD0EC4" w:rsidRPr="002C5AC6">
        <w:t xml:space="preserve"> „</w:t>
      </w:r>
      <w:r w:rsidRPr="002C5AC6">
        <w:t>Ф</w:t>
      </w:r>
      <w:r w:rsidR="00CD0EC4" w:rsidRPr="002C5AC6">
        <w:t xml:space="preserve"> - строй Груп“ ЕООД </w:t>
      </w:r>
      <w:r w:rsidRPr="002C5AC6">
        <w:t xml:space="preserve">е установено, че </w:t>
      </w:r>
      <w:r w:rsidR="00481F81" w:rsidRPr="002C5AC6">
        <w:t xml:space="preserve">през м. декември </w:t>
      </w:r>
      <w:r w:rsidR="00CD0EC4" w:rsidRPr="002C5AC6">
        <w:t>по до</w:t>
      </w:r>
      <w:r w:rsidR="00481F81" w:rsidRPr="002C5AC6">
        <w:t>г</w:t>
      </w:r>
      <w:r w:rsidR="00CD0EC4" w:rsidRPr="002C5AC6">
        <w:t xml:space="preserve">овора са </w:t>
      </w:r>
      <w:r w:rsidR="00481F81" w:rsidRPr="002C5AC6">
        <w:t>из</w:t>
      </w:r>
      <w:r w:rsidRPr="002C5AC6">
        <w:t>пла</w:t>
      </w:r>
      <w:r w:rsidR="00CD0EC4" w:rsidRPr="002C5AC6">
        <w:t>тени</w:t>
      </w:r>
      <w:r w:rsidR="00FE22D2" w:rsidRPr="002C5AC6">
        <w:t xml:space="preserve"> 223 127,</w:t>
      </w:r>
      <w:r w:rsidRPr="002C5AC6">
        <w:t xml:space="preserve">48 лв. с ДДС. За изплатената сума е открита сметка под условие  в Банка </w:t>
      </w:r>
      <w:r w:rsidR="005067FA" w:rsidRPr="002C5AC6">
        <w:t>„</w:t>
      </w:r>
      <w:r w:rsidRPr="002C5AC6">
        <w:t>Пиреос България</w:t>
      </w:r>
      <w:r w:rsidR="005067FA" w:rsidRPr="002C5AC6">
        <w:t>“</w:t>
      </w:r>
      <w:r w:rsidRPr="002C5AC6">
        <w:t xml:space="preserve"> АД. След </w:t>
      </w:r>
      <w:r w:rsidR="00FE22D2" w:rsidRPr="002C5AC6">
        <w:t>извършена проверка от възложителя е установено напукване на бетонната настилка след демонтиране на дървен под, което е наложило извършването на допълнителни СМР</w:t>
      </w:r>
      <w:r w:rsidR="00FE22D2" w:rsidRPr="002C5AC6">
        <w:rPr>
          <w:rStyle w:val="FootnoteReference"/>
        </w:rPr>
        <w:footnoteReference w:id="138"/>
      </w:r>
      <w:r w:rsidR="00FE22D2" w:rsidRPr="002C5AC6">
        <w:t>.</w:t>
      </w:r>
      <w:r w:rsidRPr="002C5AC6">
        <w:t xml:space="preserve"> </w:t>
      </w:r>
      <w:r w:rsidR="00FE22D2" w:rsidRPr="002C5AC6">
        <w:t>Н</w:t>
      </w:r>
      <w:r w:rsidRPr="002C5AC6">
        <w:t>а 16.12.2014 г. е подписан Акт за действително извършените работи</w:t>
      </w:r>
      <w:r w:rsidR="00FE22D2" w:rsidRPr="002C5AC6">
        <w:rPr>
          <w:rStyle w:val="FootnoteReference"/>
        </w:rPr>
        <w:footnoteReference w:id="139"/>
      </w:r>
      <w:r w:rsidRPr="002C5AC6">
        <w:t xml:space="preserve">. </w:t>
      </w:r>
    </w:p>
    <w:p w:rsidR="00AD0BA6" w:rsidRPr="002C5AC6" w:rsidRDefault="00AD0BA6" w:rsidP="00FE22D2">
      <w:pPr>
        <w:spacing w:after="120"/>
        <w:ind w:firstLine="709"/>
        <w:jc w:val="both"/>
        <w:rPr>
          <w:i/>
        </w:rPr>
      </w:pPr>
      <w:r w:rsidRPr="002C5AC6">
        <w:rPr>
          <w:bCs/>
          <w:i/>
        </w:rPr>
        <w:t>Изпълнението на договора е в съответствие с клаузите в него.</w:t>
      </w:r>
    </w:p>
    <w:p w:rsidR="00AD0BA6" w:rsidRPr="002C5AC6" w:rsidRDefault="00AD0BA6" w:rsidP="00FE22D2">
      <w:pPr>
        <w:ind w:firstLine="709"/>
        <w:jc w:val="both"/>
        <w:rPr>
          <w:bCs/>
        </w:rPr>
      </w:pPr>
      <w:r w:rsidRPr="002C5AC6">
        <w:rPr>
          <w:b/>
        </w:rPr>
        <w:t>7.3.</w:t>
      </w:r>
      <w:r w:rsidRPr="002C5AC6">
        <w:t xml:space="preserve"> При извършената проверка по изпълнението на договор № ПП</w:t>
      </w:r>
      <w:r w:rsidR="00FE22D2" w:rsidRPr="002C5AC6">
        <w:t xml:space="preserve"> </w:t>
      </w:r>
      <w:r w:rsidRPr="002C5AC6">
        <w:t>-</w:t>
      </w:r>
      <w:r w:rsidR="00FE22D2" w:rsidRPr="002C5AC6">
        <w:t xml:space="preserve"> </w:t>
      </w:r>
      <w:r w:rsidRPr="002C5AC6">
        <w:t>01 от 19.11.2014 г. с предме</w:t>
      </w:r>
      <w:r w:rsidR="00FE22D2" w:rsidRPr="002C5AC6">
        <w:t>т и</w:t>
      </w:r>
      <w:r w:rsidRPr="002C5AC6">
        <w:t xml:space="preserve">звършване на доставка, инсталиране, конфигуриране и въвеждане в експлоатация на комуникационно оборудване с фирма </w:t>
      </w:r>
      <w:r w:rsidR="00FE22D2" w:rsidRPr="002C5AC6">
        <w:t>„</w:t>
      </w:r>
      <w:r w:rsidRPr="002C5AC6">
        <w:t>Ван компютри</w:t>
      </w:r>
      <w:r w:rsidR="00FE22D2" w:rsidRPr="002C5AC6">
        <w:t>“ ООД</w:t>
      </w:r>
      <w:r w:rsidR="00A65453" w:rsidRPr="002C5AC6">
        <w:rPr>
          <w:rStyle w:val="FootnoteReference"/>
          <w:bCs/>
        </w:rPr>
        <w:footnoteReference w:id="140"/>
      </w:r>
      <w:r w:rsidR="00FE22D2" w:rsidRPr="002C5AC6">
        <w:t xml:space="preserve"> </w:t>
      </w:r>
      <w:r w:rsidRPr="002C5AC6">
        <w:t>е установ</w:t>
      </w:r>
      <w:r w:rsidR="00FE22D2" w:rsidRPr="002C5AC6">
        <w:t>ено</w:t>
      </w:r>
      <w:r w:rsidRPr="002C5AC6">
        <w:t xml:space="preserve">, че </w:t>
      </w:r>
      <w:r w:rsidR="005067FA" w:rsidRPr="002C5AC6">
        <w:t xml:space="preserve">на изпълнителя са изплатени </w:t>
      </w:r>
      <w:r w:rsidRPr="002C5AC6">
        <w:t>71 950 лв. с ДДС</w:t>
      </w:r>
      <w:r w:rsidR="006D2A49" w:rsidRPr="002C5AC6">
        <w:t>. За удостоверяване на получените стоки и услуги е</w:t>
      </w:r>
      <w:r w:rsidR="00FE22D2" w:rsidRPr="002C5AC6">
        <w:t xml:space="preserve"> с</w:t>
      </w:r>
      <w:r w:rsidRPr="002C5AC6">
        <w:t>ъставен приемо-предавателен протокол от 10.12.2014 г.</w:t>
      </w:r>
      <w:r w:rsidR="00A65453" w:rsidRPr="002C5AC6">
        <w:t>.</w:t>
      </w:r>
    </w:p>
    <w:p w:rsidR="00AD0BA6" w:rsidRPr="002C5AC6" w:rsidRDefault="00AD0BA6" w:rsidP="00A65453">
      <w:pPr>
        <w:spacing w:after="120"/>
        <w:ind w:firstLine="709"/>
        <w:jc w:val="both"/>
        <w:rPr>
          <w:i/>
        </w:rPr>
      </w:pPr>
      <w:r w:rsidRPr="002C5AC6">
        <w:rPr>
          <w:bCs/>
          <w:i/>
        </w:rPr>
        <w:t>Изпълнението на договора е в съответствие с клаузите в него.</w:t>
      </w:r>
    </w:p>
    <w:p w:rsidR="00A65453" w:rsidRPr="002C5AC6" w:rsidRDefault="00AD0BA6" w:rsidP="00A65453">
      <w:pPr>
        <w:ind w:firstLine="720"/>
        <w:jc w:val="both"/>
        <w:rPr>
          <w:i/>
        </w:rPr>
      </w:pPr>
      <w:r w:rsidRPr="002C5AC6">
        <w:rPr>
          <w:i/>
        </w:rPr>
        <w:t xml:space="preserve">Управленските решения във връзка с организацията и провеждането на процедурите и възлаганията на обществените поръчки и изпълнението на договорите, сключени въз основа на тях, </w:t>
      </w:r>
      <w:r w:rsidR="00761E7E" w:rsidRPr="002C5AC6">
        <w:rPr>
          <w:i/>
        </w:rPr>
        <w:t xml:space="preserve">не са осигурили пълно </w:t>
      </w:r>
      <w:r w:rsidRPr="002C5AC6">
        <w:rPr>
          <w:i/>
        </w:rPr>
        <w:t xml:space="preserve">съответствие с </w:t>
      </w:r>
      <w:r w:rsidR="00495314" w:rsidRPr="002C5AC6">
        <w:rPr>
          <w:i/>
        </w:rPr>
        <w:t xml:space="preserve">изискванията на </w:t>
      </w:r>
      <w:r w:rsidRPr="002C5AC6">
        <w:rPr>
          <w:i/>
        </w:rPr>
        <w:t>правната рамка.</w:t>
      </w:r>
    </w:p>
    <w:p w:rsidR="00A65453" w:rsidRPr="002C5AC6" w:rsidRDefault="00AD0BA6" w:rsidP="00A65453">
      <w:pPr>
        <w:ind w:firstLine="720"/>
        <w:jc w:val="both"/>
        <w:rPr>
          <w:i/>
        </w:rPr>
      </w:pPr>
      <w:r w:rsidRPr="002C5AC6">
        <w:rPr>
          <w:rFonts w:eastAsia="Calibri"/>
          <w:i/>
          <w:lang w:eastAsia="en-US"/>
        </w:rPr>
        <w:t>При извършените тестове за</w:t>
      </w:r>
      <w:r w:rsidR="00A65453" w:rsidRPr="002C5AC6">
        <w:rPr>
          <w:rFonts w:eastAsia="Calibri"/>
          <w:i/>
          <w:lang w:eastAsia="en-US"/>
        </w:rPr>
        <w:t xml:space="preserve"> </w:t>
      </w:r>
      <w:r w:rsidR="00A65453" w:rsidRPr="00C771E4">
        <w:rPr>
          <w:rFonts w:eastAsia="Calibri"/>
          <w:b/>
          <w:i/>
          <w:lang w:eastAsia="en-US"/>
        </w:rPr>
        <w:t>изпълнението</w:t>
      </w:r>
      <w:r w:rsidR="00A65453" w:rsidRPr="002C5AC6">
        <w:rPr>
          <w:rFonts w:eastAsia="Calibri"/>
          <w:i/>
          <w:lang w:eastAsia="en-US"/>
        </w:rPr>
        <w:t xml:space="preserve"> на договорите </w:t>
      </w:r>
      <w:r w:rsidRPr="002C5AC6">
        <w:rPr>
          <w:rFonts w:eastAsia="Calibri"/>
          <w:i/>
          <w:lang w:eastAsia="en-US"/>
        </w:rPr>
        <w:t>е установ</w:t>
      </w:r>
      <w:r w:rsidR="00A65453" w:rsidRPr="002C5AC6">
        <w:rPr>
          <w:rFonts w:eastAsia="Calibri"/>
          <w:i/>
          <w:lang w:eastAsia="en-US"/>
        </w:rPr>
        <w:t xml:space="preserve">ено, че извършените разходи са в съответствие с договорените суми, за </w:t>
      </w:r>
      <w:r w:rsidRPr="002C5AC6">
        <w:rPr>
          <w:rFonts w:eastAsia="Calibri"/>
          <w:i/>
          <w:lang w:eastAsia="en-US"/>
        </w:rPr>
        <w:t>авансов</w:t>
      </w:r>
      <w:r w:rsidR="00A65453" w:rsidRPr="002C5AC6">
        <w:rPr>
          <w:rFonts w:eastAsia="Calibri"/>
          <w:i/>
          <w:lang w:eastAsia="en-US"/>
        </w:rPr>
        <w:t>ите</w:t>
      </w:r>
      <w:r w:rsidRPr="002C5AC6">
        <w:rPr>
          <w:rFonts w:eastAsia="Calibri"/>
          <w:i/>
          <w:lang w:eastAsia="en-US"/>
        </w:rPr>
        <w:t xml:space="preserve"> плащан</w:t>
      </w:r>
      <w:r w:rsidR="00A65453" w:rsidRPr="002C5AC6">
        <w:rPr>
          <w:rFonts w:eastAsia="Calibri"/>
          <w:i/>
          <w:lang w:eastAsia="en-US"/>
        </w:rPr>
        <w:t>ия са</w:t>
      </w:r>
      <w:r w:rsidRPr="002C5AC6">
        <w:rPr>
          <w:rFonts w:eastAsia="Calibri"/>
          <w:i/>
          <w:lang w:eastAsia="en-US"/>
        </w:rPr>
        <w:t xml:space="preserve"> представен</w:t>
      </w:r>
      <w:r w:rsidR="00A65453" w:rsidRPr="002C5AC6">
        <w:rPr>
          <w:rFonts w:eastAsia="Calibri"/>
          <w:i/>
          <w:lang w:eastAsia="en-US"/>
        </w:rPr>
        <w:t>и</w:t>
      </w:r>
      <w:r w:rsidRPr="002C5AC6">
        <w:rPr>
          <w:rFonts w:eastAsia="Calibri"/>
          <w:i/>
          <w:lang w:eastAsia="en-US"/>
        </w:rPr>
        <w:t xml:space="preserve"> банков</w:t>
      </w:r>
      <w:r w:rsidR="00A65453" w:rsidRPr="002C5AC6">
        <w:rPr>
          <w:rFonts w:eastAsia="Calibri"/>
          <w:i/>
          <w:lang w:eastAsia="en-US"/>
        </w:rPr>
        <w:t>и</w:t>
      </w:r>
      <w:r w:rsidRPr="002C5AC6">
        <w:rPr>
          <w:rFonts w:eastAsia="Calibri"/>
          <w:i/>
          <w:lang w:eastAsia="en-US"/>
        </w:rPr>
        <w:t xml:space="preserve"> гаранци</w:t>
      </w:r>
      <w:r w:rsidR="00A65453" w:rsidRPr="002C5AC6">
        <w:rPr>
          <w:rFonts w:eastAsia="Calibri"/>
          <w:i/>
          <w:lang w:eastAsia="en-US"/>
        </w:rPr>
        <w:t>и, обезпечаващи</w:t>
      </w:r>
      <w:r w:rsidRPr="002C5AC6">
        <w:rPr>
          <w:rFonts w:eastAsia="Calibri"/>
          <w:i/>
          <w:lang w:eastAsia="en-US"/>
        </w:rPr>
        <w:t xml:space="preserve"> изпълнението им и покриващ</w:t>
      </w:r>
      <w:r w:rsidR="00A65453" w:rsidRPr="002C5AC6">
        <w:rPr>
          <w:rFonts w:eastAsia="Calibri"/>
          <w:i/>
          <w:lang w:eastAsia="en-US"/>
        </w:rPr>
        <w:t>и</w:t>
      </w:r>
      <w:r w:rsidRPr="002C5AC6">
        <w:rPr>
          <w:rFonts w:eastAsia="Calibri"/>
          <w:i/>
          <w:lang w:eastAsia="en-US"/>
        </w:rPr>
        <w:t xml:space="preserve"> цялата сума на изплатените средства</w:t>
      </w:r>
      <w:r w:rsidR="00A65453" w:rsidRPr="002C5AC6">
        <w:rPr>
          <w:rFonts w:eastAsia="Calibri"/>
          <w:i/>
          <w:lang w:eastAsia="en-US"/>
        </w:rPr>
        <w:t xml:space="preserve">. </w:t>
      </w:r>
      <w:r w:rsidRPr="002C5AC6">
        <w:rPr>
          <w:i/>
        </w:rPr>
        <w:t xml:space="preserve">Разходите са извършени след представяне на фактури и подписване на приемателно-предавателни протоколи. </w:t>
      </w:r>
      <w:r w:rsidR="00495314" w:rsidRPr="002C5AC6">
        <w:rPr>
          <w:i/>
        </w:rPr>
        <w:t xml:space="preserve">В нарушение на чл. 13, ал.3, т.3 от ЗФУКПС при </w:t>
      </w:r>
      <w:r w:rsidR="00495314" w:rsidRPr="00C771E4">
        <w:rPr>
          <w:b/>
          <w:i/>
        </w:rPr>
        <w:t>сключването</w:t>
      </w:r>
      <w:r w:rsidR="00495314" w:rsidRPr="002C5AC6">
        <w:rPr>
          <w:i/>
        </w:rPr>
        <w:t xml:space="preserve"> на 5 от договорите</w:t>
      </w:r>
      <w:r w:rsidR="005D1CDD" w:rsidRPr="002C5AC6">
        <w:rPr>
          <w:i/>
        </w:rPr>
        <w:t xml:space="preserve">, респективно </w:t>
      </w:r>
      <w:r w:rsidR="005D1CDD" w:rsidRPr="00C771E4">
        <w:rPr>
          <w:b/>
          <w:i/>
        </w:rPr>
        <w:t>възлагането</w:t>
      </w:r>
      <w:r w:rsidR="005D1CDD" w:rsidRPr="002C5AC6">
        <w:rPr>
          <w:i/>
        </w:rPr>
        <w:t xml:space="preserve"> на обществените поръчки,</w:t>
      </w:r>
      <w:r w:rsidR="00495314" w:rsidRPr="002C5AC6">
        <w:rPr>
          <w:i/>
        </w:rPr>
        <w:t xml:space="preserve"> н</w:t>
      </w:r>
      <w:r w:rsidRPr="002C5AC6">
        <w:rPr>
          <w:i/>
        </w:rPr>
        <w:t>е е прил</w:t>
      </w:r>
      <w:r w:rsidR="00495314" w:rsidRPr="002C5AC6">
        <w:rPr>
          <w:i/>
        </w:rPr>
        <w:t>оже</w:t>
      </w:r>
      <w:r w:rsidRPr="002C5AC6">
        <w:rPr>
          <w:i/>
        </w:rPr>
        <w:t>на системата на двоен подпис</w:t>
      </w:r>
      <w:r w:rsidR="00A65453" w:rsidRPr="002C5AC6">
        <w:rPr>
          <w:i/>
        </w:rPr>
        <w:t>.</w:t>
      </w:r>
    </w:p>
    <w:p w:rsidR="00AD0BA6" w:rsidRPr="002C5AC6" w:rsidRDefault="00AD0BA6" w:rsidP="00A65453">
      <w:pPr>
        <w:ind w:firstLine="720"/>
        <w:jc w:val="both"/>
        <w:rPr>
          <w:i/>
        </w:rPr>
      </w:pPr>
      <w:r w:rsidRPr="002C5AC6">
        <w:rPr>
          <w:i/>
        </w:rPr>
        <w:t xml:space="preserve">В областта на възлагането на обществените поръчки и изпълнението на сключените договори към тях е установено, че не е проследявано изтичането на сроковете за възстановяване на гаранциите за участие по две от процедурите. В резултат </w:t>
      </w:r>
      <w:r w:rsidR="00A65453" w:rsidRPr="002C5AC6">
        <w:rPr>
          <w:i/>
        </w:rPr>
        <w:t>на това</w:t>
      </w:r>
      <w:r w:rsidRPr="002C5AC6">
        <w:rPr>
          <w:i/>
        </w:rPr>
        <w:t xml:space="preserve"> не са спазени сроковете по чл.</w:t>
      </w:r>
      <w:r w:rsidR="00A65453" w:rsidRPr="002C5AC6">
        <w:rPr>
          <w:i/>
        </w:rPr>
        <w:t xml:space="preserve"> </w:t>
      </w:r>
      <w:r w:rsidRPr="002C5AC6">
        <w:rPr>
          <w:i/>
        </w:rPr>
        <w:t xml:space="preserve">62 от </w:t>
      </w:r>
      <w:r w:rsidR="000449F4" w:rsidRPr="002C5AC6">
        <w:rPr>
          <w:i/>
        </w:rPr>
        <w:t xml:space="preserve">ЗОП </w:t>
      </w:r>
      <w:r w:rsidR="00A65453" w:rsidRPr="002C5AC6">
        <w:rPr>
          <w:i/>
        </w:rPr>
        <w:t>(отм.)</w:t>
      </w:r>
      <w:r w:rsidRPr="002C5AC6">
        <w:rPr>
          <w:i/>
        </w:rPr>
        <w:t xml:space="preserve"> за възстановяване на гаранциите за участие</w:t>
      </w:r>
      <w:r w:rsidR="00C771E4">
        <w:rPr>
          <w:i/>
        </w:rPr>
        <w:t>.</w:t>
      </w:r>
      <w:r w:rsidR="00A65453" w:rsidRPr="002C5AC6">
        <w:rPr>
          <w:i/>
        </w:rPr>
        <w:t xml:space="preserve"> </w:t>
      </w:r>
      <w:r w:rsidR="001C4B7D" w:rsidRPr="002C5AC6">
        <w:rPr>
          <w:i/>
        </w:rPr>
        <w:t xml:space="preserve">Система за двоен подпис, която </w:t>
      </w:r>
      <w:r w:rsidR="003B68F0" w:rsidRPr="002C5AC6">
        <w:rPr>
          <w:i/>
        </w:rPr>
        <w:t xml:space="preserve">съгласно ЗФУКПС следва да </w:t>
      </w:r>
      <w:r w:rsidR="001C4B7D" w:rsidRPr="002C5AC6">
        <w:rPr>
          <w:i/>
        </w:rPr>
        <w:t>не разрешава поемането на финансово задължение без подписа на лицето, отговорно за счетоводните записвания</w:t>
      </w:r>
      <w:r w:rsidR="003B68F0" w:rsidRPr="002C5AC6">
        <w:rPr>
          <w:i/>
        </w:rPr>
        <w:t>,</w:t>
      </w:r>
      <w:r w:rsidR="001C4B7D" w:rsidRPr="002C5AC6">
        <w:rPr>
          <w:i/>
        </w:rPr>
        <w:t xml:space="preserve"> не е прилагана последователно и непрекъснато през одитирания период, с което са</w:t>
      </w:r>
      <w:r w:rsidR="003B68F0" w:rsidRPr="002C5AC6">
        <w:rPr>
          <w:i/>
        </w:rPr>
        <w:t xml:space="preserve"> нарушени</w:t>
      </w:r>
      <w:r w:rsidR="001C4B7D" w:rsidRPr="002C5AC6">
        <w:rPr>
          <w:i/>
        </w:rPr>
        <w:t xml:space="preserve"> изискванията на чл. 13, ал. 3, т. 3 от ЗФУКПС и не е осигурен</w:t>
      </w:r>
      <w:r w:rsidR="003B68F0" w:rsidRPr="002C5AC6">
        <w:rPr>
          <w:i/>
        </w:rPr>
        <w:t>а</w:t>
      </w:r>
      <w:r w:rsidR="001C4B7D" w:rsidRPr="002C5AC6">
        <w:rPr>
          <w:i/>
        </w:rPr>
        <w:t xml:space="preserve"> разумна увереност, </w:t>
      </w:r>
      <w:r w:rsidRPr="002C5AC6">
        <w:rPr>
          <w:i/>
        </w:rPr>
        <w:t>че рисковете са ограничени до допустимите граници.</w:t>
      </w:r>
    </w:p>
    <w:p w:rsidR="001C4B7D" w:rsidRPr="002C5AC6" w:rsidRDefault="001C4B7D" w:rsidP="001C4B7D">
      <w:pPr>
        <w:tabs>
          <w:tab w:val="left" w:pos="851"/>
        </w:tabs>
        <w:spacing w:before="120" w:after="120"/>
        <w:ind w:firstLine="720"/>
        <w:jc w:val="both"/>
        <w:rPr>
          <w:b/>
        </w:rPr>
      </w:pPr>
      <w:r w:rsidRPr="002C5AC6">
        <w:rPr>
          <w:b/>
        </w:rPr>
        <w:lastRenderedPageBreak/>
        <w:t>Част четвърта</w:t>
      </w:r>
    </w:p>
    <w:p w:rsidR="001C4B7D" w:rsidRPr="002C5AC6" w:rsidRDefault="001C4B7D" w:rsidP="001C4B7D">
      <w:pPr>
        <w:tabs>
          <w:tab w:val="left" w:pos="851"/>
        </w:tabs>
        <w:spacing w:before="120" w:after="120"/>
        <w:ind w:firstLine="720"/>
        <w:jc w:val="both"/>
        <w:rPr>
          <w:b/>
        </w:rPr>
      </w:pPr>
      <w:r w:rsidRPr="002C5AC6">
        <w:rPr>
          <w:b/>
        </w:rPr>
        <w:t>ЗАКЛЮЧЕНИЕ</w:t>
      </w:r>
    </w:p>
    <w:p w:rsidR="001C4B7D" w:rsidRPr="002C5AC6" w:rsidRDefault="001C4B7D" w:rsidP="001C4B7D">
      <w:pPr>
        <w:tabs>
          <w:tab w:val="left" w:pos="720"/>
        </w:tabs>
        <w:spacing w:after="120"/>
        <w:ind w:firstLine="709"/>
        <w:jc w:val="both"/>
      </w:pPr>
      <w:r w:rsidRPr="002C5AC6">
        <w:t>Въз основа на резултатите от извършения одит за съответствие на СРС за периода от 01.01.2014 г. до 31.12.2014 г.</w:t>
      </w:r>
      <w:r w:rsidR="007414F3" w:rsidRPr="002C5AC6">
        <w:t>,</w:t>
      </w:r>
      <w:r w:rsidRPr="002C5AC6">
        <w:t xml:space="preserve"> представени в одитния доклад и събраните одитни доказателства са налице основания за изразяване </w:t>
      </w:r>
      <w:r w:rsidR="008247E2">
        <w:t>на</w:t>
      </w:r>
      <w:r w:rsidR="008247E2" w:rsidRPr="00DD6877">
        <w:t xml:space="preserve"> следните заключения</w:t>
      </w:r>
      <w:r w:rsidR="008247E2">
        <w:t xml:space="preserve"> за изследваните области:</w:t>
      </w:r>
    </w:p>
    <w:p w:rsidR="00A70E79" w:rsidRPr="008247E2" w:rsidRDefault="008247E2" w:rsidP="00F33F5F">
      <w:pPr>
        <w:ind w:firstLine="709"/>
        <w:jc w:val="both"/>
        <w:rPr>
          <w:rFonts w:eastAsia="Calibri"/>
          <w:i/>
          <w:lang w:eastAsia="en-US"/>
        </w:rPr>
      </w:pPr>
      <w:r w:rsidRPr="008247E2">
        <w:rPr>
          <w:rFonts w:eastAsia="Calibri"/>
          <w:i/>
          <w:lang w:eastAsia="en-US"/>
        </w:rPr>
        <w:t xml:space="preserve">1. </w:t>
      </w:r>
      <w:r w:rsidR="00F919A5" w:rsidRPr="008247E2">
        <w:rPr>
          <w:rFonts w:eastAsia="Calibri"/>
          <w:i/>
          <w:lang w:eastAsia="en-US"/>
        </w:rPr>
        <w:t xml:space="preserve">Област </w:t>
      </w:r>
      <w:r w:rsidR="00A70E79" w:rsidRPr="008247E2">
        <w:rPr>
          <w:rFonts w:eastAsia="Calibri"/>
          <w:i/>
          <w:lang w:eastAsia="en-US"/>
        </w:rPr>
        <w:t>Приходи от съдебни такси – законосъобразност на определянето и събирането на приходите</w:t>
      </w:r>
      <w:r w:rsidR="00F33F5F" w:rsidRPr="008247E2">
        <w:rPr>
          <w:rFonts w:eastAsia="Calibri"/>
          <w:i/>
          <w:lang w:eastAsia="en-US"/>
        </w:rPr>
        <w:t xml:space="preserve"> </w:t>
      </w:r>
    </w:p>
    <w:p w:rsidR="00F33F5F" w:rsidRPr="002C5AC6" w:rsidRDefault="00A70E79" w:rsidP="001421CE">
      <w:pPr>
        <w:ind w:firstLine="720"/>
        <w:jc w:val="both"/>
        <w:rPr>
          <w:rFonts w:eastAsia="Calibri"/>
          <w:lang w:eastAsia="en-US"/>
        </w:rPr>
      </w:pPr>
      <w:r w:rsidRPr="002C5AC6">
        <w:rPr>
          <w:rFonts w:eastAsia="Calibri"/>
          <w:lang w:eastAsia="en-US"/>
        </w:rPr>
        <w:t>Установено е съответствие с действащата нормативна уредба във всички съществен</w:t>
      </w:r>
      <w:r w:rsidR="00686407" w:rsidRPr="002C5AC6">
        <w:rPr>
          <w:rFonts w:eastAsia="Calibri"/>
          <w:lang w:eastAsia="en-US"/>
        </w:rPr>
        <w:t xml:space="preserve">и аспекти при начисляването и </w:t>
      </w:r>
      <w:r w:rsidRPr="002C5AC6">
        <w:rPr>
          <w:rFonts w:eastAsia="Calibri"/>
          <w:lang w:eastAsia="en-US"/>
        </w:rPr>
        <w:t xml:space="preserve">събирането на приходите от съдебни такси. </w:t>
      </w:r>
      <w:r w:rsidR="00F33F5F" w:rsidRPr="002C5AC6">
        <w:rPr>
          <w:rFonts w:eastAsia="Calibri"/>
          <w:lang w:eastAsia="en-US"/>
        </w:rPr>
        <w:t xml:space="preserve">Таксите са определяни в съответствие с действащата тарифа. При започване на съдебното </w:t>
      </w:r>
      <w:r w:rsidR="007414F3" w:rsidRPr="002C5AC6">
        <w:rPr>
          <w:rFonts w:eastAsia="Calibri"/>
          <w:lang w:eastAsia="en-US"/>
        </w:rPr>
        <w:t xml:space="preserve">производство </w:t>
      </w:r>
      <w:r w:rsidR="00F33F5F" w:rsidRPr="002C5AC6">
        <w:rPr>
          <w:rFonts w:eastAsia="Calibri"/>
          <w:lang w:eastAsia="en-US"/>
        </w:rPr>
        <w:t>е извършвана проверка за наличие</w:t>
      </w:r>
      <w:r w:rsidR="007414F3" w:rsidRPr="002C5AC6">
        <w:rPr>
          <w:rFonts w:eastAsia="Calibri"/>
          <w:lang w:eastAsia="en-US"/>
        </w:rPr>
        <w:t>то</w:t>
      </w:r>
      <w:r w:rsidR="00F33F5F" w:rsidRPr="002C5AC6">
        <w:rPr>
          <w:rFonts w:eastAsia="Calibri"/>
          <w:lang w:eastAsia="en-US"/>
        </w:rPr>
        <w:t xml:space="preserve"> на документи, удостоверяващи внесена</w:t>
      </w:r>
      <w:r w:rsidR="007414F3" w:rsidRPr="002C5AC6">
        <w:rPr>
          <w:rFonts w:eastAsia="Calibri"/>
          <w:lang w:eastAsia="en-US"/>
        </w:rPr>
        <w:t>та</w:t>
      </w:r>
      <w:r w:rsidR="00F33F5F" w:rsidRPr="002C5AC6">
        <w:rPr>
          <w:rFonts w:eastAsia="Calibri"/>
          <w:lang w:eastAsia="en-US"/>
        </w:rPr>
        <w:t xml:space="preserve"> такса</w:t>
      </w:r>
      <w:r w:rsidR="007414F3" w:rsidRPr="002C5AC6">
        <w:rPr>
          <w:rFonts w:eastAsia="Calibri"/>
          <w:lang w:eastAsia="en-US"/>
        </w:rPr>
        <w:t xml:space="preserve"> или </w:t>
      </w:r>
      <w:r w:rsidR="00F33F5F" w:rsidRPr="002C5AC6">
        <w:rPr>
          <w:rFonts w:eastAsia="Calibri"/>
          <w:lang w:eastAsia="en-US"/>
        </w:rPr>
        <w:t>наличие</w:t>
      </w:r>
      <w:r w:rsidR="007414F3" w:rsidRPr="002C5AC6">
        <w:rPr>
          <w:rFonts w:eastAsia="Calibri"/>
          <w:lang w:eastAsia="en-US"/>
        </w:rPr>
        <w:t>то</w:t>
      </w:r>
      <w:r w:rsidR="00F33F5F" w:rsidRPr="002C5AC6">
        <w:rPr>
          <w:rFonts w:eastAsia="Calibri"/>
          <w:lang w:eastAsia="en-US"/>
        </w:rPr>
        <w:t xml:space="preserve"> на основания за освобождаване от такса.</w:t>
      </w:r>
    </w:p>
    <w:p w:rsidR="00F33F5F" w:rsidRPr="002C5AC6" w:rsidRDefault="00F33F5F" w:rsidP="001421CE">
      <w:pPr>
        <w:ind w:firstLine="720"/>
        <w:jc w:val="both"/>
        <w:rPr>
          <w:rFonts w:eastAsia="Calibri"/>
          <w:lang w:eastAsia="en-US"/>
        </w:rPr>
      </w:pPr>
      <w:r w:rsidRPr="002C5AC6">
        <w:rPr>
          <w:rFonts w:eastAsia="Calibri"/>
          <w:lang w:eastAsia="en-US"/>
        </w:rPr>
        <w:t>И</w:t>
      </w:r>
      <w:r w:rsidR="00A70E79" w:rsidRPr="002C5AC6">
        <w:rPr>
          <w:rFonts w:eastAsia="Calibri"/>
          <w:lang w:eastAsia="en-US"/>
        </w:rPr>
        <w:t>зискуемата документация за архивиране на делата</w:t>
      </w:r>
      <w:r w:rsidRPr="002C5AC6">
        <w:rPr>
          <w:rFonts w:eastAsia="Calibri"/>
          <w:lang w:eastAsia="en-US"/>
        </w:rPr>
        <w:t xml:space="preserve"> е налична и комплектована.</w:t>
      </w:r>
      <w:r w:rsidR="00A70E79" w:rsidRPr="002C5AC6">
        <w:rPr>
          <w:rFonts w:eastAsia="Calibri"/>
          <w:lang w:eastAsia="en-US"/>
        </w:rPr>
        <w:t xml:space="preserve"> </w:t>
      </w:r>
    </w:p>
    <w:p w:rsidR="00A65FAF" w:rsidRPr="008247E2" w:rsidRDefault="008247E2" w:rsidP="008247E2">
      <w:pPr>
        <w:spacing w:before="120"/>
        <w:ind w:firstLine="720"/>
        <w:jc w:val="both"/>
        <w:rPr>
          <w:rFonts w:eastAsia="Calibri"/>
          <w:i/>
          <w:lang w:eastAsia="en-US"/>
        </w:rPr>
      </w:pPr>
      <w:r w:rsidRPr="008247E2">
        <w:rPr>
          <w:rFonts w:eastAsia="Calibri"/>
          <w:i/>
          <w:lang w:eastAsia="en-US"/>
        </w:rPr>
        <w:t xml:space="preserve">2. </w:t>
      </w:r>
      <w:r w:rsidR="00F919A5" w:rsidRPr="008247E2">
        <w:rPr>
          <w:rFonts w:eastAsia="Calibri"/>
          <w:i/>
          <w:lang w:eastAsia="en-US"/>
        </w:rPr>
        <w:t xml:space="preserve">Област </w:t>
      </w:r>
      <w:r w:rsidR="00A70E79" w:rsidRPr="008247E2">
        <w:rPr>
          <w:rFonts w:eastAsia="Calibri"/>
          <w:i/>
          <w:lang w:eastAsia="en-US"/>
        </w:rPr>
        <w:t>Разходи за заплати, възнаграждения и плащания за персонала</w:t>
      </w:r>
      <w:r w:rsidR="00A65FAF" w:rsidRPr="008247E2">
        <w:rPr>
          <w:rFonts w:eastAsia="Calibri"/>
          <w:i/>
          <w:lang w:eastAsia="en-US"/>
        </w:rPr>
        <w:t xml:space="preserve"> </w:t>
      </w:r>
    </w:p>
    <w:p w:rsidR="00E67767" w:rsidRDefault="008247E2" w:rsidP="00495E72">
      <w:pPr>
        <w:ind w:firstLine="720"/>
        <w:jc w:val="both"/>
        <w:rPr>
          <w:rFonts w:eastAsia="Calibri"/>
          <w:lang w:eastAsia="en-US"/>
        </w:rPr>
      </w:pPr>
      <w:r>
        <w:t>У</w:t>
      </w:r>
      <w:r w:rsidRPr="00717800">
        <w:t xml:space="preserve">становено </w:t>
      </w:r>
      <w:r>
        <w:t xml:space="preserve">е </w:t>
      </w:r>
      <w:r w:rsidRPr="00717800">
        <w:t>несъответствие с изискванията на правната рамка по един или повече съществени аспекти</w:t>
      </w:r>
      <w:r>
        <w:t>.</w:t>
      </w:r>
      <w:r w:rsidRPr="002C5AC6">
        <w:rPr>
          <w:rFonts w:eastAsia="Calibri"/>
          <w:lang w:eastAsia="en-US"/>
        </w:rPr>
        <w:t xml:space="preserve"> </w:t>
      </w:r>
      <w:r w:rsidR="00761E7E" w:rsidRPr="002C5AC6">
        <w:rPr>
          <w:rFonts w:eastAsia="Calibri"/>
          <w:lang w:eastAsia="en-US"/>
        </w:rPr>
        <w:t xml:space="preserve">Определянето и изплащането на възнагражденията на служителите по трудови правоотношения са в съответствие с действащите в съдебната система регламенти. </w:t>
      </w:r>
      <w:r w:rsidR="00495E72">
        <w:rPr>
          <w:rFonts w:eastAsia="Calibri"/>
          <w:lang w:eastAsia="en-US"/>
        </w:rPr>
        <w:t>Осигурено е разделение на отговорностите при въвеждане на информацията в прилаганите програмни продукти за определяне и изплащане на заплати и други възнаграждения. Процедурите за предварителен контрол не са изпълнявани във всички случай преди изплащане</w:t>
      </w:r>
      <w:r w:rsidR="00495E72" w:rsidRPr="00495E72">
        <w:rPr>
          <w:rFonts w:eastAsia="Calibri"/>
          <w:lang w:eastAsia="en-US"/>
        </w:rPr>
        <w:t xml:space="preserve"> </w:t>
      </w:r>
      <w:r w:rsidR="00495E72">
        <w:rPr>
          <w:rFonts w:eastAsia="Calibri"/>
          <w:lang w:eastAsia="en-US"/>
        </w:rPr>
        <w:t>на възнагражденията</w:t>
      </w:r>
      <w:r w:rsidR="00E67767" w:rsidRPr="00D604F3">
        <w:rPr>
          <w:rFonts w:eastAsia="Calibri"/>
          <w:lang w:eastAsia="en-US"/>
        </w:rPr>
        <w:t>.</w:t>
      </w:r>
      <w:r w:rsidR="00495E72" w:rsidRPr="00D604F3">
        <w:rPr>
          <w:rFonts w:eastAsia="Calibri"/>
          <w:lang w:eastAsia="en-US"/>
        </w:rPr>
        <w:t xml:space="preserve"> </w:t>
      </w:r>
      <w:r w:rsidR="00E67767" w:rsidRPr="00D604F3">
        <w:rPr>
          <w:rFonts w:eastAsia="Calibri"/>
          <w:lang w:eastAsia="en-US"/>
        </w:rPr>
        <w:t>П</w:t>
      </w:r>
      <w:r w:rsidR="00E67767" w:rsidRPr="00D604F3">
        <w:t xml:space="preserve">ри документиране полагането и отчитането на извънредния труд са установени </w:t>
      </w:r>
      <w:r w:rsidR="00F51D15" w:rsidRPr="00D604F3">
        <w:t xml:space="preserve">пропуски </w:t>
      </w:r>
      <w:r w:rsidR="00E67767" w:rsidRPr="00D604F3">
        <w:t xml:space="preserve">при попълването на </w:t>
      </w:r>
      <w:r w:rsidR="00E67767" w:rsidRPr="00D604F3">
        <w:rPr>
          <w:rFonts w:eastAsia="Calibri"/>
          <w:lang w:eastAsia="en-US"/>
        </w:rPr>
        <w:t>Книгата за извънредния труд</w:t>
      </w:r>
      <w:r w:rsidR="00F51D15" w:rsidRPr="00D604F3">
        <w:rPr>
          <w:rFonts w:eastAsia="Calibri"/>
          <w:lang w:eastAsia="en-US"/>
        </w:rPr>
        <w:t>, както и</w:t>
      </w:r>
      <w:r w:rsidR="00F51D15" w:rsidRPr="00D604F3">
        <w:rPr>
          <w:shd w:val="clear" w:color="auto" w:fill="FEFEFE"/>
        </w:rPr>
        <w:t xml:space="preserve"> полагане на извънреден </w:t>
      </w:r>
      <w:r w:rsidR="00F51D15" w:rsidRPr="002C5AC6">
        <w:rPr>
          <w:shd w:val="clear" w:color="auto" w:fill="FEFEFE"/>
        </w:rPr>
        <w:t xml:space="preserve">труд </w:t>
      </w:r>
      <w:r w:rsidR="00F51D15">
        <w:rPr>
          <w:shd w:val="clear" w:color="auto" w:fill="FEFEFE"/>
        </w:rPr>
        <w:t>над</w:t>
      </w:r>
      <w:r w:rsidR="00F51D15" w:rsidRPr="002C5AC6">
        <w:rPr>
          <w:shd w:val="clear" w:color="auto" w:fill="FEFEFE"/>
        </w:rPr>
        <w:t xml:space="preserve"> максимално допустимите седмични и месечни </w:t>
      </w:r>
      <w:r w:rsidR="0083419D">
        <w:rPr>
          <w:shd w:val="clear" w:color="auto" w:fill="FEFEFE"/>
        </w:rPr>
        <w:t>ограничения</w:t>
      </w:r>
      <w:r w:rsidR="00F51D15" w:rsidRPr="002C5AC6">
        <w:rPr>
          <w:shd w:val="clear" w:color="auto" w:fill="FEFEFE"/>
        </w:rPr>
        <w:t xml:space="preserve">, </w:t>
      </w:r>
      <w:r w:rsidR="00F51D15">
        <w:rPr>
          <w:shd w:val="clear" w:color="auto" w:fill="FEFEFE"/>
        </w:rPr>
        <w:t xml:space="preserve">определени в Кодекса на труда, без да са надвишени годишните </w:t>
      </w:r>
      <w:r w:rsidR="0083419D">
        <w:rPr>
          <w:shd w:val="clear" w:color="auto" w:fill="FEFEFE"/>
        </w:rPr>
        <w:t>размери</w:t>
      </w:r>
      <w:r w:rsidR="00F51D15" w:rsidRPr="002C5AC6">
        <w:rPr>
          <w:shd w:val="clear" w:color="auto" w:fill="FEFEFE"/>
        </w:rPr>
        <w:t>.</w:t>
      </w:r>
    </w:p>
    <w:p w:rsidR="009F7146" w:rsidRPr="00D604F3" w:rsidRDefault="00D604F3" w:rsidP="00D604F3">
      <w:pPr>
        <w:spacing w:before="120"/>
        <w:ind w:firstLine="720"/>
        <w:jc w:val="both"/>
        <w:rPr>
          <w:rFonts w:eastAsia="Calibri"/>
          <w:i/>
          <w:lang w:eastAsia="en-US"/>
        </w:rPr>
      </w:pPr>
      <w:r w:rsidRPr="00D604F3">
        <w:rPr>
          <w:rFonts w:eastAsia="Calibri"/>
          <w:i/>
          <w:lang w:eastAsia="en-US"/>
        </w:rPr>
        <w:t xml:space="preserve">3. </w:t>
      </w:r>
      <w:r w:rsidR="009F7146" w:rsidRPr="00D604F3">
        <w:rPr>
          <w:rFonts w:eastAsia="Calibri"/>
          <w:i/>
          <w:lang w:eastAsia="en-US"/>
        </w:rPr>
        <w:t xml:space="preserve">Област Разходи за вещи лица </w:t>
      </w:r>
    </w:p>
    <w:p w:rsidR="00E1641D" w:rsidRPr="002C5AC6" w:rsidRDefault="00A16345" w:rsidP="00A16345">
      <w:pPr>
        <w:ind w:firstLine="709"/>
        <w:jc w:val="both"/>
        <w:rPr>
          <w:rFonts w:eastAsia="Calibri"/>
          <w:lang w:eastAsia="en-US"/>
        </w:rPr>
      </w:pPr>
      <w:r w:rsidRPr="002C5AC6">
        <w:rPr>
          <w:rFonts w:eastAsia="Calibri"/>
          <w:lang w:eastAsia="en-US"/>
        </w:rPr>
        <w:t xml:space="preserve">През одитирания период </w:t>
      </w:r>
      <w:r w:rsidR="00F51D15">
        <w:rPr>
          <w:rFonts w:eastAsia="Calibri"/>
          <w:lang w:eastAsia="en-US"/>
        </w:rPr>
        <w:t>д</w:t>
      </w:r>
      <w:r w:rsidR="00D35D06" w:rsidRPr="002C5AC6">
        <w:rPr>
          <w:rFonts w:eastAsia="Calibri"/>
          <w:lang w:eastAsia="en-US"/>
        </w:rPr>
        <w:t>ейността не е адекватно и изчерпателно регламетнирана в</w:t>
      </w:r>
      <w:r w:rsidR="00F055DB">
        <w:rPr>
          <w:rFonts w:eastAsia="Calibri"/>
          <w:lang w:eastAsia="en-US"/>
        </w:rPr>
        <w:t xml:space="preserve"> нормативните и</w:t>
      </w:r>
      <w:r w:rsidR="00D35D06" w:rsidRPr="002C5AC6">
        <w:rPr>
          <w:rFonts w:eastAsia="Calibri"/>
          <w:lang w:eastAsia="en-US"/>
        </w:rPr>
        <w:t xml:space="preserve"> вътрешните актове, което не осигурява своевременно разкриване и докладване на несъответствия. </w:t>
      </w:r>
      <w:r w:rsidRPr="002C5AC6">
        <w:rPr>
          <w:rFonts w:eastAsia="Calibri"/>
          <w:lang w:eastAsia="en-US"/>
        </w:rPr>
        <w:t>Контролните процедури относно определянето и изплащането на възнагражденията са действали непрекъснато и последователно през одитирания период</w:t>
      </w:r>
      <w:r w:rsidR="009F7B77" w:rsidRPr="002C5AC6">
        <w:rPr>
          <w:rFonts w:eastAsia="Calibri"/>
          <w:lang w:eastAsia="en-US"/>
        </w:rPr>
        <w:t xml:space="preserve">, с изключение на процедурата за </w:t>
      </w:r>
      <w:r w:rsidR="00A37DC9" w:rsidRPr="002C5AC6">
        <w:rPr>
          <w:rFonts w:eastAsia="Calibri"/>
          <w:lang w:eastAsia="en-US"/>
        </w:rPr>
        <w:t xml:space="preserve">прилагане на системата на </w:t>
      </w:r>
      <w:r w:rsidR="009F7B77" w:rsidRPr="002C5AC6">
        <w:rPr>
          <w:rFonts w:eastAsia="Calibri"/>
          <w:lang w:eastAsia="en-US"/>
        </w:rPr>
        <w:t>двоен подпис пр</w:t>
      </w:r>
      <w:r w:rsidR="0083419D">
        <w:rPr>
          <w:rFonts w:eastAsia="Calibri"/>
          <w:lang w:eastAsia="en-US"/>
        </w:rPr>
        <w:t>и касови плащания, при които разходните касови ордери</w:t>
      </w:r>
      <w:r w:rsidR="009F7B77" w:rsidRPr="002C5AC6">
        <w:rPr>
          <w:rFonts w:eastAsia="Calibri"/>
          <w:lang w:eastAsia="en-US"/>
        </w:rPr>
        <w:t xml:space="preserve"> не са подписвани </w:t>
      </w:r>
      <w:r w:rsidR="00A37DC9" w:rsidRPr="002C5AC6">
        <w:rPr>
          <w:rFonts w:eastAsia="Calibri"/>
          <w:lang w:eastAsia="en-US"/>
        </w:rPr>
        <w:t xml:space="preserve">на реквизита </w:t>
      </w:r>
      <w:r w:rsidR="009F7B77" w:rsidRPr="002C5AC6">
        <w:rPr>
          <w:rFonts w:eastAsia="Calibri"/>
          <w:lang w:eastAsia="en-US"/>
        </w:rPr>
        <w:t xml:space="preserve">за </w:t>
      </w:r>
      <w:r w:rsidR="00A37DC9" w:rsidRPr="002C5AC6">
        <w:rPr>
          <w:rFonts w:eastAsia="Calibri"/>
          <w:lang w:eastAsia="en-US"/>
        </w:rPr>
        <w:t>„</w:t>
      </w:r>
      <w:r w:rsidR="009F7B77" w:rsidRPr="002C5AC6">
        <w:rPr>
          <w:rFonts w:eastAsia="Calibri"/>
          <w:lang w:eastAsia="en-US"/>
        </w:rPr>
        <w:t>ръководител</w:t>
      </w:r>
      <w:r w:rsidR="00A37DC9" w:rsidRPr="002C5AC6">
        <w:rPr>
          <w:rFonts w:eastAsia="Calibri"/>
          <w:lang w:eastAsia="en-US"/>
        </w:rPr>
        <w:t>“</w:t>
      </w:r>
      <w:r w:rsidR="00F51D15">
        <w:rPr>
          <w:rFonts w:eastAsia="Calibri"/>
          <w:lang w:eastAsia="en-US"/>
        </w:rPr>
        <w:t>,</w:t>
      </w:r>
      <w:r w:rsidR="00D35D06" w:rsidRPr="002C5AC6">
        <w:rPr>
          <w:rFonts w:eastAsia="Calibri"/>
          <w:lang w:eastAsia="en-US"/>
        </w:rPr>
        <w:t xml:space="preserve"> наредил плащането</w:t>
      </w:r>
      <w:r w:rsidRPr="002C5AC6">
        <w:rPr>
          <w:rFonts w:eastAsia="Calibri"/>
          <w:lang w:eastAsia="en-US"/>
        </w:rPr>
        <w:t xml:space="preserve">. Не са създадени </w:t>
      </w:r>
      <w:r w:rsidR="00E1641D" w:rsidRPr="002C5AC6">
        <w:rPr>
          <w:rFonts w:eastAsia="Calibri"/>
          <w:lang w:eastAsia="en-US"/>
        </w:rPr>
        <w:t xml:space="preserve">необходимите условия за защита на информацията от извънсчетоводните регистри и за своевременното отразяване на възникналите задължения към вещи лица. </w:t>
      </w:r>
      <w:r w:rsidR="00A70E79" w:rsidRPr="002C5AC6">
        <w:rPr>
          <w:rFonts w:eastAsia="Calibri"/>
          <w:lang w:eastAsia="en-US"/>
        </w:rPr>
        <w:t xml:space="preserve">Във връзка с изплащането на възнагражденията на вещите лица, не е осъществяван предварителен контрол за законосъобразност </w:t>
      </w:r>
      <w:r w:rsidR="00E1641D" w:rsidRPr="002C5AC6">
        <w:rPr>
          <w:rFonts w:eastAsia="Calibri"/>
          <w:lang w:eastAsia="en-US"/>
        </w:rPr>
        <w:t xml:space="preserve">на възнагражденията, изплащани от депозити на страните в съдебното производство. </w:t>
      </w:r>
    </w:p>
    <w:p w:rsidR="009F7B77" w:rsidRPr="002C5AC6" w:rsidRDefault="00095990" w:rsidP="009F7B77">
      <w:pPr>
        <w:ind w:firstLine="709"/>
        <w:jc w:val="both"/>
        <w:rPr>
          <w:rFonts w:eastAsia="Calibri"/>
          <w:lang w:eastAsia="en-US"/>
        </w:rPr>
      </w:pPr>
      <w:r w:rsidRPr="002C5AC6">
        <w:rPr>
          <w:rFonts w:eastAsia="Calibri"/>
          <w:lang w:eastAsia="en-US"/>
        </w:rPr>
        <w:t>Н</w:t>
      </w:r>
      <w:r w:rsidR="00A70E79" w:rsidRPr="002C5AC6">
        <w:rPr>
          <w:rFonts w:eastAsia="Calibri"/>
          <w:lang w:eastAsia="en-US"/>
        </w:rPr>
        <w:t xml:space="preserve">е </w:t>
      </w:r>
      <w:r w:rsidR="00E1641D" w:rsidRPr="002C5AC6">
        <w:rPr>
          <w:rFonts w:eastAsia="Calibri"/>
          <w:lang w:eastAsia="en-US"/>
        </w:rPr>
        <w:t>е</w:t>
      </w:r>
      <w:r w:rsidR="00A70E79" w:rsidRPr="002C5AC6">
        <w:rPr>
          <w:rFonts w:eastAsia="Calibri"/>
          <w:lang w:eastAsia="en-US"/>
        </w:rPr>
        <w:t xml:space="preserve"> изград</w:t>
      </w:r>
      <w:r w:rsidR="00E1641D" w:rsidRPr="002C5AC6">
        <w:rPr>
          <w:rFonts w:eastAsia="Calibri"/>
          <w:lang w:eastAsia="en-US"/>
        </w:rPr>
        <w:t>ен</w:t>
      </w:r>
      <w:r w:rsidR="00A70E79" w:rsidRPr="002C5AC6">
        <w:rPr>
          <w:rFonts w:eastAsia="Calibri"/>
          <w:lang w:eastAsia="en-US"/>
        </w:rPr>
        <w:t>а</w:t>
      </w:r>
      <w:r w:rsidR="00E1641D" w:rsidRPr="002C5AC6">
        <w:rPr>
          <w:rFonts w:eastAsia="Calibri"/>
          <w:lang w:eastAsia="en-US"/>
        </w:rPr>
        <w:t xml:space="preserve"> </w:t>
      </w:r>
      <w:r w:rsidR="00F51D15">
        <w:rPr>
          <w:rFonts w:eastAsia="Calibri"/>
          <w:lang w:eastAsia="en-US"/>
        </w:rPr>
        <w:t xml:space="preserve">автоматизирана </w:t>
      </w:r>
      <w:r w:rsidR="00A70E79" w:rsidRPr="002C5AC6">
        <w:rPr>
          <w:rFonts w:eastAsia="Calibri"/>
          <w:lang w:eastAsia="en-US"/>
        </w:rPr>
        <w:t xml:space="preserve">връзка между счетоводния софтуерен продукт и автоматизираната система за РКО 98а (от съдебно заседание) за осигуряване на текущо начисляване и аналитично отчитане на задълженията към вещите лица. </w:t>
      </w:r>
    </w:p>
    <w:p w:rsidR="009F7B77" w:rsidRPr="00D604F3" w:rsidRDefault="00D604F3" w:rsidP="00D604F3">
      <w:pPr>
        <w:spacing w:before="120"/>
        <w:ind w:firstLine="709"/>
        <w:jc w:val="both"/>
        <w:rPr>
          <w:rFonts w:eastAsia="Calibri"/>
          <w:i/>
          <w:lang w:eastAsia="en-US"/>
        </w:rPr>
      </w:pPr>
      <w:r w:rsidRPr="00D604F3">
        <w:rPr>
          <w:rFonts w:eastAsia="Calibri"/>
          <w:i/>
          <w:lang w:eastAsia="en-US"/>
        </w:rPr>
        <w:t xml:space="preserve">4. </w:t>
      </w:r>
      <w:r w:rsidR="009F7146" w:rsidRPr="00D604F3">
        <w:rPr>
          <w:rFonts w:eastAsia="Calibri"/>
          <w:i/>
          <w:lang w:eastAsia="en-US"/>
        </w:rPr>
        <w:t xml:space="preserve">Област на изследване </w:t>
      </w:r>
      <w:r w:rsidR="00A70E79" w:rsidRPr="00D604F3">
        <w:rPr>
          <w:rFonts w:eastAsia="Calibri"/>
          <w:i/>
          <w:lang w:eastAsia="en-US"/>
        </w:rPr>
        <w:t xml:space="preserve">Възлагане на обществени поръчки и изпълнение на договорите за обществени поръчки </w:t>
      </w:r>
    </w:p>
    <w:p w:rsidR="00C77FF4" w:rsidRPr="002C5AC6" w:rsidRDefault="009F7B77" w:rsidP="00C77FF4">
      <w:pPr>
        <w:ind w:firstLine="709"/>
        <w:jc w:val="both"/>
        <w:rPr>
          <w:rFonts w:eastAsia="Calibri"/>
          <w:lang w:eastAsia="en-US"/>
        </w:rPr>
      </w:pPr>
      <w:r w:rsidRPr="002C5AC6">
        <w:rPr>
          <w:rFonts w:eastAsia="Calibri"/>
          <w:lang w:eastAsia="en-US"/>
        </w:rPr>
        <w:t xml:space="preserve">През одитирания период </w:t>
      </w:r>
      <w:r w:rsidR="00F00BC0" w:rsidRPr="002C5AC6">
        <w:rPr>
          <w:rFonts w:eastAsia="Calibri"/>
          <w:lang w:eastAsia="en-US"/>
        </w:rPr>
        <w:t xml:space="preserve">в </w:t>
      </w:r>
      <w:r w:rsidRPr="002C5AC6">
        <w:rPr>
          <w:rFonts w:eastAsia="Calibri"/>
          <w:lang w:eastAsia="en-US"/>
        </w:rPr>
        <w:t xml:space="preserve">правната рамка, </w:t>
      </w:r>
      <w:r w:rsidR="00F00BC0" w:rsidRPr="002C5AC6">
        <w:rPr>
          <w:rFonts w:eastAsia="Calibri"/>
          <w:lang w:eastAsia="en-US"/>
        </w:rPr>
        <w:t xml:space="preserve">уреждаща </w:t>
      </w:r>
      <w:r w:rsidRPr="002C5AC6">
        <w:rPr>
          <w:rFonts w:eastAsia="Calibri"/>
          <w:lang w:eastAsia="en-US"/>
        </w:rPr>
        <w:t>областта с</w:t>
      </w:r>
      <w:r w:rsidR="00F00BC0" w:rsidRPr="002C5AC6">
        <w:rPr>
          <w:rFonts w:eastAsia="Calibri"/>
          <w:lang w:eastAsia="en-US"/>
        </w:rPr>
        <w:t>а налице</w:t>
      </w:r>
      <w:r w:rsidRPr="002C5AC6">
        <w:rPr>
          <w:rFonts w:eastAsia="Calibri"/>
          <w:lang w:eastAsia="en-US"/>
        </w:rPr>
        <w:t xml:space="preserve"> чести изменения, а вътрешните правила</w:t>
      </w:r>
      <w:r w:rsidR="00F00BC0" w:rsidRPr="002C5AC6">
        <w:rPr>
          <w:rFonts w:eastAsia="Calibri"/>
          <w:lang w:eastAsia="en-US"/>
        </w:rPr>
        <w:t>,</w:t>
      </w:r>
      <w:r w:rsidRPr="002C5AC6">
        <w:rPr>
          <w:rFonts w:eastAsia="Calibri"/>
          <w:lang w:eastAsia="en-US"/>
        </w:rPr>
        <w:t xml:space="preserve"> </w:t>
      </w:r>
      <w:r w:rsidR="00F00BC0" w:rsidRPr="002C5AC6">
        <w:rPr>
          <w:rFonts w:eastAsia="Calibri"/>
          <w:lang w:eastAsia="en-US"/>
        </w:rPr>
        <w:t>регулиращи процеса</w:t>
      </w:r>
      <w:r w:rsidR="00C4526B" w:rsidRPr="002C5AC6">
        <w:rPr>
          <w:rFonts w:eastAsia="Calibri"/>
          <w:lang w:eastAsia="en-US"/>
        </w:rPr>
        <w:t>,</w:t>
      </w:r>
      <w:r w:rsidR="00F00BC0" w:rsidRPr="002C5AC6">
        <w:rPr>
          <w:rFonts w:eastAsia="Calibri"/>
          <w:lang w:eastAsia="en-US"/>
        </w:rPr>
        <w:t xml:space="preserve"> </w:t>
      </w:r>
      <w:r w:rsidRPr="002C5AC6">
        <w:rPr>
          <w:rFonts w:eastAsia="Calibri"/>
          <w:lang w:eastAsia="en-US"/>
        </w:rPr>
        <w:t xml:space="preserve">са непълни и не следват динамиката на изменение на </w:t>
      </w:r>
      <w:r w:rsidR="00DB2A7C" w:rsidRPr="002C5AC6">
        <w:rPr>
          <w:rFonts w:eastAsia="Calibri"/>
          <w:lang w:eastAsia="en-US"/>
        </w:rPr>
        <w:t>нормативните актове</w:t>
      </w:r>
      <w:r w:rsidRPr="002C5AC6">
        <w:rPr>
          <w:rFonts w:eastAsia="Calibri"/>
          <w:lang w:eastAsia="en-US"/>
        </w:rPr>
        <w:t xml:space="preserve">. </w:t>
      </w:r>
    </w:p>
    <w:p w:rsidR="00C77FF4" w:rsidRPr="002C5AC6" w:rsidRDefault="00C77FF4" w:rsidP="00C77FF4">
      <w:pPr>
        <w:ind w:firstLine="709"/>
        <w:jc w:val="both"/>
        <w:rPr>
          <w:rFonts w:eastAsia="Calibri"/>
          <w:lang w:eastAsia="en-US"/>
        </w:rPr>
      </w:pPr>
      <w:r w:rsidRPr="002C5AC6">
        <w:lastRenderedPageBreak/>
        <w:t xml:space="preserve">Установено е обявяване на изисквания към кандидатите, които не съответстват на вида на прилаганата процедура и </w:t>
      </w:r>
      <w:r w:rsidRPr="002C5AC6">
        <w:rPr>
          <w:bCs/>
        </w:rPr>
        <w:t>създават необоснована административна тежест пред участниците</w:t>
      </w:r>
      <w:r w:rsidRPr="002C5AC6">
        <w:t xml:space="preserve">, както и </w:t>
      </w:r>
      <w:r w:rsidRPr="002C5AC6">
        <w:rPr>
          <w:rFonts w:eastAsia="Calibri"/>
          <w:lang w:eastAsia="en-US"/>
        </w:rPr>
        <w:t>неспазване на определените срокове за възстановяване на гаранци</w:t>
      </w:r>
      <w:r w:rsidR="00C4526B" w:rsidRPr="002C5AC6">
        <w:rPr>
          <w:rFonts w:eastAsia="Calibri"/>
          <w:lang w:eastAsia="en-US"/>
        </w:rPr>
        <w:t>и</w:t>
      </w:r>
      <w:r w:rsidRPr="002C5AC6">
        <w:rPr>
          <w:rFonts w:eastAsia="Calibri"/>
          <w:lang w:eastAsia="en-US"/>
        </w:rPr>
        <w:t xml:space="preserve"> за участие. При една от проведените процедури о</w:t>
      </w:r>
      <w:r w:rsidRPr="002C5AC6">
        <w:rPr>
          <w:lang w:eastAsia="en-GB"/>
        </w:rPr>
        <w:t>писаните условия и изисквания в документацията за участие, поотделно и в своята съвкупност дават предимство и необосновано ограничават участието на лица при възлагането на обществената поръчка</w:t>
      </w:r>
      <w:r w:rsidR="00D604F3">
        <w:rPr>
          <w:lang w:eastAsia="en-GB"/>
        </w:rPr>
        <w:t>.</w:t>
      </w:r>
    </w:p>
    <w:p w:rsidR="00642280" w:rsidRDefault="00642280" w:rsidP="00E661C8">
      <w:pPr>
        <w:ind w:firstLine="709"/>
        <w:jc w:val="both"/>
      </w:pPr>
      <w:r w:rsidRPr="002C5AC6">
        <w:t>При сключването на част от договорите в нарушение на чл. 13, ал. 3, т. 3 от ЗФУКПС не е прилагана системата на двоен подпис.</w:t>
      </w:r>
      <w:r>
        <w:t xml:space="preserve"> </w:t>
      </w:r>
      <w:r w:rsidRPr="002C5AC6">
        <w:t xml:space="preserve">Разходите </w:t>
      </w:r>
      <w:r>
        <w:t xml:space="preserve">по договорите </w:t>
      </w:r>
      <w:r w:rsidRPr="002C5AC6">
        <w:t>за обществени поръчки са извършени след представяне на фактури от изпълнителите и подписване на приемо-предавателни протоколи.</w:t>
      </w:r>
    </w:p>
    <w:p w:rsidR="00E661C8" w:rsidRPr="002C5AC6" w:rsidRDefault="005B2BE0" w:rsidP="00E661C8">
      <w:pPr>
        <w:ind w:firstLine="709"/>
        <w:jc w:val="both"/>
        <w:rPr>
          <w:rFonts w:eastAsiaTheme="minorHAnsi"/>
          <w:lang w:eastAsia="en-US"/>
        </w:rPr>
      </w:pPr>
      <w:r>
        <w:rPr>
          <w:lang w:eastAsia="en-GB"/>
        </w:rPr>
        <w:t>При обявяване на информация на п</w:t>
      </w:r>
      <w:r w:rsidR="00C77FF4" w:rsidRPr="002C5AC6">
        <w:rPr>
          <w:lang w:eastAsia="en-GB"/>
        </w:rPr>
        <w:t xml:space="preserve">рофила на купувача </w:t>
      </w:r>
      <w:r w:rsidR="00642280">
        <w:rPr>
          <w:rFonts w:eastAsiaTheme="minorHAnsi"/>
          <w:lang w:eastAsia="en-US"/>
        </w:rPr>
        <w:t>липсва</w:t>
      </w:r>
      <w:r w:rsidR="00E661C8" w:rsidRPr="002C5AC6">
        <w:rPr>
          <w:rFonts w:eastAsiaTheme="minorHAnsi"/>
          <w:lang w:eastAsia="en-US"/>
        </w:rPr>
        <w:t xml:space="preserve">т дати на публикуване на документи, свързани с действия, за извършването на които законът е определил срокове. </w:t>
      </w:r>
      <w:r w:rsidR="00C4526B" w:rsidRPr="002C5AC6">
        <w:rPr>
          <w:rFonts w:eastAsiaTheme="minorHAnsi"/>
          <w:lang w:eastAsia="en-US"/>
        </w:rPr>
        <w:t>При последващия контрол т</w:t>
      </w:r>
      <w:r w:rsidR="00E661C8" w:rsidRPr="002C5AC6">
        <w:rPr>
          <w:rFonts w:eastAsiaTheme="minorHAnsi"/>
          <w:lang w:eastAsia="en-US"/>
        </w:rPr>
        <w:t>ова е пречка за установяване на съответствие</w:t>
      </w:r>
      <w:r w:rsidR="00C4526B" w:rsidRPr="002C5AC6">
        <w:rPr>
          <w:rFonts w:eastAsiaTheme="minorHAnsi"/>
          <w:lang w:eastAsia="en-US"/>
        </w:rPr>
        <w:t>то</w:t>
      </w:r>
      <w:r w:rsidR="00E661C8" w:rsidRPr="002C5AC6">
        <w:rPr>
          <w:rFonts w:eastAsiaTheme="minorHAnsi"/>
          <w:lang w:eastAsia="en-US"/>
        </w:rPr>
        <w:t xml:space="preserve"> с изискванията на правната рамка. </w:t>
      </w:r>
    </w:p>
    <w:p w:rsidR="005F69F8" w:rsidRDefault="005F69F8" w:rsidP="00D604F3">
      <w:pPr>
        <w:spacing w:before="120" w:after="120"/>
        <w:ind w:firstLine="709"/>
        <w:jc w:val="both"/>
        <w:rPr>
          <w:b/>
        </w:rPr>
      </w:pPr>
    </w:p>
    <w:p w:rsidR="005F69F8" w:rsidRDefault="005F69F8" w:rsidP="00D604F3">
      <w:pPr>
        <w:spacing w:before="120" w:after="120"/>
        <w:ind w:firstLine="709"/>
        <w:jc w:val="both"/>
        <w:rPr>
          <w:b/>
        </w:rPr>
      </w:pPr>
    </w:p>
    <w:p w:rsidR="005F69F8" w:rsidRDefault="005F69F8" w:rsidP="00D604F3">
      <w:pPr>
        <w:spacing w:before="120" w:after="120"/>
        <w:ind w:firstLine="709"/>
        <w:jc w:val="both"/>
        <w:rPr>
          <w:b/>
        </w:rPr>
      </w:pPr>
    </w:p>
    <w:p w:rsidR="007E13B3" w:rsidRPr="002C5AC6" w:rsidRDefault="007E13B3" w:rsidP="00D604F3">
      <w:pPr>
        <w:spacing w:before="120" w:after="120"/>
        <w:ind w:firstLine="709"/>
        <w:jc w:val="both"/>
        <w:rPr>
          <w:b/>
        </w:rPr>
      </w:pPr>
      <w:r w:rsidRPr="002C5AC6">
        <w:rPr>
          <w:b/>
        </w:rPr>
        <w:t>Част пета</w:t>
      </w:r>
    </w:p>
    <w:p w:rsidR="007E13B3" w:rsidRPr="002C5AC6" w:rsidRDefault="007E13B3" w:rsidP="00D604F3">
      <w:pPr>
        <w:spacing w:before="120" w:after="120"/>
        <w:ind w:firstLine="709"/>
        <w:jc w:val="both"/>
        <w:rPr>
          <w:b/>
        </w:rPr>
      </w:pPr>
      <w:r w:rsidRPr="002C5AC6">
        <w:rPr>
          <w:b/>
        </w:rPr>
        <w:t>ПРЕПОРЪКИ</w:t>
      </w:r>
    </w:p>
    <w:p w:rsidR="00E661C8" w:rsidRPr="002C5AC6" w:rsidRDefault="006A41E3" w:rsidP="00E661C8">
      <w:pPr>
        <w:ind w:firstLine="720"/>
        <w:jc w:val="both"/>
      </w:pPr>
      <w:r w:rsidRPr="002C5AC6">
        <w:t>В резултат на извършения одит се дават следните препоръки на</w:t>
      </w:r>
      <w:r w:rsidR="004B4475" w:rsidRPr="002C5AC6">
        <w:t xml:space="preserve"> председателя на СРС</w:t>
      </w:r>
      <w:r w:rsidRPr="002C5AC6">
        <w:t xml:space="preserve">: </w:t>
      </w:r>
    </w:p>
    <w:p w:rsidR="00FA5085" w:rsidRPr="002C5AC6" w:rsidRDefault="00E661C8" w:rsidP="00E661C8">
      <w:pPr>
        <w:ind w:firstLine="720"/>
        <w:jc w:val="both"/>
      </w:pPr>
      <w:r w:rsidRPr="002C5AC6">
        <w:t>1. Да се извърш</w:t>
      </w:r>
      <w:r w:rsidR="00D604F3">
        <w:t>и</w:t>
      </w:r>
      <w:r w:rsidR="00FA5085" w:rsidRPr="002C5AC6">
        <w:t xml:space="preserve"> преглед и анализ на всички </w:t>
      </w:r>
      <w:r w:rsidR="0082698F" w:rsidRPr="002C5AC6">
        <w:t xml:space="preserve">вътрешни правила, </w:t>
      </w:r>
      <w:r w:rsidR="00FA5085" w:rsidRPr="002C5AC6">
        <w:t>основни процедури, работни инструкции и документи, включени в утвърдената „Система за финансово управление и контрол”, като същите се актуализират в съответствие с нормативните изисквания, указанията на МФ, заповеди</w:t>
      </w:r>
      <w:r w:rsidR="0082698F" w:rsidRPr="002C5AC6">
        <w:t>те</w:t>
      </w:r>
      <w:r w:rsidR="00FA5085" w:rsidRPr="002C5AC6">
        <w:t xml:space="preserve"> на административния ръководител и</w:t>
      </w:r>
      <w:r w:rsidR="0082698F" w:rsidRPr="002C5AC6">
        <w:t xml:space="preserve"> актуалната </w:t>
      </w:r>
      <w:r w:rsidR="00FA5085" w:rsidRPr="002C5AC6">
        <w:t>организационна структура</w:t>
      </w:r>
      <w:r w:rsidR="00162547" w:rsidRPr="002C5AC6">
        <w:t xml:space="preserve"> на СРС.</w:t>
      </w:r>
      <w:r w:rsidRPr="002C5AC6">
        <w:rPr>
          <w:rStyle w:val="FootnoteReference"/>
        </w:rPr>
        <w:footnoteReference w:id="141"/>
      </w:r>
    </w:p>
    <w:p w:rsidR="00D604F3" w:rsidRDefault="00FA5085" w:rsidP="001C22E6">
      <w:pPr>
        <w:ind w:firstLine="709"/>
        <w:jc w:val="both"/>
        <w:rPr>
          <w:rFonts w:eastAsiaTheme="minorHAnsi"/>
        </w:rPr>
      </w:pPr>
      <w:r w:rsidRPr="00B76756">
        <w:t>2</w:t>
      </w:r>
      <w:r w:rsidR="0082698F" w:rsidRPr="002C5AC6">
        <w:t>.</w:t>
      </w:r>
      <w:r w:rsidRPr="002C5AC6">
        <w:t xml:space="preserve"> Да се изготви Риск-регистър,</w:t>
      </w:r>
      <w:r w:rsidRPr="002C5AC6">
        <w:rPr>
          <w:rFonts w:eastAsiaTheme="minorHAnsi"/>
        </w:rPr>
        <w:t xml:space="preserve"> в който </w:t>
      </w:r>
      <w:r w:rsidR="0082698F" w:rsidRPr="002C5AC6">
        <w:rPr>
          <w:rFonts w:eastAsiaTheme="minorHAnsi"/>
        </w:rPr>
        <w:t xml:space="preserve">в съответствие с методологията, издадена от министъра на финансите </w:t>
      </w:r>
      <w:r w:rsidRPr="002C5AC6">
        <w:rPr>
          <w:rFonts w:eastAsiaTheme="minorHAnsi"/>
        </w:rPr>
        <w:t>да се опиш</w:t>
      </w:r>
      <w:r w:rsidR="0082698F" w:rsidRPr="002C5AC6">
        <w:rPr>
          <w:rFonts w:eastAsiaTheme="minorHAnsi"/>
        </w:rPr>
        <w:t>ат</w:t>
      </w:r>
      <w:r w:rsidRPr="002C5AC6">
        <w:rPr>
          <w:rFonts w:eastAsiaTheme="minorHAnsi"/>
        </w:rPr>
        <w:t xml:space="preserve"> процес</w:t>
      </w:r>
      <w:r w:rsidR="00085D70" w:rsidRPr="002C5AC6">
        <w:rPr>
          <w:rFonts w:eastAsiaTheme="minorHAnsi"/>
        </w:rPr>
        <w:t xml:space="preserve">ите в организацията, </w:t>
      </w:r>
      <w:r w:rsidRPr="002C5AC6">
        <w:rPr>
          <w:rFonts w:eastAsiaTheme="minorHAnsi"/>
        </w:rPr>
        <w:t xml:space="preserve">рисковете, застрашаващи постигането на целите на СРС, контролните дейности, въведени като реакция на идентифицираните рискове, сроковете </w:t>
      </w:r>
      <w:r w:rsidR="002A2CF3" w:rsidRPr="002C5AC6">
        <w:rPr>
          <w:rFonts w:eastAsiaTheme="minorHAnsi"/>
        </w:rPr>
        <w:t xml:space="preserve">за изпълнението им </w:t>
      </w:r>
      <w:r w:rsidRPr="002C5AC6">
        <w:rPr>
          <w:rFonts w:eastAsiaTheme="minorHAnsi"/>
        </w:rPr>
        <w:t>и отгово</w:t>
      </w:r>
      <w:r w:rsidR="00397688" w:rsidRPr="002C5AC6">
        <w:rPr>
          <w:rFonts w:eastAsiaTheme="minorHAnsi"/>
        </w:rPr>
        <w:t>рните длъжностни лица.</w:t>
      </w:r>
      <w:r w:rsidRPr="002C5AC6">
        <w:rPr>
          <w:rStyle w:val="FootnoteReference"/>
        </w:rPr>
        <w:footnoteReference w:id="142"/>
      </w:r>
    </w:p>
    <w:p w:rsidR="001C22E6" w:rsidRPr="002C5AC6" w:rsidRDefault="00397688" w:rsidP="001C22E6">
      <w:pPr>
        <w:ind w:firstLine="709"/>
        <w:jc w:val="both"/>
      </w:pPr>
      <w:r w:rsidRPr="002C5AC6">
        <w:t xml:space="preserve">3. Да се предприемат действия за повишаване </w:t>
      </w:r>
      <w:r w:rsidR="00A52A8C" w:rsidRPr="002C5AC6">
        <w:t xml:space="preserve">на </w:t>
      </w:r>
      <w:r w:rsidRPr="002C5AC6">
        <w:t>сигурността на информацията от извънсчетоводните регистри</w:t>
      </w:r>
      <w:r w:rsidR="00450EB3" w:rsidRPr="002C5AC6">
        <w:t>.</w:t>
      </w:r>
      <w:r w:rsidR="00450EB3" w:rsidRPr="002C5AC6">
        <w:rPr>
          <w:rStyle w:val="FootnoteReference"/>
        </w:rPr>
        <w:footnoteReference w:id="143"/>
      </w:r>
    </w:p>
    <w:p w:rsidR="001C22E6" w:rsidRPr="002C5AC6" w:rsidRDefault="001C22E6" w:rsidP="001C22E6">
      <w:pPr>
        <w:ind w:firstLine="709"/>
        <w:jc w:val="both"/>
      </w:pPr>
      <w:r w:rsidRPr="002C5AC6">
        <w:t>4.</w:t>
      </w:r>
      <w:r w:rsidR="00FA5085" w:rsidRPr="002C5AC6">
        <w:t xml:space="preserve"> Да се актуализират длъжностните характеристики </w:t>
      </w:r>
      <w:r w:rsidRPr="002C5AC6">
        <w:t xml:space="preserve">на служителите, като се отразят промените в организационната структура </w:t>
      </w:r>
      <w:r w:rsidR="001F11A0" w:rsidRPr="002C5AC6">
        <w:t xml:space="preserve">на СРС </w:t>
      </w:r>
      <w:r w:rsidRPr="002C5AC6">
        <w:t xml:space="preserve">и </w:t>
      </w:r>
      <w:r w:rsidR="001F11A0" w:rsidRPr="002C5AC6">
        <w:t xml:space="preserve">нови/допълнителни функции на служителите, възложени/въведени </w:t>
      </w:r>
      <w:r w:rsidRPr="002C5AC6">
        <w:t xml:space="preserve">със заповеди на председателя </w:t>
      </w:r>
      <w:r w:rsidR="001F11A0" w:rsidRPr="002C5AC6">
        <w:t xml:space="preserve">на съда </w:t>
      </w:r>
      <w:r w:rsidRPr="002C5AC6">
        <w:t>и вътрешни</w:t>
      </w:r>
      <w:r w:rsidR="001F11A0" w:rsidRPr="002C5AC6">
        <w:t>те</w:t>
      </w:r>
      <w:r w:rsidRPr="002C5AC6">
        <w:t xml:space="preserve"> правила.</w:t>
      </w:r>
      <w:r w:rsidR="00FA5085" w:rsidRPr="002C5AC6">
        <w:rPr>
          <w:rStyle w:val="FootnoteReference"/>
        </w:rPr>
        <w:footnoteReference w:id="144"/>
      </w:r>
    </w:p>
    <w:p w:rsidR="001C22E6" w:rsidRPr="00D604F3" w:rsidRDefault="001C22E6" w:rsidP="001C22E6">
      <w:pPr>
        <w:ind w:firstLine="709"/>
        <w:jc w:val="both"/>
        <w:rPr>
          <w:i/>
        </w:rPr>
      </w:pPr>
      <w:r w:rsidRPr="002C5AC6">
        <w:t xml:space="preserve">5. В обхвата на предварителния контрол за законосъобразност да се включат и управленските решения и действия по </w:t>
      </w:r>
      <w:r w:rsidR="0001626C" w:rsidRPr="002C5AC6">
        <w:t>извършване на разходи с източник внесени депозити във връзка със съдебното производство</w:t>
      </w:r>
      <w:r w:rsidRPr="002C5AC6">
        <w:t>.</w:t>
      </w:r>
      <w:r w:rsidR="00FA5085" w:rsidRPr="002C5AC6">
        <w:rPr>
          <w:rStyle w:val="FootnoteReference"/>
        </w:rPr>
        <w:footnoteReference w:id="145"/>
      </w:r>
    </w:p>
    <w:p w:rsidR="00FA5085" w:rsidRPr="002C5AC6" w:rsidRDefault="001C22E6" w:rsidP="001C22E6">
      <w:pPr>
        <w:ind w:firstLine="709"/>
        <w:jc w:val="both"/>
      </w:pPr>
      <w:r w:rsidRPr="002C5AC6">
        <w:t xml:space="preserve">6. </w:t>
      </w:r>
      <w:r w:rsidR="005B11C5" w:rsidRPr="002C5AC6">
        <w:t xml:space="preserve">Да се идентифицират и оценят рисковете, свързани с управлението и изпълнението на цикъла на обществените поръчки и да се въведат адекватни контролни дейности, които да </w:t>
      </w:r>
      <w:r w:rsidR="005B11C5" w:rsidRPr="002C5AC6">
        <w:lastRenderedPageBreak/>
        <w:t>гарантират законосъобразно осъществяване на процеса, в т.ч. отговорни</w:t>
      </w:r>
      <w:r w:rsidR="00DD407E" w:rsidRPr="002C5AC6">
        <w:t>те</w:t>
      </w:r>
      <w:r w:rsidR="005B11C5" w:rsidRPr="002C5AC6">
        <w:t xml:space="preserve"> длъжностни лица и </w:t>
      </w:r>
      <w:r w:rsidR="001527EB" w:rsidRPr="002C5AC6">
        <w:t xml:space="preserve">конкретните им </w:t>
      </w:r>
      <w:r w:rsidR="005B11C5" w:rsidRPr="002C5AC6">
        <w:t>задължения</w:t>
      </w:r>
      <w:r w:rsidR="001527EB" w:rsidRPr="002C5AC6">
        <w:t>.</w:t>
      </w:r>
      <w:r w:rsidR="005B11C5" w:rsidRPr="002C5AC6">
        <w:rPr>
          <w:rStyle w:val="FootnoteReference"/>
        </w:rPr>
        <w:footnoteReference w:id="146"/>
      </w:r>
    </w:p>
    <w:p w:rsidR="005F69F8" w:rsidRDefault="005F69F8" w:rsidP="001C22E6">
      <w:pPr>
        <w:spacing w:before="120" w:after="120"/>
        <w:ind w:firstLine="709"/>
        <w:jc w:val="both"/>
        <w:rPr>
          <w:b/>
        </w:rPr>
      </w:pPr>
    </w:p>
    <w:p w:rsidR="00FB3DDD" w:rsidRPr="002C5AC6" w:rsidRDefault="00FB3DDD" w:rsidP="001C22E6">
      <w:pPr>
        <w:spacing w:before="120" w:after="120"/>
        <w:ind w:firstLine="709"/>
        <w:jc w:val="both"/>
        <w:rPr>
          <w:b/>
        </w:rPr>
      </w:pPr>
      <w:r w:rsidRPr="002C5AC6">
        <w:rPr>
          <w:b/>
        </w:rPr>
        <w:t>Част шеста</w:t>
      </w:r>
    </w:p>
    <w:p w:rsidR="00FB3DDD" w:rsidRPr="002C5AC6" w:rsidRDefault="00FB3DDD" w:rsidP="001C22E6">
      <w:pPr>
        <w:spacing w:before="120" w:after="120"/>
        <w:ind w:firstLine="709"/>
        <w:jc w:val="both"/>
        <w:rPr>
          <w:b/>
        </w:rPr>
      </w:pPr>
      <w:r w:rsidRPr="002C5AC6">
        <w:rPr>
          <w:b/>
        </w:rPr>
        <w:t>ОТГОВОРИ НА ОДИТИРАНАТА ОРГАНИЗАЦИЯ</w:t>
      </w:r>
      <w:r w:rsidR="002250B9" w:rsidRPr="002C5AC6">
        <w:rPr>
          <w:b/>
        </w:rPr>
        <w:t xml:space="preserve">  </w:t>
      </w:r>
    </w:p>
    <w:p w:rsidR="00FB3DDD" w:rsidRPr="002C5AC6" w:rsidRDefault="000E777E" w:rsidP="00D604F3">
      <w:pPr>
        <w:spacing w:before="120" w:after="120"/>
        <w:ind w:firstLine="720"/>
        <w:jc w:val="both"/>
        <w:rPr>
          <w:i/>
          <w:highlight w:val="yellow"/>
        </w:rPr>
      </w:pPr>
      <w:r w:rsidRPr="002C5AC6">
        <w:t>Фактите и обстоятелствата, установени при одита</w:t>
      </w:r>
      <w:r w:rsidR="00DE659E" w:rsidRPr="002C5AC6">
        <w:t xml:space="preserve">, </w:t>
      </w:r>
      <w:r w:rsidRPr="002C5AC6">
        <w:t xml:space="preserve">са съгласувани с ръководството на </w:t>
      </w:r>
      <w:r w:rsidR="00DE659E" w:rsidRPr="002C5AC6">
        <w:t>СРС.</w:t>
      </w:r>
      <w:r w:rsidRPr="002C5AC6">
        <w:t xml:space="preserve"> При п</w:t>
      </w:r>
      <w:r w:rsidRPr="006414BC">
        <w:t>р</w:t>
      </w:r>
      <w:r w:rsidRPr="002C5AC6">
        <w:t>оведеното обсъждане на констатациите и проекта на препоръки с представители</w:t>
      </w:r>
      <w:r w:rsidR="00DE659E" w:rsidRPr="002C5AC6">
        <w:t xml:space="preserve">те </w:t>
      </w:r>
      <w:r w:rsidRPr="002C5AC6">
        <w:t xml:space="preserve"> на одитирания обект не са постъпили писмени становища.</w:t>
      </w:r>
      <w:r w:rsidRPr="002C5AC6">
        <w:rPr>
          <w:rStyle w:val="FootnoteReference"/>
        </w:rPr>
        <w:t xml:space="preserve"> </w:t>
      </w:r>
      <w:r w:rsidR="00B906C9" w:rsidRPr="002C5AC6">
        <w:rPr>
          <w:rStyle w:val="FootnoteReference"/>
        </w:rPr>
        <w:t xml:space="preserve"> </w:t>
      </w:r>
      <w:r w:rsidR="00E52CB8" w:rsidRPr="002C5AC6">
        <w:t xml:space="preserve"> </w:t>
      </w:r>
      <w:r w:rsidR="00057585" w:rsidRPr="002C5AC6">
        <w:t xml:space="preserve">Допълнително на председателя на СРС е предоставено заключение на </w:t>
      </w:r>
      <w:r w:rsidR="00D43B0B" w:rsidRPr="002C5AC6">
        <w:t xml:space="preserve">вещо лице, </w:t>
      </w:r>
      <w:r w:rsidR="00057585" w:rsidRPr="006414BC">
        <w:t>назначено</w:t>
      </w:r>
      <w:r w:rsidR="006414BC" w:rsidRPr="006414BC">
        <w:t xml:space="preserve"> </w:t>
      </w:r>
      <w:r w:rsidR="005235D3" w:rsidRPr="006414BC">
        <w:t xml:space="preserve">да </w:t>
      </w:r>
      <w:r w:rsidR="006414BC" w:rsidRPr="006414BC">
        <w:t xml:space="preserve">даде </w:t>
      </w:r>
      <w:r w:rsidR="005235D3" w:rsidRPr="006414BC">
        <w:t>експерт</w:t>
      </w:r>
      <w:r w:rsidR="006414BC" w:rsidRPr="006414BC">
        <w:t xml:space="preserve">но заключение </w:t>
      </w:r>
      <w:r w:rsidR="00057585" w:rsidRPr="006414BC">
        <w:t>по обществена поръчка</w:t>
      </w:r>
      <w:r w:rsidR="005235D3" w:rsidRPr="006414BC">
        <w:t xml:space="preserve"> с предмет </w:t>
      </w:r>
      <w:r w:rsidR="00D43B0B" w:rsidRPr="006414BC">
        <w:t>„</w:t>
      </w:r>
      <w:r w:rsidR="00057585" w:rsidRPr="006414BC">
        <w:t>Доставка на многофункционални устройства за копиране, сканиране и принтиране и предоставяне на услуги</w:t>
      </w:r>
      <w:r w:rsidR="00057585" w:rsidRPr="00B76756">
        <w:t xml:space="preserve"> по управление на печата в сградата на Софийския районен съд, бул. „Цар Борис III” № 54</w:t>
      </w:r>
      <w:r w:rsidR="009D1562" w:rsidRPr="00B76756">
        <w:t xml:space="preserve">” с </w:t>
      </w:r>
      <w:r w:rsidR="00057585" w:rsidRPr="00B76756">
        <w:t>УИН 01152-2014-0004.</w:t>
      </w:r>
      <w:r w:rsidR="005235D3" w:rsidRPr="002C5AC6">
        <w:t xml:space="preserve"> </w:t>
      </w:r>
    </w:p>
    <w:p w:rsidR="00D604F3" w:rsidRDefault="00D604F3" w:rsidP="005F69F8">
      <w:pPr>
        <w:spacing w:before="120"/>
        <w:ind w:firstLine="709"/>
        <w:jc w:val="both"/>
        <w:rPr>
          <w:lang w:val="en-US"/>
        </w:rPr>
      </w:pPr>
      <w:r>
        <w:t>В подкрепа на констатациите</w:t>
      </w:r>
      <w:r w:rsidR="001B21FF">
        <w:t xml:space="preserve"> от одитния доклад са събрани 8</w:t>
      </w:r>
      <w:r w:rsidR="00F06B4A">
        <w:t>2</w:t>
      </w:r>
      <w:r>
        <w:t xml:space="preserve"> броя одитни доказателства, които заедно с работните документи, отразяващи отделните етапи на одитния процес, се намират в Сметната палата. на адрес: гр. София, ул. „Екзарх Йосиф” № 37.</w:t>
      </w:r>
    </w:p>
    <w:p w:rsidR="00CE3B8D" w:rsidRPr="00D260D0" w:rsidRDefault="00CE3B8D" w:rsidP="00CE3B8D">
      <w:pPr>
        <w:tabs>
          <w:tab w:val="left" w:pos="720"/>
        </w:tabs>
        <w:spacing w:before="120" w:after="120"/>
        <w:ind w:firstLine="709"/>
        <w:jc w:val="both"/>
      </w:pPr>
      <w:r w:rsidRPr="00D260D0">
        <w:t xml:space="preserve">На основание чл. 50, ал. 2 от Закона за Сметната палата, в срок до три месеца от получаване на настоящия доклад, </w:t>
      </w:r>
      <w:r w:rsidRPr="002C5AC6">
        <w:t>председателя</w:t>
      </w:r>
      <w:r w:rsidR="00F216C3">
        <w:t>т</w:t>
      </w:r>
      <w:r w:rsidRPr="002C5AC6">
        <w:t xml:space="preserve"> на СРС</w:t>
      </w:r>
      <w:r w:rsidRPr="00D260D0">
        <w:t xml:space="preserve"> следва да предприеме мерки за изпълнение на препоръките и да уведоми писмено за това председателя на Сметната палата.</w:t>
      </w:r>
    </w:p>
    <w:p w:rsidR="00CE3B8D" w:rsidRPr="00CE3B8D" w:rsidRDefault="00CE3B8D" w:rsidP="005F69F8">
      <w:pPr>
        <w:spacing w:before="120"/>
        <w:ind w:firstLine="709"/>
        <w:jc w:val="both"/>
        <w:rPr>
          <w:lang w:val="en-US"/>
        </w:rPr>
      </w:pPr>
    </w:p>
    <w:p w:rsidR="005A6770" w:rsidRPr="00BE0DF7" w:rsidRDefault="005A6770" w:rsidP="005A6770">
      <w:pPr>
        <w:tabs>
          <w:tab w:val="left" w:pos="720"/>
        </w:tabs>
        <w:spacing w:before="120" w:after="120"/>
        <w:ind w:firstLine="709"/>
        <w:jc w:val="both"/>
      </w:pPr>
      <w:r w:rsidRPr="00BE0DF7">
        <w:t>Настоящият одитен доклад е приет на основание чл. 48, ал. 1 от Закона за Сметната палата с Решение №</w:t>
      </w:r>
      <w:r w:rsidR="00B2616B">
        <w:rPr>
          <w:lang w:val="en-US"/>
        </w:rPr>
        <w:t xml:space="preserve"> 236 </w:t>
      </w:r>
      <w:r w:rsidRPr="00BE0DF7">
        <w:t xml:space="preserve">от </w:t>
      </w:r>
      <w:r w:rsidR="00B2616B">
        <w:rPr>
          <w:lang w:val="en-US"/>
        </w:rPr>
        <w:t>15.12.2016</w:t>
      </w:r>
      <w:r w:rsidRPr="00BE0DF7">
        <w:t>г. на Сметната палата.</w:t>
      </w:r>
    </w:p>
    <w:p w:rsidR="005A6770" w:rsidRPr="00BE0DF7" w:rsidRDefault="005A6770" w:rsidP="005A6770">
      <w:pPr>
        <w:spacing w:before="240" w:after="120" w:line="276" w:lineRule="auto"/>
        <w:ind w:firstLine="4253"/>
        <w:rPr>
          <w:b/>
          <w:bCs/>
        </w:rPr>
      </w:pPr>
    </w:p>
    <w:p w:rsidR="005F69F8" w:rsidRDefault="005F69F8" w:rsidP="005A6770">
      <w:pPr>
        <w:spacing w:after="120" w:line="276" w:lineRule="auto"/>
        <w:rPr>
          <w:bCs/>
          <w:sz w:val="20"/>
          <w:szCs w:val="20"/>
        </w:rPr>
      </w:pPr>
    </w:p>
    <w:p w:rsidR="005F69F8" w:rsidRDefault="005F69F8" w:rsidP="005A6770">
      <w:pPr>
        <w:spacing w:after="120" w:line="276" w:lineRule="auto"/>
        <w:rPr>
          <w:bCs/>
          <w:sz w:val="20"/>
          <w:szCs w:val="20"/>
        </w:rPr>
      </w:pPr>
    </w:p>
    <w:p w:rsidR="007E40AA" w:rsidRPr="002C5AC6" w:rsidRDefault="00015BD2" w:rsidP="00BC12EA">
      <w:pPr>
        <w:ind w:left="851"/>
        <w:jc w:val="center"/>
        <w:rPr>
          <w:b/>
          <w:bCs/>
        </w:rPr>
      </w:pPr>
      <w:r w:rsidRPr="002C5AC6">
        <w:br w:type="page"/>
      </w:r>
      <w:r w:rsidR="00525B5E" w:rsidRPr="002C5AC6">
        <w:rPr>
          <w:b/>
          <w:bCs/>
        </w:rPr>
        <w:lastRenderedPageBreak/>
        <w:t>О</w:t>
      </w:r>
      <w:r w:rsidR="00FB3DDD" w:rsidRPr="002C5AC6">
        <w:rPr>
          <w:b/>
          <w:bCs/>
        </w:rPr>
        <w:t xml:space="preserve">ПИС НА ОДИТНИТЕ </w:t>
      </w:r>
      <w:r w:rsidR="00BC12EA" w:rsidRPr="002C5AC6">
        <w:rPr>
          <w:b/>
          <w:bCs/>
        </w:rPr>
        <w:t>ДОКАЗА</w:t>
      </w:r>
      <w:r w:rsidR="00FB3DDD" w:rsidRPr="002C5AC6">
        <w:rPr>
          <w:b/>
          <w:bCs/>
        </w:rPr>
        <w:t>ТЕЛСТВА КЪМ ОДИТЕН ДОКЛАД</w:t>
      </w:r>
    </w:p>
    <w:p w:rsidR="00FB3DDD" w:rsidRPr="002C5AC6" w:rsidRDefault="00FB3DDD" w:rsidP="002F0787">
      <w:pPr>
        <w:jc w:val="center"/>
        <w:rPr>
          <w:b/>
          <w:bCs/>
        </w:rPr>
      </w:pPr>
      <w:r w:rsidRPr="002C5AC6">
        <w:rPr>
          <w:b/>
          <w:bCs/>
        </w:rPr>
        <w:t xml:space="preserve">№ </w:t>
      </w:r>
      <w:r w:rsidR="007E40AA" w:rsidRPr="002C5AC6">
        <w:rPr>
          <w:b/>
          <w:bCs/>
        </w:rPr>
        <w:t>0</w:t>
      </w:r>
      <w:r w:rsidR="006C6ACB" w:rsidRPr="002C5AC6">
        <w:rPr>
          <w:b/>
          <w:bCs/>
        </w:rPr>
        <w:t>5001010115</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6614"/>
        <w:gridCol w:w="1607"/>
      </w:tblGrid>
      <w:tr w:rsidR="00FB3DDD" w:rsidRPr="002C5AC6" w:rsidTr="00037DC5">
        <w:trPr>
          <w:jc w:val="center"/>
        </w:trPr>
        <w:tc>
          <w:tcPr>
            <w:tcW w:w="1414" w:type="dxa"/>
            <w:vAlign w:val="center"/>
          </w:tcPr>
          <w:p w:rsidR="00FB3DDD" w:rsidRPr="002C5AC6" w:rsidRDefault="00FB3DDD" w:rsidP="002F0787">
            <w:pPr>
              <w:jc w:val="center"/>
            </w:pPr>
            <w:r w:rsidRPr="002C5AC6">
              <w:rPr>
                <w:bCs/>
              </w:rPr>
              <w:t>№</w:t>
            </w:r>
          </w:p>
        </w:tc>
        <w:tc>
          <w:tcPr>
            <w:tcW w:w="6614" w:type="dxa"/>
            <w:vAlign w:val="center"/>
          </w:tcPr>
          <w:p w:rsidR="00FB3DDD" w:rsidRPr="002C5AC6" w:rsidRDefault="00FB3DDD" w:rsidP="002F0787">
            <w:pPr>
              <w:jc w:val="both"/>
            </w:pPr>
            <w:r w:rsidRPr="002C5AC6">
              <w:rPr>
                <w:bCs/>
              </w:rPr>
              <w:t>Одитни доказателства</w:t>
            </w:r>
          </w:p>
        </w:tc>
        <w:tc>
          <w:tcPr>
            <w:tcW w:w="1607" w:type="dxa"/>
            <w:vAlign w:val="center"/>
          </w:tcPr>
          <w:p w:rsidR="00FB3DDD" w:rsidRPr="002C5AC6" w:rsidRDefault="00FB3DDD" w:rsidP="002F0787">
            <w:pPr>
              <w:jc w:val="center"/>
            </w:pPr>
            <w:r w:rsidRPr="002C5AC6">
              <w:rPr>
                <w:bCs/>
              </w:rPr>
              <w:t>Брой страници</w:t>
            </w:r>
          </w:p>
        </w:tc>
      </w:tr>
      <w:tr w:rsidR="00FB3DDD" w:rsidRPr="002C5AC6" w:rsidTr="00037DC5">
        <w:trPr>
          <w:jc w:val="center"/>
        </w:trPr>
        <w:tc>
          <w:tcPr>
            <w:tcW w:w="1414" w:type="dxa"/>
            <w:vAlign w:val="center"/>
          </w:tcPr>
          <w:p w:rsidR="00FB3DDD" w:rsidRPr="002C5AC6" w:rsidRDefault="001C3E22" w:rsidP="002F0787">
            <w:pPr>
              <w:jc w:val="center"/>
              <w:rPr>
                <w:bCs/>
              </w:rPr>
            </w:pPr>
            <w:r w:rsidRPr="002C5AC6">
              <w:rPr>
                <w:bCs/>
              </w:rPr>
              <w:t>1.</w:t>
            </w:r>
          </w:p>
        </w:tc>
        <w:tc>
          <w:tcPr>
            <w:tcW w:w="6614" w:type="dxa"/>
            <w:vAlign w:val="center"/>
          </w:tcPr>
          <w:p w:rsidR="00FB3DDD" w:rsidRPr="002C5AC6" w:rsidRDefault="00A23884" w:rsidP="002F0787">
            <w:pPr>
              <w:jc w:val="both"/>
            </w:pPr>
            <w:r w:rsidRPr="002C5AC6">
              <w:t>СФУК на електронен носител</w:t>
            </w:r>
          </w:p>
        </w:tc>
        <w:tc>
          <w:tcPr>
            <w:tcW w:w="1607" w:type="dxa"/>
            <w:vAlign w:val="center"/>
          </w:tcPr>
          <w:p w:rsidR="001B4DFF" w:rsidRPr="002C5AC6" w:rsidRDefault="001B4DFF" w:rsidP="002F0787">
            <w:pPr>
              <w:jc w:val="center"/>
            </w:pPr>
          </w:p>
          <w:p w:rsidR="00FB3DDD" w:rsidRPr="002C5AC6" w:rsidRDefault="001B4DFF" w:rsidP="002F0787">
            <w:pPr>
              <w:jc w:val="center"/>
            </w:pPr>
            <w:r w:rsidRPr="002C5AC6">
              <w:t>-</w:t>
            </w:r>
          </w:p>
        </w:tc>
      </w:tr>
      <w:tr w:rsidR="00FB3DDD" w:rsidRPr="002C5AC6" w:rsidTr="00037DC5">
        <w:trPr>
          <w:jc w:val="center"/>
        </w:trPr>
        <w:tc>
          <w:tcPr>
            <w:tcW w:w="1414" w:type="dxa"/>
            <w:vAlign w:val="center"/>
          </w:tcPr>
          <w:p w:rsidR="00FB3DDD" w:rsidRPr="002C5AC6" w:rsidRDefault="00036C02" w:rsidP="002F0787">
            <w:pPr>
              <w:jc w:val="center"/>
              <w:rPr>
                <w:bCs/>
              </w:rPr>
            </w:pPr>
            <w:r w:rsidRPr="002C5AC6">
              <w:rPr>
                <w:bCs/>
              </w:rPr>
              <w:t>1а</w:t>
            </w:r>
          </w:p>
        </w:tc>
        <w:tc>
          <w:tcPr>
            <w:tcW w:w="6614" w:type="dxa"/>
            <w:vAlign w:val="center"/>
          </w:tcPr>
          <w:p w:rsidR="00FB3DDD" w:rsidRPr="002C5AC6" w:rsidRDefault="00A23884" w:rsidP="009D6FA3">
            <w:pPr>
              <w:jc w:val="both"/>
            </w:pPr>
            <w:r w:rsidRPr="002C5AC6">
              <w:t xml:space="preserve">Правила за СФУК </w:t>
            </w:r>
            <w:r w:rsidR="009D6FA3" w:rsidRPr="002C5AC6">
              <w:t xml:space="preserve">, утвърдени през </w:t>
            </w:r>
            <w:r w:rsidRPr="002C5AC6">
              <w:t>2015 г.</w:t>
            </w:r>
          </w:p>
        </w:tc>
        <w:tc>
          <w:tcPr>
            <w:tcW w:w="1607" w:type="dxa"/>
            <w:vAlign w:val="center"/>
          </w:tcPr>
          <w:p w:rsidR="00FB3DDD" w:rsidRPr="002C5AC6" w:rsidRDefault="00A23884" w:rsidP="002F0787">
            <w:pPr>
              <w:jc w:val="center"/>
            </w:pPr>
            <w:r w:rsidRPr="002C5AC6">
              <w:t>5</w:t>
            </w:r>
          </w:p>
        </w:tc>
      </w:tr>
      <w:tr w:rsidR="00FB3DDD" w:rsidRPr="002C5AC6" w:rsidTr="00037DC5">
        <w:trPr>
          <w:jc w:val="center"/>
        </w:trPr>
        <w:tc>
          <w:tcPr>
            <w:tcW w:w="1414" w:type="dxa"/>
            <w:vAlign w:val="center"/>
          </w:tcPr>
          <w:p w:rsidR="00FB3DDD" w:rsidRPr="002C5AC6" w:rsidRDefault="00967DCC" w:rsidP="002F0787">
            <w:pPr>
              <w:jc w:val="center"/>
              <w:rPr>
                <w:bCs/>
              </w:rPr>
            </w:pPr>
            <w:r w:rsidRPr="002C5AC6">
              <w:rPr>
                <w:bCs/>
              </w:rPr>
              <w:t>2</w:t>
            </w:r>
            <w:r w:rsidR="001C3E22" w:rsidRPr="002C5AC6">
              <w:rPr>
                <w:bCs/>
              </w:rPr>
              <w:t>.</w:t>
            </w:r>
          </w:p>
        </w:tc>
        <w:tc>
          <w:tcPr>
            <w:tcW w:w="6614" w:type="dxa"/>
            <w:vAlign w:val="center"/>
          </w:tcPr>
          <w:p w:rsidR="00FB3DDD" w:rsidRPr="002C5AC6" w:rsidRDefault="008860D4" w:rsidP="002F0787">
            <w:pPr>
              <w:jc w:val="both"/>
            </w:pPr>
            <w:r w:rsidRPr="002C5AC6">
              <w:t>Разчети по проекта на бюджет за 2014 г. и актуализирани разчети на прогнозите за 2015 и 2016 г.</w:t>
            </w:r>
          </w:p>
        </w:tc>
        <w:tc>
          <w:tcPr>
            <w:tcW w:w="1607" w:type="dxa"/>
            <w:vAlign w:val="center"/>
          </w:tcPr>
          <w:p w:rsidR="00FB3DDD" w:rsidRPr="002C5AC6" w:rsidRDefault="00983671" w:rsidP="002F0787">
            <w:pPr>
              <w:jc w:val="center"/>
            </w:pPr>
            <w:r w:rsidRPr="002C5AC6">
              <w:t>4</w:t>
            </w:r>
          </w:p>
        </w:tc>
      </w:tr>
      <w:tr w:rsidR="00967DCC" w:rsidRPr="002C5AC6" w:rsidTr="00037DC5">
        <w:trPr>
          <w:jc w:val="center"/>
        </w:trPr>
        <w:tc>
          <w:tcPr>
            <w:tcW w:w="1414" w:type="dxa"/>
            <w:vAlign w:val="center"/>
          </w:tcPr>
          <w:p w:rsidR="00967DCC" w:rsidRPr="002C5AC6" w:rsidRDefault="00967DCC" w:rsidP="002F0787">
            <w:pPr>
              <w:jc w:val="center"/>
              <w:rPr>
                <w:bCs/>
              </w:rPr>
            </w:pPr>
            <w:r w:rsidRPr="002C5AC6">
              <w:rPr>
                <w:bCs/>
              </w:rPr>
              <w:t>3.</w:t>
            </w:r>
          </w:p>
        </w:tc>
        <w:tc>
          <w:tcPr>
            <w:tcW w:w="6614" w:type="dxa"/>
            <w:vAlign w:val="center"/>
          </w:tcPr>
          <w:p w:rsidR="00967DCC" w:rsidRPr="002C5AC6" w:rsidRDefault="00967DCC" w:rsidP="002F0787">
            <w:pPr>
              <w:jc w:val="both"/>
            </w:pPr>
            <w:r w:rsidRPr="002C5AC6">
              <w:t>Справка „Утвърден бюджет и Отчет за 2014 г., месечно разпределение  на бюджета на СРС за 2014 г.Указания относно изпълнението на бюджета на съдебната власт за 2014 г.</w:t>
            </w:r>
          </w:p>
        </w:tc>
        <w:tc>
          <w:tcPr>
            <w:tcW w:w="1607" w:type="dxa"/>
            <w:vAlign w:val="center"/>
          </w:tcPr>
          <w:p w:rsidR="00967DCC" w:rsidRPr="002C5AC6" w:rsidRDefault="00983671" w:rsidP="002F0787">
            <w:pPr>
              <w:jc w:val="center"/>
            </w:pPr>
            <w:r w:rsidRPr="002C5AC6">
              <w:t>6</w:t>
            </w:r>
          </w:p>
        </w:tc>
      </w:tr>
      <w:tr w:rsidR="003444B7" w:rsidRPr="002C5AC6" w:rsidTr="00037DC5">
        <w:trPr>
          <w:jc w:val="center"/>
        </w:trPr>
        <w:tc>
          <w:tcPr>
            <w:tcW w:w="1414" w:type="dxa"/>
            <w:vAlign w:val="center"/>
          </w:tcPr>
          <w:p w:rsidR="003444B7" w:rsidRPr="002C5AC6" w:rsidRDefault="001C3E22" w:rsidP="002F0787">
            <w:pPr>
              <w:jc w:val="center"/>
              <w:rPr>
                <w:bCs/>
              </w:rPr>
            </w:pPr>
            <w:r w:rsidRPr="002C5AC6">
              <w:rPr>
                <w:bCs/>
              </w:rPr>
              <w:t>4.</w:t>
            </w:r>
          </w:p>
        </w:tc>
        <w:tc>
          <w:tcPr>
            <w:tcW w:w="6614" w:type="dxa"/>
            <w:vAlign w:val="center"/>
          </w:tcPr>
          <w:p w:rsidR="003444B7" w:rsidRPr="002C5AC6" w:rsidRDefault="00300B36" w:rsidP="002F0787">
            <w:pPr>
              <w:jc w:val="both"/>
            </w:pPr>
            <w:r w:rsidRPr="002C5AC6">
              <w:t>Корекции по бюджета на СРС за 2014 г.</w:t>
            </w:r>
          </w:p>
        </w:tc>
        <w:tc>
          <w:tcPr>
            <w:tcW w:w="1607" w:type="dxa"/>
            <w:vAlign w:val="center"/>
          </w:tcPr>
          <w:p w:rsidR="003444B7" w:rsidRPr="002C5AC6" w:rsidRDefault="00300B36" w:rsidP="002F0787">
            <w:pPr>
              <w:jc w:val="center"/>
            </w:pPr>
            <w:r w:rsidRPr="002C5AC6">
              <w:t>3</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5.</w:t>
            </w:r>
          </w:p>
        </w:tc>
        <w:tc>
          <w:tcPr>
            <w:tcW w:w="6614" w:type="dxa"/>
            <w:vAlign w:val="center"/>
          </w:tcPr>
          <w:p w:rsidR="00A45BA4" w:rsidRPr="002C5AC6" w:rsidRDefault="00A45BA4" w:rsidP="002F0787">
            <w:pPr>
              <w:jc w:val="both"/>
            </w:pPr>
            <w:r w:rsidRPr="002C5AC6">
              <w:t>Досие на гражданско дело № 49109/14 -  искова молба от 09.09.2014 г., декларация за материално и гражданско състояние на ищеца, справка, удостоверение от НОИ; Разпореждане за освобождаване от държавна такса</w:t>
            </w:r>
          </w:p>
        </w:tc>
        <w:tc>
          <w:tcPr>
            <w:tcW w:w="1607" w:type="dxa"/>
            <w:vAlign w:val="center"/>
          </w:tcPr>
          <w:p w:rsidR="00A45BA4" w:rsidRPr="002C5AC6" w:rsidRDefault="00A45BA4" w:rsidP="002F0787">
            <w:pPr>
              <w:jc w:val="center"/>
            </w:pPr>
            <w:r w:rsidRPr="002C5AC6">
              <w:t>8</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6.</w:t>
            </w:r>
          </w:p>
        </w:tc>
        <w:tc>
          <w:tcPr>
            <w:tcW w:w="6614" w:type="dxa"/>
            <w:vAlign w:val="center"/>
          </w:tcPr>
          <w:p w:rsidR="00A45BA4" w:rsidRPr="002C5AC6" w:rsidRDefault="00A45BA4" w:rsidP="002F0787">
            <w:pPr>
              <w:jc w:val="both"/>
            </w:pPr>
            <w:r w:rsidRPr="002C5AC6">
              <w:t>Досие на гражданско дело № 1148/14 – молба от 13.01.2014 г.; Съобщение; Разпореждане за прекратяване</w:t>
            </w:r>
          </w:p>
        </w:tc>
        <w:tc>
          <w:tcPr>
            <w:tcW w:w="1607" w:type="dxa"/>
            <w:vAlign w:val="center"/>
          </w:tcPr>
          <w:p w:rsidR="00A45BA4" w:rsidRPr="002C5AC6" w:rsidRDefault="00A45BA4" w:rsidP="002F0787">
            <w:pPr>
              <w:jc w:val="center"/>
            </w:pPr>
            <w:r w:rsidRPr="002C5AC6">
              <w:t>4</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7.</w:t>
            </w:r>
          </w:p>
        </w:tc>
        <w:tc>
          <w:tcPr>
            <w:tcW w:w="6614" w:type="dxa"/>
            <w:vAlign w:val="center"/>
          </w:tcPr>
          <w:p w:rsidR="00A45BA4" w:rsidRPr="002C5AC6" w:rsidRDefault="00A45BA4" w:rsidP="002F0787">
            <w:pPr>
              <w:jc w:val="both"/>
            </w:pPr>
            <w:r w:rsidRPr="002C5AC6">
              <w:t>Досие на гражданско дело 58836/2014 – молба от 30.10.2014 г., споразумение по чл. 51 от СК, Решение за прекратяване, вносни бележки- 3бр., извлечения от банката и от счетоводния продукт</w:t>
            </w:r>
          </w:p>
        </w:tc>
        <w:tc>
          <w:tcPr>
            <w:tcW w:w="1607" w:type="dxa"/>
            <w:vAlign w:val="center"/>
          </w:tcPr>
          <w:p w:rsidR="00A45BA4" w:rsidRPr="002C5AC6" w:rsidRDefault="00A45BA4" w:rsidP="002F0787">
            <w:pPr>
              <w:jc w:val="center"/>
            </w:pPr>
            <w:r w:rsidRPr="002C5AC6">
              <w:t>13</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8.</w:t>
            </w:r>
          </w:p>
        </w:tc>
        <w:tc>
          <w:tcPr>
            <w:tcW w:w="6614" w:type="dxa"/>
            <w:vAlign w:val="center"/>
          </w:tcPr>
          <w:p w:rsidR="00A45BA4" w:rsidRPr="002C5AC6" w:rsidRDefault="00A45BA4" w:rsidP="002F0787">
            <w:pPr>
              <w:jc w:val="both"/>
            </w:pPr>
            <w:r w:rsidRPr="002C5AC6">
              <w:t>Досие на гражданско дело №  48550/2014 - искова молба от 08.09.2014 г.; Вносна бележка за платена такса от 09.09.2014 г.; Разпореждане; Решение за прекратяване; извлечения от банката и от счетоводния продукт</w:t>
            </w:r>
          </w:p>
        </w:tc>
        <w:tc>
          <w:tcPr>
            <w:tcW w:w="1607" w:type="dxa"/>
            <w:vAlign w:val="center"/>
          </w:tcPr>
          <w:p w:rsidR="00A45BA4" w:rsidRPr="002C5AC6" w:rsidRDefault="00A45BA4" w:rsidP="002F0787">
            <w:pPr>
              <w:jc w:val="center"/>
            </w:pPr>
            <w:r w:rsidRPr="002C5AC6">
              <w:t>11</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9.</w:t>
            </w:r>
          </w:p>
        </w:tc>
        <w:tc>
          <w:tcPr>
            <w:tcW w:w="6614" w:type="dxa"/>
            <w:vAlign w:val="center"/>
          </w:tcPr>
          <w:p w:rsidR="00A45BA4" w:rsidRPr="002C5AC6" w:rsidRDefault="00A45BA4" w:rsidP="002F0787">
            <w:pPr>
              <w:jc w:val="both"/>
            </w:pPr>
            <w:r w:rsidRPr="002C5AC6">
              <w:t>Досие на гражданско дело № 12571/2014 – Искова молба от 10.03.2014 г., Молба от ищеца за отказ от искове; Разпореждане за прекратяване</w:t>
            </w:r>
          </w:p>
        </w:tc>
        <w:tc>
          <w:tcPr>
            <w:tcW w:w="1607" w:type="dxa"/>
            <w:vAlign w:val="center"/>
          </w:tcPr>
          <w:p w:rsidR="00A45BA4" w:rsidRPr="002C5AC6" w:rsidRDefault="00A45BA4" w:rsidP="002F0787">
            <w:pPr>
              <w:jc w:val="center"/>
            </w:pPr>
            <w:r w:rsidRPr="002C5AC6">
              <w:t>4</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10.</w:t>
            </w:r>
          </w:p>
        </w:tc>
        <w:tc>
          <w:tcPr>
            <w:tcW w:w="6614" w:type="dxa"/>
            <w:vAlign w:val="center"/>
          </w:tcPr>
          <w:p w:rsidR="00A45BA4" w:rsidRPr="002C5AC6" w:rsidRDefault="00A45BA4" w:rsidP="002F0787">
            <w:pPr>
              <w:jc w:val="both"/>
            </w:pPr>
            <w:r w:rsidRPr="002C5AC6">
              <w:t>Досие на гражданско дело № 64890/2014 – молба за промяна на име от 26.11.2014 г. Вносна бележка заплатена такса от 26.11.2014 г.; Становище; Решение за прекратяване; извлечения от банката и от счетоводния продукт</w:t>
            </w:r>
          </w:p>
        </w:tc>
        <w:tc>
          <w:tcPr>
            <w:tcW w:w="1607" w:type="dxa"/>
            <w:vAlign w:val="center"/>
          </w:tcPr>
          <w:p w:rsidR="00A45BA4" w:rsidRPr="002C5AC6" w:rsidRDefault="00A45BA4" w:rsidP="002F0787">
            <w:pPr>
              <w:jc w:val="center"/>
            </w:pPr>
            <w:r w:rsidRPr="002C5AC6">
              <w:t>9</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11.</w:t>
            </w:r>
          </w:p>
        </w:tc>
        <w:tc>
          <w:tcPr>
            <w:tcW w:w="6614" w:type="dxa"/>
            <w:vAlign w:val="center"/>
          </w:tcPr>
          <w:p w:rsidR="00A45BA4" w:rsidRPr="002C5AC6" w:rsidRDefault="00A45BA4" w:rsidP="002F0787">
            <w:pPr>
              <w:jc w:val="both"/>
            </w:pPr>
            <w:r w:rsidRPr="002C5AC6">
              <w:t>Досие на гражданско дело № 38614/14 – искова молба от 14.07.2014 г.; Резолюция; Разпореждане за прекратяване</w:t>
            </w:r>
          </w:p>
        </w:tc>
        <w:tc>
          <w:tcPr>
            <w:tcW w:w="1607" w:type="dxa"/>
            <w:vAlign w:val="center"/>
          </w:tcPr>
          <w:p w:rsidR="00A45BA4" w:rsidRPr="002C5AC6" w:rsidRDefault="00A45BA4" w:rsidP="002F0787">
            <w:pPr>
              <w:jc w:val="center"/>
            </w:pPr>
            <w:r w:rsidRPr="002C5AC6">
              <w:t>4</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12.</w:t>
            </w:r>
          </w:p>
        </w:tc>
        <w:tc>
          <w:tcPr>
            <w:tcW w:w="6614" w:type="dxa"/>
            <w:vAlign w:val="center"/>
          </w:tcPr>
          <w:p w:rsidR="00A45BA4" w:rsidRPr="002C5AC6" w:rsidRDefault="00A45BA4" w:rsidP="002F0787">
            <w:pPr>
              <w:jc w:val="both"/>
            </w:pPr>
            <w:r w:rsidRPr="002C5AC6">
              <w:t>Досие на наказателно дело от частен характер № 3986/14 – Тъжба от 26.02.2014 г.; Вносна бележка за платена такса от 26.02.2014 г.; Протокол за прекратяване, извлечения от банката и от счетоводния продукт</w:t>
            </w:r>
          </w:p>
        </w:tc>
        <w:tc>
          <w:tcPr>
            <w:tcW w:w="1607" w:type="dxa"/>
            <w:vAlign w:val="center"/>
          </w:tcPr>
          <w:p w:rsidR="00A45BA4" w:rsidRPr="002C5AC6" w:rsidRDefault="00A45BA4" w:rsidP="002F0787">
            <w:pPr>
              <w:jc w:val="center"/>
            </w:pPr>
            <w:r w:rsidRPr="002C5AC6">
              <w:t>14</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13.</w:t>
            </w:r>
          </w:p>
        </w:tc>
        <w:tc>
          <w:tcPr>
            <w:tcW w:w="6614" w:type="dxa"/>
            <w:vAlign w:val="center"/>
          </w:tcPr>
          <w:p w:rsidR="00A45BA4" w:rsidRPr="002C5AC6" w:rsidRDefault="00A45BA4" w:rsidP="002F0787">
            <w:pPr>
              <w:jc w:val="both"/>
            </w:pPr>
            <w:r w:rsidRPr="002C5AC6">
              <w:t>Досие на наказателно дело от частен характер № 9618/14 – Тъжба от 14.05.2014 г.; Вносни бележки за платени такси-2 бр.; съдебно удостоверение; Разписка; Определение за прекратяване , извлечения от банката и от счетоводния продукт</w:t>
            </w:r>
          </w:p>
        </w:tc>
        <w:tc>
          <w:tcPr>
            <w:tcW w:w="1607" w:type="dxa"/>
            <w:vAlign w:val="center"/>
          </w:tcPr>
          <w:p w:rsidR="00A45BA4" w:rsidRPr="002C5AC6" w:rsidRDefault="00A45BA4" w:rsidP="002F0787">
            <w:pPr>
              <w:jc w:val="center"/>
            </w:pPr>
            <w:r w:rsidRPr="002C5AC6">
              <w:t>17</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14.</w:t>
            </w:r>
          </w:p>
        </w:tc>
        <w:tc>
          <w:tcPr>
            <w:tcW w:w="6614" w:type="dxa"/>
            <w:vAlign w:val="center"/>
          </w:tcPr>
          <w:p w:rsidR="00A45BA4" w:rsidRPr="002C5AC6" w:rsidRDefault="00A45BA4" w:rsidP="002F0787">
            <w:pPr>
              <w:jc w:val="both"/>
            </w:pPr>
            <w:r w:rsidRPr="002C5AC6">
              <w:t xml:space="preserve">Досие на наказателно дело от частен характер № 13153/14 – Тъжба от 03.07.2014 г.; Разпореждане за отстраняване на </w:t>
            </w:r>
            <w:r w:rsidRPr="002C5AC6">
              <w:lastRenderedPageBreak/>
              <w:t>несъответствия; Разпореждане за прекратяване</w:t>
            </w:r>
          </w:p>
        </w:tc>
        <w:tc>
          <w:tcPr>
            <w:tcW w:w="1607" w:type="dxa"/>
            <w:vAlign w:val="center"/>
          </w:tcPr>
          <w:p w:rsidR="00A45BA4" w:rsidRPr="002C5AC6" w:rsidRDefault="00A45BA4" w:rsidP="002F0787">
            <w:pPr>
              <w:jc w:val="center"/>
            </w:pPr>
            <w:r w:rsidRPr="002C5AC6">
              <w:lastRenderedPageBreak/>
              <w:t>6</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lastRenderedPageBreak/>
              <w:t>15.</w:t>
            </w:r>
          </w:p>
        </w:tc>
        <w:tc>
          <w:tcPr>
            <w:tcW w:w="6614" w:type="dxa"/>
            <w:vAlign w:val="center"/>
          </w:tcPr>
          <w:p w:rsidR="00A45BA4" w:rsidRPr="002C5AC6" w:rsidRDefault="00A45BA4" w:rsidP="002F0787">
            <w:pPr>
              <w:jc w:val="both"/>
            </w:pPr>
            <w:r w:rsidRPr="002C5AC6">
              <w:t>Досие на наказателно дело от частен характер № 1835/2014 – Тъжба от 03.02.2014 г.; Вносна бележка за платена такса от 03.02.2014 г.; Протокол за прекратяване , извлечения от банката и от счетоводния продукт; Изпълнителен лист; Вносна бележка за платена такса за изпълнителен лист; Обяснение от съдебен деловодител</w:t>
            </w:r>
          </w:p>
        </w:tc>
        <w:tc>
          <w:tcPr>
            <w:tcW w:w="1607" w:type="dxa"/>
            <w:vAlign w:val="center"/>
          </w:tcPr>
          <w:p w:rsidR="00A45BA4" w:rsidRPr="002C5AC6" w:rsidRDefault="00A45BA4" w:rsidP="002F0787">
            <w:pPr>
              <w:jc w:val="center"/>
            </w:pPr>
            <w:r w:rsidRPr="002C5AC6">
              <w:t>10</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16.</w:t>
            </w:r>
          </w:p>
        </w:tc>
        <w:tc>
          <w:tcPr>
            <w:tcW w:w="6614" w:type="dxa"/>
            <w:vAlign w:val="center"/>
          </w:tcPr>
          <w:p w:rsidR="00A45BA4" w:rsidRPr="002C5AC6" w:rsidRDefault="00A45BA4" w:rsidP="002F0787">
            <w:pPr>
              <w:jc w:val="both"/>
            </w:pPr>
            <w:r w:rsidRPr="002C5AC6">
              <w:t>Досие на изпълнително дело № 501/14</w:t>
            </w:r>
            <w:r w:rsidR="0002098E" w:rsidRPr="002C5AC6">
              <w:t xml:space="preserve"> г.</w:t>
            </w:r>
            <w:r w:rsidRPr="002C5AC6">
              <w:t xml:space="preserve"> – молба за образуване на изпълнително дело; изпълнителен лист; запорно съобщение</w:t>
            </w:r>
          </w:p>
        </w:tc>
        <w:tc>
          <w:tcPr>
            <w:tcW w:w="1607" w:type="dxa"/>
            <w:vAlign w:val="center"/>
          </w:tcPr>
          <w:p w:rsidR="00A45BA4" w:rsidRPr="002C5AC6" w:rsidRDefault="00A45BA4" w:rsidP="002F0787">
            <w:pPr>
              <w:jc w:val="center"/>
            </w:pPr>
            <w:r w:rsidRPr="002C5AC6">
              <w:t>4</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17.</w:t>
            </w:r>
          </w:p>
        </w:tc>
        <w:tc>
          <w:tcPr>
            <w:tcW w:w="6614" w:type="dxa"/>
            <w:vAlign w:val="center"/>
          </w:tcPr>
          <w:p w:rsidR="00A45BA4" w:rsidRPr="002C5AC6" w:rsidRDefault="00A45BA4" w:rsidP="002F0787">
            <w:pPr>
              <w:jc w:val="both"/>
            </w:pPr>
            <w:r w:rsidRPr="002C5AC6">
              <w:t>Досие на изпълнително дело № 10021/14</w:t>
            </w:r>
            <w:r w:rsidR="0002098E" w:rsidRPr="002C5AC6">
              <w:t xml:space="preserve"> г.</w:t>
            </w:r>
            <w:r w:rsidRPr="002C5AC6">
              <w:t xml:space="preserve"> – Извлечение от специализиран софтуер; молба за образуване на изпълнително дело от 11.09.2014 г.; Изпълнителен лист; Вносна бележка за платена такса; Молба от ищеца за справки; Вносна бележка за платена такса за 2 бр. справки от ищец; Приложение към молба;Съобщение за налагане на запор; Молба за вписване на обезпечение; Постановление за налагане на обезпечителни мерки; молба от ответник и 2 бр. вносни бележки за частично погасяване на дълг;  извлечения от банката и от счетоводния продукт</w:t>
            </w:r>
          </w:p>
        </w:tc>
        <w:tc>
          <w:tcPr>
            <w:tcW w:w="1607" w:type="dxa"/>
            <w:vAlign w:val="center"/>
          </w:tcPr>
          <w:p w:rsidR="00A45BA4" w:rsidRPr="002C5AC6" w:rsidRDefault="00A45BA4" w:rsidP="002F0787">
            <w:pPr>
              <w:jc w:val="center"/>
            </w:pPr>
            <w:r w:rsidRPr="002C5AC6">
              <w:t>20</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18.</w:t>
            </w:r>
          </w:p>
        </w:tc>
        <w:tc>
          <w:tcPr>
            <w:tcW w:w="6614" w:type="dxa"/>
            <w:vAlign w:val="center"/>
          </w:tcPr>
          <w:p w:rsidR="00A45BA4" w:rsidRPr="002C5AC6" w:rsidRDefault="00A45BA4" w:rsidP="002F0787">
            <w:pPr>
              <w:jc w:val="both"/>
            </w:pPr>
            <w:r w:rsidRPr="002C5AC6">
              <w:t>Досие на изпълнително дело № 30075/2014</w:t>
            </w:r>
            <w:r w:rsidR="0002098E" w:rsidRPr="002C5AC6">
              <w:t xml:space="preserve"> г.</w:t>
            </w:r>
            <w:r w:rsidRPr="002C5AC6">
              <w:t xml:space="preserve"> – Молба за образуване на изпълнително дело от 28.03.2014 г.; Изпълнителен лист; Заповед за изпълнение на парично задължение; вносна бележка за платена такса; , извлечения от банката и от счетоводния продукт</w:t>
            </w:r>
          </w:p>
        </w:tc>
        <w:tc>
          <w:tcPr>
            <w:tcW w:w="1607" w:type="dxa"/>
            <w:vAlign w:val="center"/>
          </w:tcPr>
          <w:p w:rsidR="00A45BA4" w:rsidRPr="002C5AC6" w:rsidRDefault="00A45BA4" w:rsidP="002F0787">
            <w:pPr>
              <w:jc w:val="center"/>
            </w:pPr>
            <w:r w:rsidRPr="002C5AC6">
              <w:t>9</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19.</w:t>
            </w:r>
          </w:p>
        </w:tc>
        <w:tc>
          <w:tcPr>
            <w:tcW w:w="6614" w:type="dxa"/>
            <w:vAlign w:val="center"/>
          </w:tcPr>
          <w:p w:rsidR="00A45BA4" w:rsidRPr="002C5AC6" w:rsidRDefault="00A45BA4" w:rsidP="002F0787">
            <w:pPr>
              <w:jc w:val="both"/>
            </w:pPr>
            <w:r w:rsidRPr="002C5AC6">
              <w:t>Досие на изпълнително дело № 10098/14</w:t>
            </w:r>
            <w:r w:rsidR="0002098E" w:rsidRPr="002C5AC6">
              <w:t xml:space="preserve"> г. </w:t>
            </w:r>
            <w:r w:rsidRPr="002C5AC6">
              <w:t>– молба за образуване на изпълнително дело от 10.05.2014 г.; изпълнителен лист; Покана за доброволно изпълнение и разписка за връчване; запорно съобщение; сметка за дължими държавни такси</w:t>
            </w:r>
          </w:p>
        </w:tc>
        <w:tc>
          <w:tcPr>
            <w:tcW w:w="1607" w:type="dxa"/>
            <w:vAlign w:val="center"/>
          </w:tcPr>
          <w:p w:rsidR="00A45BA4" w:rsidRPr="002C5AC6" w:rsidRDefault="00A45BA4" w:rsidP="002F0787">
            <w:pPr>
              <w:jc w:val="center"/>
            </w:pPr>
            <w:r w:rsidRPr="002C5AC6">
              <w:t>6</w:t>
            </w:r>
          </w:p>
        </w:tc>
      </w:tr>
      <w:tr w:rsidR="00A45BA4" w:rsidRPr="002C5AC6" w:rsidTr="00037DC5">
        <w:trPr>
          <w:jc w:val="center"/>
        </w:trPr>
        <w:tc>
          <w:tcPr>
            <w:tcW w:w="1414" w:type="dxa"/>
            <w:vAlign w:val="center"/>
          </w:tcPr>
          <w:p w:rsidR="00A45BA4" w:rsidRPr="002C5AC6" w:rsidRDefault="001C3E22" w:rsidP="002F0787">
            <w:pPr>
              <w:jc w:val="center"/>
              <w:rPr>
                <w:bCs/>
              </w:rPr>
            </w:pPr>
            <w:r w:rsidRPr="002C5AC6">
              <w:rPr>
                <w:bCs/>
              </w:rPr>
              <w:t>20.</w:t>
            </w:r>
          </w:p>
        </w:tc>
        <w:tc>
          <w:tcPr>
            <w:tcW w:w="6614" w:type="dxa"/>
          </w:tcPr>
          <w:p w:rsidR="00A45BA4" w:rsidRPr="002C5AC6" w:rsidRDefault="00A45BA4" w:rsidP="002F0787">
            <w:pPr>
              <w:jc w:val="both"/>
            </w:pPr>
            <w:r w:rsidRPr="002C5AC6">
              <w:t>Длъжностни разписания на Софийски районен съд Поименни разписания на длъжностите и работните заплати на СРС</w:t>
            </w:r>
            <w:r w:rsidR="004C0A4A" w:rsidRPr="002C5AC6">
              <w:t xml:space="preserve"> и длъжностни характеристики</w:t>
            </w:r>
          </w:p>
        </w:tc>
        <w:tc>
          <w:tcPr>
            <w:tcW w:w="1607" w:type="dxa"/>
            <w:vAlign w:val="center"/>
          </w:tcPr>
          <w:p w:rsidR="00A45BA4" w:rsidRPr="002C5AC6" w:rsidRDefault="004C0A4A" w:rsidP="002F0787">
            <w:pPr>
              <w:jc w:val="center"/>
            </w:pPr>
            <w:r w:rsidRPr="002C5AC6">
              <w:t>7</w:t>
            </w:r>
            <w:r w:rsidR="00A45BA4" w:rsidRPr="002C5AC6">
              <w:t>4</w:t>
            </w:r>
          </w:p>
        </w:tc>
      </w:tr>
      <w:tr w:rsidR="00A45BA4" w:rsidRPr="002C5AC6" w:rsidTr="00037DC5">
        <w:trPr>
          <w:jc w:val="center"/>
        </w:trPr>
        <w:tc>
          <w:tcPr>
            <w:tcW w:w="1414" w:type="dxa"/>
            <w:vAlign w:val="center"/>
          </w:tcPr>
          <w:p w:rsidR="00A45BA4" w:rsidRPr="002C5AC6" w:rsidRDefault="001C3E22" w:rsidP="002F0787">
            <w:pPr>
              <w:jc w:val="center"/>
            </w:pPr>
            <w:r w:rsidRPr="002C5AC6">
              <w:t>21.</w:t>
            </w:r>
          </w:p>
        </w:tc>
        <w:tc>
          <w:tcPr>
            <w:tcW w:w="6614" w:type="dxa"/>
          </w:tcPr>
          <w:p w:rsidR="00A45BA4" w:rsidRPr="002C5AC6" w:rsidRDefault="00A45BA4" w:rsidP="008467F1">
            <w:pPr>
              <w:jc w:val="both"/>
            </w:pPr>
            <w:r w:rsidRPr="002C5AC6">
              <w:t>Отчет за касово изпълнение към 31.12.2014</w:t>
            </w:r>
            <w:r w:rsidR="0076319E" w:rsidRPr="002C5AC6">
              <w:t xml:space="preserve"> г</w:t>
            </w:r>
            <w:r w:rsidRPr="002C5AC6">
              <w:t>. – електронен носител</w:t>
            </w:r>
          </w:p>
        </w:tc>
        <w:tc>
          <w:tcPr>
            <w:tcW w:w="1607" w:type="dxa"/>
            <w:vAlign w:val="center"/>
          </w:tcPr>
          <w:p w:rsidR="00A45BA4" w:rsidRPr="002C5AC6" w:rsidRDefault="00A45BA4" w:rsidP="002F0787">
            <w:pPr>
              <w:jc w:val="center"/>
              <w:rPr>
                <w:color w:val="FF0000"/>
              </w:rPr>
            </w:pPr>
            <w:r w:rsidRPr="002C5AC6">
              <w:rPr>
                <w:color w:val="000000" w:themeColor="text1"/>
              </w:rPr>
              <w:t>-</w:t>
            </w:r>
          </w:p>
        </w:tc>
      </w:tr>
      <w:tr w:rsidR="00A45BA4" w:rsidRPr="002C5AC6" w:rsidTr="00037DC5">
        <w:trPr>
          <w:jc w:val="center"/>
        </w:trPr>
        <w:tc>
          <w:tcPr>
            <w:tcW w:w="1414" w:type="dxa"/>
            <w:vAlign w:val="center"/>
          </w:tcPr>
          <w:p w:rsidR="00A45BA4" w:rsidRPr="002C5AC6" w:rsidRDefault="001C3E22" w:rsidP="002F0787">
            <w:pPr>
              <w:jc w:val="center"/>
            </w:pPr>
            <w:r w:rsidRPr="002C5AC6">
              <w:t>22.</w:t>
            </w:r>
          </w:p>
        </w:tc>
        <w:tc>
          <w:tcPr>
            <w:tcW w:w="6614" w:type="dxa"/>
          </w:tcPr>
          <w:p w:rsidR="00A45BA4" w:rsidRPr="002C5AC6" w:rsidRDefault="00A45BA4" w:rsidP="008467F1">
            <w:pPr>
              <w:jc w:val="both"/>
            </w:pPr>
            <w:r w:rsidRPr="002C5AC6">
              <w:t>Извлечение от протокол № 23 на ВСС за утвърждаване на правила за опр</w:t>
            </w:r>
            <w:r w:rsidR="008467F1" w:rsidRPr="002C5AC6">
              <w:t>еделяне на индивидуалните</w:t>
            </w:r>
            <w:r w:rsidRPr="002C5AC6">
              <w:t xml:space="preserve"> месечни заплати</w:t>
            </w:r>
          </w:p>
        </w:tc>
        <w:tc>
          <w:tcPr>
            <w:tcW w:w="1607" w:type="dxa"/>
            <w:vAlign w:val="center"/>
          </w:tcPr>
          <w:p w:rsidR="00A45BA4" w:rsidRPr="002C5AC6" w:rsidRDefault="00A45BA4" w:rsidP="002F0787">
            <w:pPr>
              <w:jc w:val="center"/>
            </w:pPr>
            <w:r w:rsidRPr="002C5AC6">
              <w:t>6</w:t>
            </w:r>
          </w:p>
        </w:tc>
      </w:tr>
      <w:tr w:rsidR="00A45BA4" w:rsidRPr="002C5AC6" w:rsidTr="00037DC5">
        <w:trPr>
          <w:jc w:val="center"/>
        </w:trPr>
        <w:tc>
          <w:tcPr>
            <w:tcW w:w="1414" w:type="dxa"/>
            <w:vAlign w:val="center"/>
          </w:tcPr>
          <w:p w:rsidR="00A45BA4" w:rsidRPr="002C5AC6" w:rsidRDefault="001C3E22" w:rsidP="002F0787">
            <w:pPr>
              <w:jc w:val="center"/>
            </w:pPr>
            <w:r w:rsidRPr="002C5AC6">
              <w:t>23.</w:t>
            </w:r>
          </w:p>
        </w:tc>
        <w:tc>
          <w:tcPr>
            <w:tcW w:w="6614" w:type="dxa"/>
          </w:tcPr>
          <w:p w:rsidR="00A45BA4" w:rsidRPr="002C5AC6" w:rsidRDefault="00A45BA4" w:rsidP="002F0787">
            <w:pPr>
              <w:jc w:val="both"/>
            </w:pPr>
            <w:r w:rsidRPr="002C5AC6">
              <w:t>Извлечение от протокол № 29 от 12 юли 2012 г. на ВСС с Таблица №1 и Класификатор</w:t>
            </w:r>
          </w:p>
        </w:tc>
        <w:tc>
          <w:tcPr>
            <w:tcW w:w="1607" w:type="dxa"/>
            <w:vAlign w:val="center"/>
          </w:tcPr>
          <w:p w:rsidR="00A45BA4" w:rsidRPr="002C5AC6" w:rsidRDefault="00A45BA4" w:rsidP="002F0787">
            <w:pPr>
              <w:jc w:val="center"/>
            </w:pPr>
            <w:r w:rsidRPr="002C5AC6">
              <w:t>3</w:t>
            </w:r>
          </w:p>
        </w:tc>
      </w:tr>
      <w:tr w:rsidR="00A45BA4" w:rsidRPr="002C5AC6" w:rsidTr="00037DC5">
        <w:trPr>
          <w:jc w:val="center"/>
        </w:trPr>
        <w:tc>
          <w:tcPr>
            <w:tcW w:w="1414" w:type="dxa"/>
            <w:vAlign w:val="center"/>
          </w:tcPr>
          <w:p w:rsidR="00A45BA4" w:rsidRPr="002C5AC6" w:rsidRDefault="001C3E22" w:rsidP="002F0787">
            <w:pPr>
              <w:jc w:val="center"/>
            </w:pPr>
            <w:r w:rsidRPr="002C5AC6">
              <w:t>24.</w:t>
            </w:r>
          </w:p>
        </w:tc>
        <w:tc>
          <w:tcPr>
            <w:tcW w:w="6614" w:type="dxa"/>
          </w:tcPr>
          <w:p w:rsidR="00A45BA4" w:rsidRPr="002C5AC6" w:rsidRDefault="00A45BA4" w:rsidP="008467F1">
            <w:pPr>
              <w:jc w:val="both"/>
            </w:pPr>
            <w:r w:rsidRPr="002C5AC6">
              <w:t>Заповед № ЛС-И-629/14.08.2012</w:t>
            </w:r>
            <w:r w:rsidR="00022BFC" w:rsidRPr="002C5AC6">
              <w:t xml:space="preserve"> </w:t>
            </w:r>
            <w:r w:rsidRPr="002C5AC6">
              <w:t>г. на мин</w:t>
            </w:r>
            <w:r w:rsidR="008467F1" w:rsidRPr="002C5AC6">
              <w:t>иснъра</w:t>
            </w:r>
            <w:r w:rsidRPr="002C5AC6">
              <w:t xml:space="preserve"> на правосъдието</w:t>
            </w:r>
          </w:p>
        </w:tc>
        <w:tc>
          <w:tcPr>
            <w:tcW w:w="1607" w:type="dxa"/>
            <w:vAlign w:val="center"/>
          </w:tcPr>
          <w:p w:rsidR="00A45BA4" w:rsidRPr="002C5AC6" w:rsidRDefault="00A45BA4" w:rsidP="002F0787">
            <w:pPr>
              <w:jc w:val="center"/>
            </w:pPr>
            <w:r w:rsidRPr="002C5AC6">
              <w:t>3</w:t>
            </w:r>
          </w:p>
        </w:tc>
      </w:tr>
      <w:tr w:rsidR="00A45BA4" w:rsidRPr="002C5AC6" w:rsidTr="00037DC5">
        <w:trPr>
          <w:jc w:val="center"/>
        </w:trPr>
        <w:tc>
          <w:tcPr>
            <w:tcW w:w="1414" w:type="dxa"/>
            <w:vAlign w:val="center"/>
          </w:tcPr>
          <w:p w:rsidR="00A45BA4" w:rsidRPr="002C5AC6" w:rsidRDefault="001C3E22" w:rsidP="002F0787">
            <w:pPr>
              <w:jc w:val="center"/>
            </w:pPr>
            <w:r w:rsidRPr="002C5AC6">
              <w:t>25.</w:t>
            </w:r>
          </w:p>
        </w:tc>
        <w:tc>
          <w:tcPr>
            <w:tcW w:w="6614" w:type="dxa"/>
          </w:tcPr>
          <w:p w:rsidR="00A45BA4" w:rsidRPr="002C5AC6" w:rsidRDefault="00A45BA4" w:rsidP="008467F1">
            <w:pPr>
              <w:jc w:val="both"/>
            </w:pPr>
            <w:r w:rsidRPr="002C5AC6">
              <w:rPr>
                <w:color w:val="000000" w:themeColor="text1"/>
              </w:rPr>
              <w:t>Извлечение от Протокол № 59 от 10.12.2014 г. на ВСС за доп</w:t>
            </w:r>
            <w:r w:rsidR="008467F1" w:rsidRPr="002C5AC6">
              <w:rPr>
                <w:color w:val="000000" w:themeColor="text1"/>
              </w:rPr>
              <w:t>ълнителни</w:t>
            </w:r>
            <w:r w:rsidRPr="002C5AC6">
              <w:rPr>
                <w:color w:val="000000" w:themeColor="text1"/>
              </w:rPr>
              <w:t xml:space="preserve"> възнаграждения</w:t>
            </w:r>
          </w:p>
        </w:tc>
        <w:tc>
          <w:tcPr>
            <w:tcW w:w="1607" w:type="dxa"/>
            <w:vAlign w:val="center"/>
          </w:tcPr>
          <w:p w:rsidR="00A45BA4" w:rsidRPr="002C5AC6" w:rsidRDefault="00A45BA4" w:rsidP="002F0787">
            <w:pPr>
              <w:jc w:val="center"/>
            </w:pPr>
            <w:r w:rsidRPr="002C5AC6">
              <w:t>6</w:t>
            </w:r>
          </w:p>
        </w:tc>
      </w:tr>
      <w:tr w:rsidR="00A45BA4" w:rsidRPr="002C5AC6" w:rsidTr="00037DC5">
        <w:trPr>
          <w:jc w:val="center"/>
        </w:trPr>
        <w:tc>
          <w:tcPr>
            <w:tcW w:w="1414" w:type="dxa"/>
            <w:vAlign w:val="center"/>
          </w:tcPr>
          <w:p w:rsidR="00A45BA4" w:rsidRPr="002C5AC6" w:rsidRDefault="001C3E22" w:rsidP="002F0787">
            <w:pPr>
              <w:jc w:val="center"/>
            </w:pPr>
            <w:r w:rsidRPr="002C5AC6">
              <w:t>26.</w:t>
            </w:r>
          </w:p>
        </w:tc>
        <w:tc>
          <w:tcPr>
            <w:tcW w:w="6614" w:type="dxa"/>
          </w:tcPr>
          <w:p w:rsidR="00A45BA4" w:rsidRPr="002C5AC6" w:rsidRDefault="00A45BA4" w:rsidP="002F0787">
            <w:pPr>
              <w:jc w:val="both"/>
            </w:pPr>
            <w:r w:rsidRPr="002C5AC6">
              <w:t>Заповед № 3873/12.12.2014</w:t>
            </w:r>
            <w:r w:rsidR="00516616" w:rsidRPr="002C5AC6">
              <w:t xml:space="preserve"> </w:t>
            </w:r>
            <w:r w:rsidRPr="002C5AC6">
              <w:t xml:space="preserve">г. за доп. </w:t>
            </w:r>
            <w:r w:rsidR="00F3562C" w:rsidRPr="002C5AC6">
              <w:t>в</w:t>
            </w:r>
            <w:r w:rsidRPr="002C5AC6">
              <w:t>ъзнагр</w:t>
            </w:r>
            <w:r w:rsidR="00F3562C" w:rsidRPr="002C5AC6">
              <w:t>.</w:t>
            </w:r>
            <w:r w:rsidRPr="002C5AC6">
              <w:t xml:space="preserve"> на председателя на СРС</w:t>
            </w:r>
          </w:p>
        </w:tc>
        <w:tc>
          <w:tcPr>
            <w:tcW w:w="1607" w:type="dxa"/>
            <w:vAlign w:val="center"/>
          </w:tcPr>
          <w:p w:rsidR="00A45BA4" w:rsidRPr="002C5AC6" w:rsidRDefault="00A45BA4" w:rsidP="002F0787">
            <w:pPr>
              <w:jc w:val="center"/>
            </w:pPr>
            <w:r w:rsidRPr="002C5AC6">
              <w:t>2</w:t>
            </w:r>
          </w:p>
        </w:tc>
      </w:tr>
      <w:tr w:rsidR="00A45BA4" w:rsidRPr="002C5AC6" w:rsidTr="00037DC5">
        <w:trPr>
          <w:jc w:val="center"/>
        </w:trPr>
        <w:tc>
          <w:tcPr>
            <w:tcW w:w="1414" w:type="dxa"/>
            <w:vAlign w:val="center"/>
          </w:tcPr>
          <w:p w:rsidR="00A45BA4" w:rsidRPr="002C5AC6" w:rsidRDefault="001C3E22" w:rsidP="002F0787">
            <w:pPr>
              <w:jc w:val="center"/>
            </w:pPr>
            <w:r w:rsidRPr="002C5AC6">
              <w:t>27.</w:t>
            </w:r>
          </w:p>
        </w:tc>
        <w:tc>
          <w:tcPr>
            <w:tcW w:w="6614" w:type="dxa"/>
          </w:tcPr>
          <w:p w:rsidR="00A45BA4" w:rsidRPr="002C5AC6" w:rsidRDefault="00A45BA4" w:rsidP="002F0787">
            <w:pPr>
              <w:jc w:val="both"/>
            </w:pPr>
            <w:r w:rsidRPr="002C5AC6">
              <w:t>Заповед № ЛС-И-1313/16.12.2014 г. доп. възнагр на ДСИ и Съдии по вписванията</w:t>
            </w:r>
          </w:p>
        </w:tc>
        <w:tc>
          <w:tcPr>
            <w:tcW w:w="1607" w:type="dxa"/>
            <w:vAlign w:val="center"/>
          </w:tcPr>
          <w:p w:rsidR="00A45BA4" w:rsidRPr="002C5AC6" w:rsidRDefault="00A45BA4" w:rsidP="002F0787">
            <w:pPr>
              <w:jc w:val="center"/>
            </w:pPr>
            <w:r w:rsidRPr="002C5AC6">
              <w:t>1</w:t>
            </w:r>
          </w:p>
        </w:tc>
      </w:tr>
      <w:tr w:rsidR="00A45BA4" w:rsidRPr="002C5AC6" w:rsidTr="00037DC5">
        <w:trPr>
          <w:jc w:val="center"/>
        </w:trPr>
        <w:tc>
          <w:tcPr>
            <w:tcW w:w="1414" w:type="dxa"/>
            <w:vAlign w:val="center"/>
          </w:tcPr>
          <w:p w:rsidR="00A45BA4" w:rsidRPr="002C5AC6" w:rsidRDefault="001C3E22" w:rsidP="002F0787">
            <w:pPr>
              <w:jc w:val="center"/>
            </w:pPr>
            <w:r w:rsidRPr="002C5AC6">
              <w:t>28.</w:t>
            </w:r>
          </w:p>
        </w:tc>
        <w:tc>
          <w:tcPr>
            <w:tcW w:w="6614" w:type="dxa"/>
          </w:tcPr>
          <w:p w:rsidR="00A45BA4" w:rsidRPr="002C5AC6" w:rsidRDefault="00A45BA4" w:rsidP="002F0787">
            <w:pPr>
              <w:jc w:val="both"/>
            </w:pPr>
            <w:r w:rsidRPr="002C5AC6">
              <w:t>Заповеди  № АС-66/16.05.2014</w:t>
            </w:r>
            <w:r w:rsidR="00516616" w:rsidRPr="002C5AC6">
              <w:t xml:space="preserve"> </w:t>
            </w:r>
            <w:r w:rsidRPr="002C5AC6">
              <w:t>г.; АС-116/24.07.2014г.; АС-</w:t>
            </w:r>
            <w:r w:rsidRPr="002C5AC6">
              <w:lastRenderedPageBreak/>
              <w:t>154/24.10.2014г.; № АС-209/13.12.2014 г. за СБКО</w:t>
            </w:r>
          </w:p>
        </w:tc>
        <w:tc>
          <w:tcPr>
            <w:tcW w:w="1607" w:type="dxa"/>
            <w:vAlign w:val="center"/>
          </w:tcPr>
          <w:p w:rsidR="00A45BA4" w:rsidRPr="002C5AC6" w:rsidRDefault="00A45BA4" w:rsidP="002F0787">
            <w:pPr>
              <w:jc w:val="center"/>
            </w:pPr>
            <w:r w:rsidRPr="002C5AC6">
              <w:lastRenderedPageBreak/>
              <w:t>58</w:t>
            </w:r>
          </w:p>
        </w:tc>
      </w:tr>
      <w:tr w:rsidR="00A45BA4" w:rsidRPr="002C5AC6" w:rsidTr="00037DC5">
        <w:trPr>
          <w:jc w:val="center"/>
        </w:trPr>
        <w:tc>
          <w:tcPr>
            <w:tcW w:w="1414" w:type="dxa"/>
            <w:vAlign w:val="center"/>
          </w:tcPr>
          <w:p w:rsidR="00A45BA4" w:rsidRPr="002C5AC6" w:rsidRDefault="001C3E22" w:rsidP="002F0787">
            <w:pPr>
              <w:jc w:val="center"/>
            </w:pPr>
            <w:r w:rsidRPr="002C5AC6">
              <w:lastRenderedPageBreak/>
              <w:t>29.</w:t>
            </w:r>
          </w:p>
        </w:tc>
        <w:tc>
          <w:tcPr>
            <w:tcW w:w="6614" w:type="dxa"/>
          </w:tcPr>
          <w:p w:rsidR="00A45BA4" w:rsidRPr="002C5AC6" w:rsidRDefault="00A45BA4" w:rsidP="00B23D90">
            <w:pPr>
              <w:jc w:val="both"/>
            </w:pPr>
            <w:r w:rsidRPr="002C5AC6">
              <w:t>Заповед № АС-31/05.03.2014 г. и писмо на Н</w:t>
            </w:r>
            <w:r w:rsidR="00B23D90">
              <w:t>ационалния статистически институт</w:t>
            </w:r>
            <w:r w:rsidRPr="002C5AC6">
              <w:t xml:space="preserve"> за облеклото</w:t>
            </w:r>
          </w:p>
        </w:tc>
        <w:tc>
          <w:tcPr>
            <w:tcW w:w="1607" w:type="dxa"/>
            <w:vAlign w:val="center"/>
          </w:tcPr>
          <w:p w:rsidR="00A45BA4" w:rsidRPr="002C5AC6" w:rsidRDefault="00A45BA4" w:rsidP="002F0787">
            <w:pPr>
              <w:jc w:val="center"/>
            </w:pPr>
            <w:r w:rsidRPr="002C5AC6">
              <w:t>2</w:t>
            </w:r>
          </w:p>
        </w:tc>
      </w:tr>
      <w:tr w:rsidR="00A45BA4" w:rsidRPr="002C5AC6" w:rsidTr="00037DC5">
        <w:trPr>
          <w:jc w:val="center"/>
        </w:trPr>
        <w:tc>
          <w:tcPr>
            <w:tcW w:w="1414" w:type="dxa"/>
            <w:vAlign w:val="center"/>
          </w:tcPr>
          <w:p w:rsidR="00A45BA4" w:rsidRPr="002C5AC6" w:rsidRDefault="001C3E22" w:rsidP="002F0787">
            <w:pPr>
              <w:jc w:val="center"/>
            </w:pPr>
            <w:r w:rsidRPr="002C5AC6">
              <w:t>30.</w:t>
            </w:r>
          </w:p>
        </w:tc>
        <w:tc>
          <w:tcPr>
            <w:tcW w:w="6614" w:type="dxa"/>
          </w:tcPr>
          <w:p w:rsidR="00A45BA4" w:rsidRPr="002C5AC6" w:rsidRDefault="00A45BA4" w:rsidP="002F0787">
            <w:pPr>
              <w:jc w:val="both"/>
              <w:rPr>
                <w:color w:val="000000" w:themeColor="text1"/>
              </w:rPr>
            </w:pPr>
            <w:r w:rsidRPr="002C5AC6">
              <w:rPr>
                <w:color w:val="000000" w:themeColor="text1"/>
              </w:rPr>
              <w:t>Решение на ВСС от 21.09.2007 г. от за допълнителните  възнаграждения за продължителна работа и проф. опит</w:t>
            </w:r>
          </w:p>
        </w:tc>
        <w:tc>
          <w:tcPr>
            <w:tcW w:w="1607" w:type="dxa"/>
            <w:vAlign w:val="center"/>
          </w:tcPr>
          <w:p w:rsidR="00A45BA4" w:rsidRPr="002C5AC6" w:rsidRDefault="00A45BA4" w:rsidP="002F0787">
            <w:pPr>
              <w:jc w:val="center"/>
            </w:pPr>
            <w:r w:rsidRPr="002C5AC6">
              <w:t>3</w:t>
            </w:r>
          </w:p>
        </w:tc>
      </w:tr>
      <w:tr w:rsidR="00A45BA4" w:rsidRPr="002C5AC6" w:rsidTr="00037DC5">
        <w:trPr>
          <w:jc w:val="center"/>
        </w:trPr>
        <w:tc>
          <w:tcPr>
            <w:tcW w:w="1414" w:type="dxa"/>
            <w:vAlign w:val="center"/>
          </w:tcPr>
          <w:p w:rsidR="00A45BA4" w:rsidRPr="002C5AC6" w:rsidRDefault="001C3E22" w:rsidP="002F0787">
            <w:pPr>
              <w:jc w:val="center"/>
            </w:pPr>
            <w:r w:rsidRPr="002C5AC6">
              <w:t>31.</w:t>
            </w:r>
          </w:p>
        </w:tc>
        <w:tc>
          <w:tcPr>
            <w:tcW w:w="6614" w:type="dxa"/>
          </w:tcPr>
          <w:p w:rsidR="00A45BA4" w:rsidRPr="002C5AC6" w:rsidRDefault="00A45BA4" w:rsidP="002F0787">
            <w:pPr>
              <w:jc w:val="both"/>
              <w:rPr>
                <w:color w:val="000000" w:themeColor="text1"/>
              </w:rPr>
            </w:pPr>
            <w:r w:rsidRPr="002C5AC6">
              <w:rPr>
                <w:color w:val="000000" w:themeColor="text1"/>
              </w:rPr>
              <w:t>Контролни листа и платежни нареждания за месеците: март, ноември и декември</w:t>
            </w:r>
          </w:p>
        </w:tc>
        <w:tc>
          <w:tcPr>
            <w:tcW w:w="1607" w:type="dxa"/>
            <w:vAlign w:val="center"/>
          </w:tcPr>
          <w:p w:rsidR="00A45BA4" w:rsidRPr="002C5AC6" w:rsidRDefault="00A45BA4" w:rsidP="002F0787">
            <w:pPr>
              <w:jc w:val="center"/>
            </w:pPr>
            <w:r w:rsidRPr="002C5AC6">
              <w:t>6</w:t>
            </w:r>
          </w:p>
        </w:tc>
      </w:tr>
      <w:tr w:rsidR="00A45BA4" w:rsidRPr="002C5AC6" w:rsidTr="00037DC5">
        <w:trPr>
          <w:jc w:val="center"/>
        </w:trPr>
        <w:tc>
          <w:tcPr>
            <w:tcW w:w="1414" w:type="dxa"/>
            <w:vAlign w:val="center"/>
          </w:tcPr>
          <w:p w:rsidR="00A45BA4" w:rsidRPr="002C5AC6" w:rsidRDefault="001C3E22" w:rsidP="002F0787">
            <w:pPr>
              <w:jc w:val="center"/>
            </w:pPr>
            <w:r w:rsidRPr="002C5AC6">
              <w:t>32.</w:t>
            </w:r>
          </w:p>
        </w:tc>
        <w:tc>
          <w:tcPr>
            <w:tcW w:w="6614" w:type="dxa"/>
          </w:tcPr>
          <w:p w:rsidR="00A45BA4" w:rsidRPr="002C5AC6" w:rsidRDefault="00A45BA4" w:rsidP="002F0787">
            <w:pPr>
              <w:jc w:val="both"/>
            </w:pPr>
            <w:r w:rsidRPr="002C5AC6">
              <w:t>Граждански договор от 08.08.2014</w:t>
            </w:r>
            <w:r w:rsidR="00537643" w:rsidRPr="002C5AC6">
              <w:t xml:space="preserve"> </w:t>
            </w:r>
            <w:r w:rsidRPr="002C5AC6">
              <w:t>г., сключен с Ивайло Стоянов</w:t>
            </w:r>
          </w:p>
        </w:tc>
        <w:tc>
          <w:tcPr>
            <w:tcW w:w="1607" w:type="dxa"/>
            <w:vAlign w:val="center"/>
          </w:tcPr>
          <w:p w:rsidR="00A45BA4" w:rsidRPr="002C5AC6" w:rsidRDefault="00A45BA4" w:rsidP="002F0787">
            <w:pPr>
              <w:jc w:val="center"/>
            </w:pPr>
            <w:r w:rsidRPr="002C5AC6">
              <w:t>2</w:t>
            </w:r>
          </w:p>
        </w:tc>
      </w:tr>
      <w:tr w:rsidR="00A45BA4" w:rsidRPr="002C5AC6" w:rsidTr="00037DC5">
        <w:trPr>
          <w:jc w:val="center"/>
        </w:trPr>
        <w:tc>
          <w:tcPr>
            <w:tcW w:w="1414" w:type="dxa"/>
            <w:vAlign w:val="center"/>
          </w:tcPr>
          <w:p w:rsidR="00A45BA4" w:rsidRPr="002C5AC6" w:rsidRDefault="001C3E22" w:rsidP="002F0787">
            <w:pPr>
              <w:jc w:val="center"/>
            </w:pPr>
            <w:r w:rsidRPr="002C5AC6">
              <w:t>33.</w:t>
            </w:r>
          </w:p>
        </w:tc>
        <w:tc>
          <w:tcPr>
            <w:tcW w:w="6614" w:type="dxa"/>
          </w:tcPr>
          <w:p w:rsidR="00A45BA4" w:rsidRPr="002C5AC6" w:rsidRDefault="00A45BA4" w:rsidP="002F0787">
            <w:pPr>
              <w:jc w:val="both"/>
            </w:pPr>
            <w:r w:rsidRPr="002C5AC6">
              <w:t>Регистър на гражданските договори, сключени през 2014 година – позиция 2 Контролни листа и платежни документи към гражданските договори</w:t>
            </w:r>
          </w:p>
        </w:tc>
        <w:tc>
          <w:tcPr>
            <w:tcW w:w="1607" w:type="dxa"/>
            <w:vAlign w:val="center"/>
          </w:tcPr>
          <w:p w:rsidR="00A45BA4" w:rsidRPr="002C5AC6" w:rsidRDefault="00A45BA4" w:rsidP="002F0787">
            <w:pPr>
              <w:jc w:val="center"/>
            </w:pPr>
            <w:r w:rsidRPr="002C5AC6">
              <w:t>37</w:t>
            </w:r>
          </w:p>
        </w:tc>
      </w:tr>
      <w:tr w:rsidR="00A45BA4" w:rsidRPr="002C5AC6" w:rsidTr="00037DC5">
        <w:trPr>
          <w:jc w:val="center"/>
        </w:trPr>
        <w:tc>
          <w:tcPr>
            <w:tcW w:w="1414" w:type="dxa"/>
            <w:vAlign w:val="center"/>
          </w:tcPr>
          <w:p w:rsidR="00A45BA4" w:rsidRPr="002C5AC6" w:rsidRDefault="001C3E22" w:rsidP="002F0787">
            <w:pPr>
              <w:jc w:val="center"/>
            </w:pPr>
            <w:r w:rsidRPr="002C5AC6">
              <w:t>34.</w:t>
            </w:r>
          </w:p>
        </w:tc>
        <w:tc>
          <w:tcPr>
            <w:tcW w:w="6614" w:type="dxa"/>
          </w:tcPr>
          <w:p w:rsidR="00A45BA4" w:rsidRPr="002C5AC6" w:rsidRDefault="00A45BA4" w:rsidP="002F0787">
            <w:pPr>
              <w:jc w:val="both"/>
            </w:pPr>
            <w:r w:rsidRPr="002C5AC6">
              <w:t>Заповед № АС-248/28.10.2010</w:t>
            </w:r>
            <w:r w:rsidR="00A26DDD" w:rsidRPr="002C5AC6">
              <w:t xml:space="preserve"> </w:t>
            </w:r>
            <w:r w:rsidRPr="002C5AC6">
              <w:t>г. за извънреден труд</w:t>
            </w:r>
          </w:p>
        </w:tc>
        <w:tc>
          <w:tcPr>
            <w:tcW w:w="1607" w:type="dxa"/>
            <w:vAlign w:val="center"/>
          </w:tcPr>
          <w:p w:rsidR="00A45BA4" w:rsidRPr="002C5AC6" w:rsidRDefault="00A45BA4" w:rsidP="002F0787">
            <w:pPr>
              <w:jc w:val="center"/>
            </w:pPr>
            <w:r w:rsidRPr="002C5AC6">
              <w:t>2</w:t>
            </w:r>
          </w:p>
        </w:tc>
      </w:tr>
      <w:tr w:rsidR="00A45BA4" w:rsidRPr="002C5AC6" w:rsidTr="00037DC5">
        <w:trPr>
          <w:jc w:val="center"/>
        </w:trPr>
        <w:tc>
          <w:tcPr>
            <w:tcW w:w="1414" w:type="dxa"/>
            <w:vAlign w:val="center"/>
          </w:tcPr>
          <w:p w:rsidR="00A45BA4" w:rsidRPr="002C5AC6" w:rsidRDefault="001C3E22" w:rsidP="002F0787">
            <w:pPr>
              <w:jc w:val="center"/>
            </w:pPr>
            <w:r w:rsidRPr="002C5AC6">
              <w:t>35.</w:t>
            </w:r>
          </w:p>
        </w:tc>
        <w:tc>
          <w:tcPr>
            <w:tcW w:w="6614" w:type="dxa"/>
          </w:tcPr>
          <w:p w:rsidR="00A45BA4" w:rsidRPr="002C5AC6" w:rsidRDefault="00A45BA4" w:rsidP="002F0787">
            <w:pPr>
              <w:jc w:val="both"/>
            </w:pPr>
            <w:r w:rsidRPr="002C5AC6">
              <w:t>Решение по Протокол № 2/15.01.2003 г. за изв. труд-указания</w:t>
            </w:r>
          </w:p>
        </w:tc>
        <w:tc>
          <w:tcPr>
            <w:tcW w:w="1607" w:type="dxa"/>
            <w:vAlign w:val="center"/>
          </w:tcPr>
          <w:p w:rsidR="00A45BA4" w:rsidRPr="002C5AC6" w:rsidRDefault="00A45BA4" w:rsidP="002F0787">
            <w:pPr>
              <w:jc w:val="center"/>
            </w:pPr>
            <w:r w:rsidRPr="002C5AC6">
              <w:t>1</w:t>
            </w:r>
          </w:p>
        </w:tc>
      </w:tr>
      <w:tr w:rsidR="003A7113" w:rsidRPr="002C5AC6" w:rsidTr="00037DC5">
        <w:trPr>
          <w:jc w:val="center"/>
        </w:trPr>
        <w:tc>
          <w:tcPr>
            <w:tcW w:w="1414" w:type="dxa"/>
            <w:vAlign w:val="center"/>
          </w:tcPr>
          <w:p w:rsidR="003A7113" w:rsidRPr="002C5AC6" w:rsidRDefault="001C3E22" w:rsidP="002F0787">
            <w:pPr>
              <w:jc w:val="center"/>
            </w:pPr>
            <w:r w:rsidRPr="002C5AC6">
              <w:t>36.</w:t>
            </w:r>
          </w:p>
        </w:tc>
        <w:tc>
          <w:tcPr>
            <w:tcW w:w="6614" w:type="dxa"/>
          </w:tcPr>
          <w:p w:rsidR="003A7113" w:rsidRPr="002C5AC6" w:rsidRDefault="003A7113" w:rsidP="002F0787">
            <w:pPr>
              <w:jc w:val="both"/>
            </w:pPr>
            <w:r w:rsidRPr="002C5AC6">
              <w:t>Декларации за извънреден труд</w:t>
            </w:r>
          </w:p>
        </w:tc>
        <w:tc>
          <w:tcPr>
            <w:tcW w:w="1607" w:type="dxa"/>
            <w:vAlign w:val="center"/>
          </w:tcPr>
          <w:p w:rsidR="003A7113" w:rsidRPr="002C5AC6" w:rsidRDefault="00091CE4" w:rsidP="002F0787">
            <w:pPr>
              <w:jc w:val="center"/>
            </w:pPr>
            <w:r w:rsidRPr="002C5AC6">
              <w:t>16</w:t>
            </w:r>
          </w:p>
        </w:tc>
      </w:tr>
      <w:tr w:rsidR="00A45BA4" w:rsidRPr="002C5AC6" w:rsidTr="00037DC5">
        <w:trPr>
          <w:jc w:val="center"/>
        </w:trPr>
        <w:tc>
          <w:tcPr>
            <w:tcW w:w="1414" w:type="dxa"/>
            <w:vAlign w:val="center"/>
          </w:tcPr>
          <w:p w:rsidR="00A45BA4" w:rsidRPr="002C5AC6" w:rsidRDefault="001C3E22" w:rsidP="00037DC5">
            <w:pPr>
              <w:jc w:val="center"/>
            </w:pPr>
            <w:r w:rsidRPr="002C5AC6">
              <w:t>37.</w:t>
            </w:r>
          </w:p>
        </w:tc>
        <w:tc>
          <w:tcPr>
            <w:tcW w:w="6614" w:type="dxa"/>
          </w:tcPr>
          <w:p w:rsidR="00A45BA4" w:rsidRPr="002C5AC6" w:rsidRDefault="00A45BA4" w:rsidP="002F0787">
            <w:pPr>
              <w:jc w:val="both"/>
            </w:pPr>
            <w:r w:rsidRPr="002C5AC6">
              <w:t xml:space="preserve"> Заповед № АС-207/27.12.2013</w:t>
            </w:r>
            <w:r w:rsidR="00537643" w:rsidRPr="002C5AC6">
              <w:t xml:space="preserve"> </w:t>
            </w:r>
            <w:r w:rsidRPr="002C5AC6">
              <w:t xml:space="preserve">г. </w:t>
            </w:r>
          </w:p>
        </w:tc>
        <w:tc>
          <w:tcPr>
            <w:tcW w:w="1607" w:type="dxa"/>
            <w:vAlign w:val="center"/>
          </w:tcPr>
          <w:p w:rsidR="00A45BA4" w:rsidRPr="002C5AC6" w:rsidRDefault="00A45BA4" w:rsidP="00037DC5">
            <w:pPr>
              <w:jc w:val="center"/>
            </w:pPr>
            <w:r w:rsidRPr="002C5AC6">
              <w:t>5</w:t>
            </w:r>
          </w:p>
        </w:tc>
      </w:tr>
      <w:tr w:rsidR="00C376EC" w:rsidRPr="002C5AC6" w:rsidTr="00037DC5">
        <w:trPr>
          <w:jc w:val="center"/>
        </w:trPr>
        <w:tc>
          <w:tcPr>
            <w:tcW w:w="1414" w:type="dxa"/>
            <w:vAlign w:val="center"/>
          </w:tcPr>
          <w:p w:rsidR="00C376EC" w:rsidRPr="002C5AC6" w:rsidRDefault="00C376EC" w:rsidP="00037DC5">
            <w:pPr>
              <w:jc w:val="center"/>
            </w:pPr>
            <w:r w:rsidRPr="002C5AC6">
              <w:t>38.</w:t>
            </w:r>
          </w:p>
        </w:tc>
        <w:tc>
          <w:tcPr>
            <w:tcW w:w="6614" w:type="dxa"/>
          </w:tcPr>
          <w:p w:rsidR="00C376EC" w:rsidRPr="002C5AC6" w:rsidRDefault="00C376EC" w:rsidP="002F0787">
            <w:pPr>
              <w:jc w:val="both"/>
            </w:pPr>
            <w:r w:rsidRPr="002C5AC6">
              <w:t>Заповед № АС-163/31.10.2014 г. за извънр. труд</w:t>
            </w:r>
          </w:p>
        </w:tc>
        <w:tc>
          <w:tcPr>
            <w:tcW w:w="1607" w:type="dxa"/>
            <w:vAlign w:val="center"/>
          </w:tcPr>
          <w:p w:rsidR="00C376EC" w:rsidRPr="002C5AC6" w:rsidRDefault="00C376EC" w:rsidP="00037DC5">
            <w:pPr>
              <w:jc w:val="center"/>
            </w:pPr>
          </w:p>
        </w:tc>
      </w:tr>
      <w:tr w:rsidR="00790FED" w:rsidRPr="002C5AC6" w:rsidTr="00037DC5">
        <w:trPr>
          <w:jc w:val="center"/>
        </w:trPr>
        <w:tc>
          <w:tcPr>
            <w:tcW w:w="1414" w:type="dxa"/>
            <w:vAlign w:val="center"/>
          </w:tcPr>
          <w:p w:rsidR="00790FED" w:rsidRPr="002C5AC6" w:rsidRDefault="00C376EC" w:rsidP="00037DC5">
            <w:pPr>
              <w:jc w:val="center"/>
            </w:pPr>
            <w:r w:rsidRPr="002C5AC6">
              <w:t>39</w:t>
            </w:r>
            <w:r w:rsidR="001C3E22" w:rsidRPr="002C5AC6">
              <w:t>.</w:t>
            </w:r>
          </w:p>
        </w:tc>
        <w:tc>
          <w:tcPr>
            <w:tcW w:w="6614" w:type="dxa"/>
          </w:tcPr>
          <w:p w:rsidR="00790FED" w:rsidRPr="002C5AC6" w:rsidRDefault="00790FED" w:rsidP="002F0787">
            <w:pPr>
              <w:jc w:val="both"/>
            </w:pPr>
            <w:r w:rsidRPr="002C5AC6">
              <w:t xml:space="preserve">  Заповеди №№ АС-15 от 13.02.2014 г., АС-30 от 04.03..2014 г., АС-41 от 01.04..2014 г., АС-54 от 07.05.2014 г., АС-80 от  05.06.2014 г., АС-102 от 01.07.2014 г.</w:t>
            </w:r>
          </w:p>
        </w:tc>
        <w:tc>
          <w:tcPr>
            <w:tcW w:w="1607" w:type="dxa"/>
            <w:vAlign w:val="center"/>
          </w:tcPr>
          <w:p w:rsidR="00790FED" w:rsidRPr="002C5AC6" w:rsidRDefault="00790FED" w:rsidP="00037DC5">
            <w:pPr>
              <w:jc w:val="center"/>
            </w:pPr>
            <w:r w:rsidRPr="002C5AC6">
              <w:t>6</w:t>
            </w:r>
          </w:p>
        </w:tc>
      </w:tr>
      <w:tr w:rsidR="00A45BA4" w:rsidRPr="002C5AC6" w:rsidTr="00037DC5">
        <w:trPr>
          <w:jc w:val="center"/>
        </w:trPr>
        <w:tc>
          <w:tcPr>
            <w:tcW w:w="1414" w:type="dxa"/>
            <w:vAlign w:val="center"/>
          </w:tcPr>
          <w:p w:rsidR="00A45BA4" w:rsidRPr="002C5AC6" w:rsidRDefault="001C3E22" w:rsidP="00037DC5">
            <w:pPr>
              <w:jc w:val="center"/>
            </w:pPr>
            <w:r w:rsidRPr="002C5AC6">
              <w:t>40.</w:t>
            </w:r>
          </w:p>
        </w:tc>
        <w:tc>
          <w:tcPr>
            <w:tcW w:w="6614" w:type="dxa"/>
          </w:tcPr>
          <w:p w:rsidR="00A45BA4" w:rsidRPr="002C5AC6" w:rsidRDefault="00790FED" w:rsidP="00B25BD1">
            <w:r w:rsidRPr="002C5AC6">
              <w:t>Книга за извън</w:t>
            </w:r>
            <w:r w:rsidR="00A45BA4" w:rsidRPr="002C5AC6">
              <w:t>редния труд</w:t>
            </w:r>
          </w:p>
        </w:tc>
        <w:tc>
          <w:tcPr>
            <w:tcW w:w="1607" w:type="dxa"/>
            <w:vAlign w:val="center"/>
          </w:tcPr>
          <w:p w:rsidR="00A45BA4" w:rsidRPr="002C5AC6" w:rsidRDefault="00A45BA4" w:rsidP="00037DC5">
            <w:pPr>
              <w:jc w:val="center"/>
            </w:pPr>
            <w:r w:rsidRPr="002C5AC6">
              <w:t>19</w:t>
            </w:r>
          </w:p>
        </w:tc>
      </w:tr>
      <w:tr w:rsidR="00A45BA4" w:rsidRPr="002C5AC6" w:rsidTr="00037DC5">
        <w:trPr>
          <w:jc w:val="center"/>
        </w:trPr>
        <w:tc>
          <w:tcPr>
            <w:tcW w:w="1414" w:type="dxa"/>
            <w:vAlign w:val="center"/>
          </w:tcPr>
          <w:p w:rsidR="00A45BA4" w:rsidRPr="002C5AC6" w:rsidRDefault="00AD1BAA" w:rsidP="00037DC5">
            <w:pPr>
              <w:jc w:val="center"/>
            </w:pPr>
            <w:r w:rsidRPr="002C5AC6">
              <w:t>41.</w:t>
            </w:r>
          </w:p>
        </w:tc>
        <w:tc>
          <w:tcPr>
            <w:tcW w:w="6614" w:type="dxa"/>
          </w:tcPr>
          <w:p w:rsidR="00A45BA4" w:rsidRPr="002C5AC6" w:rsidRDefault="00A45BA4" w:rsidP="00B25BD1">
            <w:r w:rsidRPr="002C5AC6">
              <w:t>Писмо с изх. № 27 / 06.01.2015г.</w:t>
            </w:r>
            <w:r w:rsidRPr="002C5AC6">
              <w:rPr>
                <w:color w:val="FF0000"/>
              </w:rPr>
              <w:t xml:space="preserve"> </w:t>
            </w:r>
          </w:p>
        </w:tc>
        <w:tc>
          <w:tcPr>
            <w:tcW w:w="1607" w:type="dxa"/>
            <w:vAlign w:val="center"/>
          </w:tcPr>
          <w:p w:rsidR="00A45BA4" w:rsidRPr="002C5AC6" w:rsidRDefault="00A45BA4" w:rsidP="00037DC5">
            <w:pPr>
              <w:jc w:val="center"/>
            </w:pPr>
            <w:r w:rsidRPr="002C5AC6">
              <w:t>2</w:t>
            </w:r>
          </w:p>
        </w:tc>
      </w:tr>
      <w:tr w:rsidR="00CA0AE5" w:rsidRPr="002C5AC6" w:rsidTr="00037DC5">
        <w:trPr>
          <w:jc w:val="center"/>
        </w:trPr>
        <w:tc>
          <w:tcPr>
            <w:tcW w:w="1414" w:type="dxa"/>
            <w:vAlign w:val="center"/>
          </w:tcPr>
          <w:p w:rsidR="00CA0AE5" w:rsidRPr="002C5AC6" w:rsidRDefault="00AD1BAA" w:rsidP="00037DC5">
            <w:pPr>
              <w:jc w:val="center"/>
            </w:pPr>
            <w:r w:rsidRPr="002C5AC6">
              <w:t>42.</w:t>
            </w:r>
          </w:p>
        </w:tc>
        <w:tc>
          <w:tcPr>
            <w:tcW w:w="6614" w:type="dxa"/>
            <w:vAlign w:val="center"/>
          </w:tcPr>
          <w:p w:rsidR="00CA0AE5" w:rsidRPr="002C5AC6" w:rsidRDefault="00CA0AE5" w:rsidP="00B25BD1">
            <w:r w:rsidRPr="002C5AC6">
              <w:t>Констативен протокол</w:t>
            </w:r>
            <w:r w:rsidR="00EC316C" w:rsidRPr="002C5AC6">
              <w:t xml:space="preserve">  и ВПОВВЛ в СРС</w:t>
            </w:r>
          </w:p>
        </w:tc>
        <w:tc>
          <w:tcPr>
            <w:tcW w:w="1607" w:type="dxa"/>
            <w:vAlign w:val="center"/>
          </w:tcPr>
          <w:p w:rsidR="00CA0AE5" w:rsidRPr="002C5AC6" w:rsidRDefault="00EC316C" w:rsidP="00037DC5">
            <w:pPr>
              <w:jc w:val="center"/>
            </w:pPr>
            <w:r w:rsidRPr="002C5AC6">
              <w:t>10</w:t>
            </w:r>
          </w:p>
        </w:tc>
      </w:tr>
      <w:tr w:rsidR="00CA0AE5" w:rsidRPr="002C5AC6" w:rsidTr="00037DC5">
        <w:trPr>
          <w:jc w:val="center"/>
        </w:trPr>
        <w:tc>
          <w:tcPr>
            <w:tcW w:w="1414" w:type="dxa"/>
            <w:vAlign w:val="center"/>
          </w:tcPr>
          <w:p w:rsidR="00CA0AE5" w:rsidRPr="002C5AC6" w:rsidRDefault="00AD1BAA" w:rsidP="00037DC5">
            <w:pPr>
              <w:jc w:val="center"/>
            </w:pPr>
            <w:r w:rsidRPr="002C5AC6">
              <w:t>43.</w:t>
            </w:r>
          </w:p>
        </w:tc>
        <w:tc>
          <w:tcPr>
            <w:tcW w:w="6614" w:type="dxa"/>
            <w:vAlign w:val="center"/>
          </w:tcPr>
          <w:p w:rsidR="00CA0AE5" w:rsidRPr="002C5AC6" w:rsidRDefault="00CA0AE5" w:rsidP="00B25BD1">
            <w:r w:rsidRPr="002C5AC6">
              <w:t>Справка за извършените разходи по параграф 10-20 „Разходи за външни услуги“ през 2014 г., Счетоводни справки за изплатени от бюджета и от депозит хонорари на вещи лица</w:t>
            </w:r>
          </w:p>
        </w:tc>
        <w:tc>
          <w:tcPr>
            <w:tcW w:w="1607" w:type="dxa"/>
            <w:vAlign w:val="center"/>
          </w:tcPr>
          <w:p w:rsidR="00CA0AE5" w:rsidRPr="002C5AC6" w:rsidRDefault="00CA0AE5" w:rsidP="00037DC5">
            <w:pPr>
              <w:jc w:val="center"/>
            </w:pPr>
            <w:r w:rsidRPr="002C5AC6">
              <w:t>7</w:t>
            </w:r>
          </w:p>
        </w:tc>
      </w:tr>
      <w:tr w:rsidR="00CA0AE5" w:rsidRPr="002C5AC6" w:rsidTr="00037DC5">
        <w:trPr>
          <w:jc w:val="center"/>
        </w:trPr>
        <w:tc>
          <w:tcPr>
            <w:tcW w:w="1414" w:type="dxa"/>
            <w:vAlign w:val="center"/>
          </w:tcPr>
          <w:p w:rsidR="00CA0AE5" w:rsidRPr="002C5AC6" w:rsidRDefault="00570423" w:rsidP="00037DC5">
            <w:pPr>
              <w:jc w:val="center"/>
            </w:pPr>
            <w:r w:rsidRPr="002C5AC6">
              <w:t>44.</w:t>
            </w:r>
          </w:p>
        </w:tc>
        <w:tc>
          <w:tcPr>
            <w:tcW w:w="6614" w:type="dxa"/>
            <w:vAlign w:val="center"/>
          </w:tcPr>
          <w:p w:rsidR="00CA0AE5" w:rsidRPr="002C5AC6" w:rsidRDefault="00CA0AE5" w:rsidP="00B25BD1">
            <w:r w:rsidRPr="002C5AC6">
              <w:t xml:space="preserve">Мемориални ордери № 29 за 2014 г.; Списъци за начисляване; Списъци за доначисляване; Контролен лист </w:t>
            </w:r>
          </w:p>
        </w:tc>
        <w:tc>
          <w:tcPr>
            <w:tcW w:w="1607" w:type="dxa"/>
            <w:vAlign w:val="center"/>
          </w:tcPr>
          <w:p w:rsidR="00CA0AE5" w:rsidRPr="002C5AC6" w:rsidRDefault="00CA0AE5" w:rsidP="00037DC5">
            <w:pPr>
              <w:jc w:val="center"/>
            </w:pPr>
            <w:r w:rsidRPr="002C5AC6">
              <w:t>158</w:t>
            </w:r>
          </w:p>
        </w:tc>
      </w:tr>
      <w:tr w:rsidR="00CA0AE5" w:rsidRPr="002C5AC6" w:rsidTr="00037DC5">
        <w:trPr>
          <w:jc w:val="center"/>
        </w:trPr>
        <w:tc>
          <w:tcPr>
            <w:tcW w:w="1414" w:type="dxa"/>
            <w:vAlign w:val="center"/>
          </w:tcPr>
          <w:p w:rsidR="00CA0AE5" w:rsidRPr="002C5AC6" w:rsidRDefault="00570423" w:rsidP="00037DC5">
            <w:pPr>
              <w:jc w:val="center"/>
            </w:pPr>
            <w:r w:rsidRPr="002C5AC6">
              <w:t>45.</w:t>
            </w:r>
          </w:p>
        </w:tc>
        <w:tc>
          <w:tcPr>
            <w:tcW w:w="6614" w:type="dxa"/>
            <w:vAlign w:val="center"/>
          </w:tcPr>
          <w:p w:rsidR="00CA0AE5" w:rsidRPr="002C5AC6" w:rsidRDefault="00CA0AE5" w:rsidP="00B25BD1">
            <w:r w:rsidRPr="002C5AC6">
              <w:t xml:space="preserve">Мемориални ордери № 29 от 30.01.2015 г.; Списък вещи лица месец януари 2015г.; Списък вещи лица месец януари 2015г. - доначисляване; Контролен лист 31.01.2015 г.; Мемориални ордери №29 от 27.02.2015 г.; Списък вещи лица месец февруари 2015г.; Списък вещи лица месец февруари 2015г. - доначисляване; Контролен лист 27.02.2015 г. </w:t>
            </w:r>
          </w:p>
        </w:tc>
        <w:tc>
          <w:tcPr>
            <w:tcW w:w="1607" w:type="dxa"/>
            <w:vAlign w:val="center"/>
          </w:tcPr>
          <w:p w:rsidR="00CA0AE5" w:rsidRPr="002C5AC6" w:rsidRDefault="00EC316C" w:rsidP="00037DC5">
            <w:pPr>
              <w:jc w:val="center"/>
            </w:pPr>
            <w:r w:rsidRPr="002C5AC6">
              <w:t>49</w:t>
            </w:r>
          </w:p>
        </w:tc>
      </w:tr>
      <w:tr w:rsidR="00CA0AE5" w:rsidRPr="002C5AC6" w:rsidTr="00037DC5">
        <w:trPr>
          <w:jc w:val="center"/>
        </w:trPr>
        <w:tc>
          <w:tcPr>
            <w:tcW w:w="1414" w:type="dxa"/>
            <w:vAlign w:val="center"/>
          </w:tcPr>
          <w:p w:rsidR="00CA0AE5" w:rsidRPr="002C5AC6" w:rsidRDefault="00570423" w:rsidP="00037DC5">
            <w:pPr>
              <w:jc w:val="center"/>
            </w:pPr>
            <w:r w:rsidRPr="002C5AC6">
              <w:t>46.</w:t>
            </w:r>
          </w:p>
        </w:tc>
        <w:tc>
          <w:tcPr>
            <w:tcW w:w="6614" w:type="dxa"/>
            <w:vAlign w:val="center"/>
          </w:tcPr>
          <w:p w:rsidR="00CA0AE5" w:rsidRPr="002C5AC6" w:rsidRDefault="00CA0AE5" w:rsidP="00B25BD1">
            <w:r w:rsidRPr="002C5AC6">
              <w:t>Обяснения на главен счетоводител</w:t>
            </w:r>
          </w:p>
        </w:tc>
        <w:tc>
          <w:tcPr>
            <w:tcW w:w="1607" w:type="dxa"/>
            <w:vAlign w:val="center"/>
          </w:tcPr>
          <w:p w:rsidR="00CA0AE5" w:rsidRPr="002C5AC6" w:rsidRDefault="00CA0AE5" w:rsidP="00037DC5">
            <w:pPr>
              <w:jc w:val="center"/>
            </w:pPr>
            <w:r w:rsidRPr="002C5AC6">
              <w:t>1</w:t>
            </w:r>
          </w:p>
        </w:tc>
      </w:tr>
      <w:tr w:rsidR="00CA0AE5" w:rsidRPr="002C5AC6" w:rsidTr="00037DC5">
        <w:trPr>
          <w:jc w:val="center"/>
        </w:trPr>
        <w:tc>
          <w:tcPr>
            <w:tcW w:w="1414" w:type="dxa"/>
            <w:vAlign w:val="center"/>
          </w:tcPr>
          <w:p w:rsidR="00CA0AE5" w:rsidRPr="002C5AC6" w:rsidRDefault="00570423" w:rsidP="00037DC5">
            <w:pPr>
              <w:jc w:val="center"/>
            </w:pPr>
            <w:r w:rsidRPr="002C5AC6">
              <w:t>47.</w:t>
            </w:r>
          </w:p>
        </w:tc>
        <w:tc>
          <w:tcPr>
            <w:tcW w:w="6614" w:type="dxa"/>
            <w:vAlign w:val="center"/>
          </w:tcPr>
          <w:p w:rsidR="00CA0AE5" w:rsidRPr="002C5AC6" w:rsidRDefault="00CA0AE5" w:rsidP="00B25BD1">
            <w:r w:rsidRPr="002C5AC6">
              <w:t>Заповед № АС-5 от 12.01.2015 г.</w:t>
            </w:r>
          </w:p>
        </w:tc>
        <w:tc>
          <w:tcPr>
            <w:tcW w:w="1607" w:type="dxa"/>
            <w:vAlign w:val="center"/>
          </w:tcPr>
          <w:p w:rsidR="00CA0AE5" w:rsidRPr="002C5AC6" w:rsidRDefault="00CA0AE5" w:rsidP="00037DC5">
            <w:pPr>
              <w:jc w:val="center"/>
            </w:pPr>
            <w:r w:rsidRPr="002C5AC6">
              <w:t>1</w:t>
            </w:r>
          </w:p>
        </w:tc>
      </w:tr>
      <w:tr w:rsidR="00CA0AE5" w:rsidRPr="002C5AC6" w:rsidTr="00037DC5">
        <w:trPr>
          <w:jc w:val="center"/>
        </w:trPr>
        <w:tc>
          <w:tcPr>
            <w:tcW w:w="1414" w:type="dxa"/>
            <w:vAlign w:val="center"/>
          </w:tcPr>
          <w:p w:rsidR="00CA0AE5" w:rsidRPr="002C5AC6" w:rsidRDefault="00570423" w:rsidP="00037DC5">
            <w:pPr>
              <w:jc w:val="center"/>
            </w:pPr>
            <w:r w:rsidRPr="002C5AC6">
              <w:t>48.</w:t>
            </w:r>
          </w:p>
        </w:tc>
        <w:tc>
          <w:tcPr>
            <w:tcW w:w="6614" w:type="dxa"/>
            <w:vAlign w:val="center"/>
          </w:tcPr>
          <w:p w:rsidR="00CA0AE5" w:rsidRPr="002C5AC6" w:rsidRDefault="00CA0AE5" w:rsidP="00B25BD1">
            <w:r w:rsidRPr="002C5AC6">
              <w:t xml:space="preserve">ОД № Касова книга, РКО №110/18.02.2014 г., Ведомост за изплатените граждански договори и хонорари, Контролен лист, РКО № 9/18.02.2014 г., Сметка по чл.9, ал. 2 от ЗДДФЛ, РКО № №0027782/17.10.2013 г.,  РКО № №0029442/01.11.2013 г. и РКО № №0026943/11.10.2013 г. </w:t>
            </w:r>
          </w:p>
        </w:tc>
        <w:tc>
          <w:tcPr>
            <w:tcW w:w="1607" w:type="dxa"/>
            <w:vAlign w:val="center"/>
          </w:tcPr>
          <w:p w:rsidR="00CA0AE5" w:rsidRPr="002C5AC6" w:rsidRDefault="00CA0AE5" w:rsidP="00037DC5">
            <w:pPr>
              <w:jc w:val="center"/>
            </w:pPr>
            <w:r w:rsidRPr="002C5AC6">
              <w:t>9</w:t>
            </w:r>
          </w:p>
        </w:tc>
      </w:tr>
      <w:tr w:rsidR="00CA0AE5" w:rsidRPr="002C5AC6" w:rsidTr="00037DC5">
        <w:trPr>
          <w:jc w:val="center"/>
        </w:trPr>
        <w:tc>
          <w:tcPr>
            <w:tcW w:w="1414" w:type="dxa"/>
            <w:vAlign w:val="center"/>
          </w:tcPr>
          <w:p w:rsidR="00CA0AE5" w:rsidRPr="002C5AC6" w:rsidRDefault="00570423" w:rsidP="00037DC5">
            <w:pPr>
              <w:jc w:val="center"/>
            </w:pPr>
            <w:r w:rsidRPr="002C5AC6">
              <w:t>49.</w:t>
            </w:r>
          </w:p>
        </w:tc>
        <w:tc>
          <w:tcPr>
            <w:tcW w:w="6614" w:type="dxa"/>
            <w:vAlign w:val="center"/>
          </w:tcPr>
          <w:p w:rsidR="00CA0AE5" w:rsidRPr="002C5AC6" w:rsidRDefault="00CA0AE5" w:rsidP="00B25BD1">
            <w:r w:rsidRPr="002C5AC6">
              <w:t>Заповед № АС-43 от 08.03.2012 г.</w:t>
            </w:r>
          </w:p>
        </w:tc>
        <w:tc>
          <w:tcPr>
            <w:tcW w:w="1607" w:type="dxa"/>
            <w:vAlign w:val="center"/>
          </w:tcPr>
          <w:p w:rsidR="00CA0AE5" w:rsidRPr="002C5AC6" w:rsidRDefault="00CA0AE5" w:rsidP="00037DC5">
            <w:pPr>
              <w:jc w:val="center"/>
            </w:pPr>
            <w:r w:rsidRPr="002C5AC6">
              <w:t>1</w:t>
            </w:r>
          </w:p>
        </w:tc>
      </w:tr>
      <w:tr w:rsidR="00CA0AE5" w:rsidRPr="002C5AC6" w:rsidTr="00037DC5">
        <w:trPr>
          <w:jc w:val="center"/>
        </w:trPr>
        <w:tc>
          <w:tcPr>
            <w:tcW w:w="1414" w:type="dxa"/>
            <w:vAlign w:val="center"/>
          </w:tcPr>
          <w:p w:rsidR="00CA0AE5" w:rsidRPr="002C5AC6" w:rsidRDefault="00570423" w:rsidP="00037DC5">
            <w:pPr>
              <w:jc w:val="center"/>
            </w:pPr>
            <w:r w:rsidRPr="002C5AC6">
              <w:t>50.</w:t>
            </w:r>
          </w:p>
        </w:tc>
        <w:tc>
          <w:tcPr>
            <w:tcW w:w="6614" w:type="dxa"/>
            <w:vAlign w:val="center"/>
          </w:tcPr>
          <w:p w:rsidR="00CA0AE5" w:rsidRPr="002C5AC6" w:rsidRDefault="00CA0AE5" w:rsidP="00B25BD1">
            <w:r w:rsidRPr="002C5AC6">
              <w:t>Длъжностна характеристика на старши специалист „счетоводител“</w:t>
            </w:r>
            <w:r w:rsidR="00B808B5" w:rsidRPr="002C5AC6">
              <w:t>, на главен счетоводител, длъжностна характеристика на старши експерт – юрисконсулт, длъжностна характеристика на главен специалист „счетоводител</w:t>
            </w:r>
          </w:p>
        </w:tc>
        <w:tc>
          <w:tcPr>
            <w:tcW w:w="1607" w:type="dxa"/>
            <w:vAlign w:val="center"/>
          </w:tcPr>
          <w:p w:rsidR="00CA0AE5" w:rsidRPr="002C5AC6" w:rsidRDefault="00B808B5" w:rsidP="00037DC5">
            <w:pPr>
              <w:jc w:val="center"/>
            </w:pPr>
            <w:r w:rsidRPr="002C5AC6">
              <w:t>11</w:t>
            </w:r>
          </w:p>
        </w:tc>
      </w:tr>
      <w:tr w:rsidR="00CA0AE5" w:rsidRPr="002C5AC6" w:rsidTr="00037DC5">
        <w:trPr>
          <w:jc w:val="center"/>
        </w:trPr>
        <w:tc>
          <w:tcPr>
            <w:tcW w:w="1414" w:type="dxa"/>
            <w:vAlign w:val="center"/>
          </w:tcPr>
          <w:p w:rsidR="00CA0AE5" w:rsidRPr="002C5AC6" w:rsidRDefault="00570423" w:rsidP="00037DC5">
            <w:pPr>
              <w:jc w:val="center"/>
            </w:pPr>
            <w:r w:rsidRPr="002C5AC6">
              <w:t>51.</w:t>
            </w:r>
          </w:p>
        </w:tc>
        <w:tc>
          <w:tcPr>
            <w:tcW w:w="6614" w:type="dxa"/>
            <w:vAlign w:val="center"/>
          </w:tcPr>
          <w:p w:rsidR="00CA0AE5" w:rsidRPr="002C5AC6" w:rsidRDefault="00CA0AE5" w:rsidP="00B25BD1">
            <w:r w:rsidRPr="002C5AC6">
              <w:t xml:space="preserve">Доклад на главния счетоводител от 11.09.2015 г., Заповед АС </w:t>
            </w:r>
            <w:r w:rsidRPr="002C5AC6">
              <w:lastRenderedPageBreak/>
              <w:t xml:space="preserve">- 43 от 08.03.2012 г., Заповед АС -92 от 23.05.2012 г. </w:t>
            </w:r>
            <w:r w:rsidR="00116056" w:rsidRPr="002C5AC6">
              <w:t>Молби за отпуск на главен счетоводител</w:t>
            </w:r>
          </w:p>
        </w:tc>
        <w:tc>
          <w:tcPr>
            <w:tcW w:w="1607" w:type="dxa"/>
            <w:vAlign w:val="center"/>
          </w:tcPr>
          <w:p w:rsidR="00CA0AE5" w:rsidRPr="002C5AC6" w:rsidRDefault="00B808B5" w:rsidP="00037DC5">
            <w:pPr>
              <w:jc w:val="center"/>
            </w:pPr>
            <w:r w:rsidRPr="002C5AC6">
              <w:lastRenderedPageBreak/>
              <w:t>5</w:t>
            </w:r>
          </w:p>
        </w:tc>
      </w:tr>
      <w:tr w:rsidR="00CA0AE5" w:rsidRPr="002C5AC6" w:rsidTr="00037DC5">
        <w:trPr>
          <w:jc w:val="center"/>
        </w:trPr>
        <w:tc>
          <w:tcPr>
            <w:tcW w:w="1414" w:type="dxa"/>
            <w:vAlign w:val="center"/>
          </w:tcPr>
          <w:p w:rsidR="00CA0AE5" w:rsidRPr="002C5AC6" w:rsidRDefault="002A777E" w:rsidP="00037DC5">
            <w:pPr>
              <w:jc w:val="center"/>
            </w:pPr>
            <w:r w:rsidRPr="002C5AC6">
              <w:lastRenderedPageBreak/>
              <w:t>52.</w:t>
            </w:r>
          </w:p>
        </w:tc>
        <w:tc>
          <w:tcPr>
            <w:tcW w:w="6614" w:type="dxa"/>
            <w:vAlign w:val="center"/>
          </w:tcPr>
          <w:p w:rsidR="00CA0AE5" w:rsidRPr="002C5AC6" w:rsidRDefault="002A777E" w:rsidP="00B25BD1">
            <w:r w:rsidRPr="002C5AC6">
              <w:t>Одитни доказателства за плащания на вещи лица</w:t>
            </w:r>
          </w:p>
        </w:tc>
        <w:tc>
          <w:tcPr>
            <w:tcW w:w="1607" w:type="dxa"/>
            <w:vAlign w:val="center"/>
          </w:tcPr>
          <w:p w:rsidR="00CA0AE5" w:rsidRPr="002C5AC6" w:rsidRDefault="00CA0AE5" w:rsidP="00037DC5">
            <w:pPr>
              <w:jc w:val="center"/>
            </w:pPr>
          </w:p>
        </w:tc>
      </w:tr>
      <w:tr w:rsidR="00CA0AE5" w:rsidRPr="002C5AC6" w:rsidTr="00037DC5">
        <w:trPr>
          <w:jc w:val="center"/>
        </w:trPr>
        <w:tc>
          <w:tcPr>
            <w:tcW w:w="1414" w:type="dxa"/>
            <w:vAlign w:val="center"/>
          </w:tcPr>
          <w:p w:rsidR="00CA0AE5" w:rsidRPr="002C5AC6" w:rsidRDefault="00116056" w:rsidP="00037DC5">
            <w:pPr>
              <w:jc w:val="center"/>
            </w:pPr>
            <w:r w:rsidRPr="002C5AC6">
              <w:t>52.1.</w:t>
            </w:r>
          </w:p>
        </w:tc>
        <w:tc>
          <w:tcPr>
            <w:tcW w:w="6614" w:type="dxa"/>
            <w:vAlign w:val="center"/>
          </w:tcPr>
          <w:p w:rsidR="00CA0AE5" w:rsidRPr="002C5AC6" w:rsidRDefault="00CA0AE5" w:rsidP="00B25BD1">
            <w:r w:rsidRPr="002C5AC6">
              <w:t xml:space="preserve">Досие НОХД № 9495 – Протокол; Съдебно-счетоводна експертиза; Сметка по чл. 9 и Декларация по чл. 43, ал. 5 от ЗДДФЛ; Разходен касов ордер от 25.03.2014 г.; Платежно нареждане; Банково извлечение; Списък-изход за банков превод; Контролен лист за извършване на предварителен контрол от 19.08.2014 г. </w:t>
            </w:r>
          </w:p>
        </w:tc>
        <w:tc>
          <w:tcPr>
            <w:tcW w:w="1607" w:type="dxa"/>
            <w:vAlign w:val="center"/>
          </w:tcPr>
          <w:p w:rsidR="00CA0AE5" w:rsidRPr="002C5AC6" w:rsidRDefault="00CA0AE5" w:rsidP="00037DC5">
            <w:pPr>
              <w:jc w:val="center"/>
            </w:pPr>
            <w:r w:rsidRPr="002C5AC6">
              <w:t>22</w:t>
            </w:r>
          </w:p>
        </w:tc>
      </w:tr>
      <w:tr w:rsidR="00CA0AE5" w:rsidRPr="002C5AC6" w:rsidTr="00037DC5">
        <w:trPr>
          <w:jc w:val="center"/>
        </w:trPr>
        <w:tc>
          <w:tcPr>
            <w:tcW w:w="1414" w:type="dxa"/>
            <w:vAlign w:val="center"/>
          </w:tcPr>
          <w:p w:rsidR="00CA0AE5" w:rsidRPr="002C5AC6" w:rsidRDefault="00116056" w:rsidP="00037DC5">
            <w:pPr>
              <w:jc w:val="center"/>
            </w:pPr>
            <w:r w:rsidRPr="002C5AC6">
              <w:t>52.2.</w:t>
            </w:r>
          </w:p>
        </w:tc>
        <w:tc>
          <w:tcPr>
            <w:tcW w:w="6614" w:type="dxa"/>
            <w:vAlign w:val="center"/>
          </w:tcPr>
          <w:p w:rsidR="00CA0AE5" w:rsidRPr="002C5AC6" w:rsidRDefault="00CA0AE5" w:rsidP="00B25BD1">
            <w:r w:rsidRPr="002C5AC6">
              <w:t xml:space="preserve">Досие НОХД № 44151 – Протокол; Съдебно-графическа експертиза; Сметка по чл. 9 и Декларация по чл. 43, ал. 5 от ЗДДФЛ; Разходен касов ордер от 10.02.2014 г.; Платежно нареждане; Банково извлечение; ; Списък-изход за банков превод; Контролен лист за извършване на предварителен контрол от 19.08.2014 г. </w:t>
            </w:r>
          </w:p>
        </w:tc>
        <w:tc>
          <w:tcPr>
            <w:tcW w:w="1607" w:type="dxa"/>
            <w:vAlign w:val="center"/>
          </w:tcPr>
          <w:p w:rsidR="00CA0AE5" w:rsidRPr="002C5AC6" w:rsidRDefault="00CA0AE5" w:rsidP="00037DC5">
            <w:pPr>
              <w:jc w:val="center"/>
            </w:pPr>
            <w:r w:rsidRPr="002C5AC6">
              <w:t>20</w:t>
            </w:r>
          </w:p>
        </w:tc>
      </w:tr>
      <w:tr w:rsidR="00CA0AE5" w:rsidRPr="002C5AC6" w:rsidTr="00037DC5">
        <w:trPr>
          <w:jc w:val="center"/>
        </w:trPr>
        <w:tc>
          <w:tcPr>
            <w:tcW w:w="1414" w:type="dxa"/>
            <w:vAlign w:val="center"/>
          </w:tcPr>
          <w:p w:rsidR="00CA0AE5" w:rsidRPr="002C5AC6" w:rsidRDefault="00570423" w:rsidP="00037DC5">
            <w:pPr>
              <w:jc w:val="center"/>
            </w:pPr>
            <w:r w:rsidRPr="002C5AC6">
              <w:t>5</w:t>
            </w:r>
            <w:r w:rsidR="00116056" w:rsidRPr="002C5AC6">
              <w:t>2.3.</w:t>
            </w:r>
          </w:p>
        </w:tc>
        <w:tc>
          <w:tcPr>
            <w:tcW w:w="6614" w:type="dxa"/>
            <w:vAlign w:val="center"/>
          </w:tcPr>
          <w:p w:rsidR="00CA0AE5" w:rsidRPr="002C5AC6" w:rsidRDefault="00CA0AE5" w:rsidP="00B25BD1">
            <w:r w:rsidRPr="002C5AC6">
              <w:t>Досие НОХД № 52751 – Протокол; Съдебно-счетоводна експертиза; Сметка по чл. 9 и Декларация по чл. 43, ал. 5 от ЗДДФЛ; Разходен касов ордер от 04.03.2014 г.; Платежно нареждане; Банково извлечение; ; Списък-изход за банков превод; Контролен лист за извършване на предварителен контрол от 25.08.2014 г.</w:t>
            </w:r>
          </w:p>
        </w:tc>
        <w:tc>
          <w:tcPr>
            <w:tcW w:w="1607" w:type="dxa"/>
            <w:vAlign w:val="center"/>
          </w:tcPr>
          <w:p w:rsidR="00CA0AE5" w:rsidRPr="002C5AC6" w:rsidRDefault="00CA0AE5" w:rsidP="00037DC5">
            <w:pPr>
              <w:jc w:val="center"/>
            </w:pPr>
            <w:r w:rsidRPr="002C5AC6">
              <w:t>15</w:t>
            </w:r>
          </w:p>
        </w:tc>
      </w:tr>
      <w:tr w:rsidR="00CA0AE5" w:rsidRPr="002C5AC6" w:rsidTr="00037DC5">
        <w:trPr>
          <w:jc w:val="center"/>
        </w:trPr>
        <w:tc>
          <w:tcPr>
            <w:tcW w:w="1414" w:type="dxa"/>
            <w:vAlign w:val="center"/>
          </w:tcPr>
          <w:p w:rsidR="00CA0AE5" w:rsidRPr="002C5AC6" w:rsidRDefault="00570423" w:rsidP="00037DC5">
            <w:pPr>
              <w:jc w:val="center"/>
            </w:pPr>
            <w:r w:rsidRPr="002C5AC6">
              <w:t>5</w:t>
            </w:r>
            <w:r w:rsidR="00116056" w:rsidRPr="002C5AC6">
              <w:t>2.4.</w:t>
            </w:r>
          </w:p>
        </w:tc>
        <w:tc>
          <w:tcPr>
            <w:tcW w:w="6614" w:type="dxa"/>
            <w:vAlign w:val="center"/>
          </w:tcPr>
          <w:p w:rsidR="00CA0AE5" w:rsidRPr="002C5AC6" w:rsidRDefault="00CA0AE5" w:rsidP="00B25BD1">
            <w:r w:rsidRPr="002C5AC6">
              <w:t>Досие ГД № 38476 – Протокол; Автотехническа експертиза; Сметка по чл. 9 и Декларация по чл. 43, ал. 5 от ЗДДФЛ; Разходни касови ордери от 23.04.2013 г. – 2 бр.; Платежни нареждания-2 бр.; Банкови извлечения; ; Списък-изход за банков превод; Контролен лист за извършване на предварителен контрол от 25.08.2014 г.</w:t>
            </w:r>
          </w:p>
        </w:tc>
        <w:tc>
          <w:tcPr>
            <w:tcW w:w="1607" w:type="dxa"/>
            <w:vAlign w:val="center"/>
          </w:tcPr>
          <w:p w:rsidR="00CA0AE5" w:rsidRPr="002C5AC6" w:rsidRDefault="00CA0AE5" w:rsidP="00037DC5">
            <w:pPr>
              <w:jc w:val="center"/>
            </w:pPr>
            <w:r w:rsidRPr="002C5AC6">
              <w:t>23</w:t>
            </w:r>
          </w:p>
        </w:tc>
      </w:tr>
      <w:tr w:rsidR="00CA0AE5" w:rsidRPr="002C5AC6" w:rsidTr="00037DC5">
        <w:trPr>
          <w:jc w:val="center"/>
        </w:trPr>
        <w:tc>
          <w:tcPr>
            <w:tcW w:w="1414" w:type="dxa"/>
            <w:vAlign w:val="center"/>
          </w:tcPr>
          <w:p w:rsidR="00CA0AE5" w:rsidRPr="002C5AC6" w:rsidRDefault="00570423" w:rsidP="00037DC5">
            <w:pPr>
              <w:jc w:val="center"/>
            </w:pPr>
            <w:r w:rsidRPr="002C5AC6">
              <w:t>5</w:t>
            </w:r>
            <w:r w:rsidR="00116056" w:rsidRPr="002C5AC6">
              <w:t>2.5</w:t>
            </w:r>
            <w:r w:rsidRPr="002C5AC6">
              <w:t>.</w:t>
            </w:r>
          </w:p>
        </w:tc>
        <w:tc>
          <w:tcPr>
            <w:tcW w:w="6614" w:type="dxa"/>
            <w:vAlign w:val="center"/>
          </w:tcPr>
          <w:p w:rsidR="00CA0AE5" w:rsidRPr="002C5AC6" w:rsidRDefault="00CA0AE5" w:rsidP="00B25BD1">
            <w:r w:rsidRPr="002C5AC6">
              <w:t>Досие НОХД № 18207 – Протокол; Съдебно-счетоводна експертиза; Справка-декларация по чл. 29, ал. 2 и чл. 31, ал. 2 от Наредба № 1 от 2008 г. за вписването, квалификацията и възнагражденията на вещите лица от 25.04.2014 г.; Сметка по чл. 9 и Декларация по чл. 43, ал. 5 от ЗДДФЛ; Разходен касов ордер от 08.05.2014 г.; Платежно нареждане; Банково извлечение; ;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19</w:t>
            </w:r>
          </w:p>
        </w:tc>
      </w:tr>
      <w:tr w:rsidR="00CA0AE5" w:rsidRPr="002C5AC6" w:rsidTr="00037DC5">
        <w:trPr>
          <w:jc w:val="center"/>
        </w:trPr>
        <w:tc>
          <w:tcPr>
            <w:tcW w:w="1414" w:type="dxa"/>
            <w:vAlign w:val="center"/>
          </w:tcPr>
          <w:p w:rsidR="00CA0AE5" w:rsidRPr="002C5AC6" w:rsidRDefault="00116056" w:rsidP="00037DC5">
            <w:pPr>
              <w:jc w:val="center"/>
            </w:pPr>
            <w:r w:rsidRPr="002C5AC6">
              <w:t>52.</w:t>
            </w:r>
            <w:r w:rsidR="00ED6AF0" w:rsidRPr="002C5AC6">
              <w:t>6.</w:t>
            </w:r>
          </w:p>
        </w:tc>
        <w:tc>
          <w:tcPr>
            <w:tcW w:w="6614" w:type="dxa"/>
            <w:vAlign w:val="center"/>
          </w:tcPr>
          <w:p w:rsidR="00CA0AE5" w:rsidRPr="002C5AC6" w:rsidRDefault="00CA0AE5" w:rsidP="00B25BD1">
            <w:r w:rsidRPr="002C5AC6">
              <w:t>Досие НАХД № 17144 – Протокол; Съдебно-счетоводна експертиза; Справка-декларация по чл. 29, ал. 2 и чл. 31, ал. 2 от Наредба № 1 от 2008 г. за вписването, квалификацията и възнагражденията на вещите лица от 24.04.2014 г.; Сметка по чл. 9 и Декларация по чл. 43, ал. 5 от ЗДДФЛ; Разходен касов ордер от 13.05.2014 г.; Платежно нареждане; Банково извлечение; ;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24</w:t>
            </w:r>
          </w:p>
        </w:tc>
      </w:tr>
      <w:tr w:rsidR="00CA0AE5" w:rsidRPr="002C5AC6" w:rsidTr="00037DC5">
        <w:trPr>
          <w:jc w:val="center"/>
        </w:trPr>
        <w:tc>
          <w:tcPr>
            <w:tcW w:w="1414" w:type="dxa"/>
            <w:vAlign w:val="center"/>
          </w:tcPr>
          <w:p w:rsidR="00CA0AE5" w:rsidRPr="002C5AC6" w:rsidRDefault="00116056" w:rsidP="00037DC5">
            <w:pPr>
              <w:jc w:val="center"/>
            </w:pPr>
            <w:r w:rsidRPr="002C5AC6">
              <w:t>52.7</w:t>
            </w:r>
            <w:r w:rsidR="00ED6AF0" w:rsidRPr="002C5AC6">
              <w:t>.</w:t>
            </w:r>
          </w:p>
        </w:tc>
        <w:tc>
          <w:tcPr>
            <w:tcW w:w="6614" w:type="dxa"/>
            <w:vAlign w:val="center"/>
          </w:tcPr>
          <w:p w:rsidR="00CA0AE5" w:rsidRPr="002C5AC6" w:rsidRDefault="00CA0AE5" w:rsidP="00B25BD1">
            <w:r w:rsidRPr="002C5AC6">
              <w:t xml:space="preserve">Досие ГД № 43205 - Протокол; Техническа експертиза; Сметка по чл. 9 и Декларация по чл. 43, ал. 5 от ЗДДФЛ; Разходен касов ордер от 21.02.2014 г.; Платежно нареждане; Банково извлечение; ; Списък-изход за банков превод; Контролен лист за извършване на предварителен контрол от </w:t>
            </w:r>
            <w:r w:rsidRPr="002C5AC6">
              <w:lastRenderedPageBreak/>
              <w:t>15.08.2014 г.</w:t>
            </w:r>
          </w:p>
        </w:tc>
        <w:tc>
          <w:tcPr>
            <w:tcW w:w="1607" w:type="dxa"/>
            <w:vAlign w:val="center"/>
          </w:tcPr>
          <w:p w:rsidR="00CA0AE5" w:rsidRPr="002C5AC6" w:rsidRDefault="00CA0AE5" w:rsidP="00037DC5">
            <w:pPr>
              <w:jc w:val="center"/>
            </w:pPr>
            <w:r w:rsidRPr="002C5AC6">
              <w:lastRenderedPageBreak/>
              <w:t>20</w:t>
            </w:r>
          </w:p>
        </w:tc>
      </w:tr>
      <w:tr w:rsidR="00CA0AE5" w:rsidRPr="002C5AC6" w:rsidTr="00037DC5">
        <w:trPr>
          <w:jc w:val="center"/>
        </w:trPr>
        <w:tc>
          <w:tcPr>
            <w:tcW w:w="1414" w:type="dxa"/>
            <w:vAlign w:val="center"/>
          </w:tcPr>
          <w:p w:rsidR="00CA0AE5" w:rsidRPr="002C5AC6" w:rsidRDefault="00116056" w:rsidP="00037DC5">
            <w:pPr>
              <w:jc w:val="center"/>
            </w:pPr>
            <w:r w:rsidRPr="002C5AC6">
              <w:lastRenderedPageBreak/>
              <w:t>5</w:t>
            </w:r>
            <w:r w:rsidR="00ED6AF0" w:rsidRPr="002C5AC6">
              <w:t>2.</w:t>
            </w:r>
            <w:r w:rsidRPr="002C5AC6">
              <w:t>8.</w:t>
            </w:r>
          </w:p>
        </w:tc>
        <w:tc>
          <w:tcPr>
            <w:tcW w:w="6614" w:type="dxa"/>
            <w:vAlign w:val="center"/>
          </w:tcPr>
          <w:p w:rsidR="00CA0AE5" w:rsidRPr="002C5AC6" w:rsidRDefault="00CA0AE5" w:rsidP="00B25BD1">
            <w:r w:rsidRPr="002C5AC6">
              <w:t>Досие ГД № 24216 - Протокол; Техническа експертиза; Сметка по чл. 9 и Декларация по чл. 43, ал. 5 от ЗДДФЛ; Разходен касов ордер от 02.04.2013 г.; Платежно нареждане; Банково извлечение; ; Списък-изход за банков превод; Контролен лист за извършване на предварителен контрол от 19.08.2014 г.</w:t>
            </w:r>
          </w:p>
        </w:tc>
        <w:tc>
          <w:tcPr>
            <w:tcW w:w="1607" w:type="dxa"/>
            <w:vAlign w:val="center"/>
          </w:tcPr>
          <w:p w:rsidR="00CA0AE5" w:rsidRPr="002C5AC6" w:rsidRDefault="00CA0AE5" w:rsidP="00037DC5">
            <w:pPr>
              <w:jc w:val="center"/>
            </w:pPr>
            <w:r w:rsidRPr="002C5AC6">
              <w:t>20</w:t>
            </w:r>
          </w:p>
        </w:tc>
      </w:tr>
      <w:tr w:rsidR="00CA0AE5" w:rsidRPr="002C5AC6" w:rsidTr="00037DC5">
        <w:trPr>
          <w:jc w:val="center"/>
        </w:trPr>
        <w:tc>
          <w:tcPr>
            <w:tcW w:w="1414" w:type="dxa"/>
            <w:vAlign w:val="center"/>
          </w:tcPr>
          <w:p w:rsidR="00CA0AE5" w:rsidRPr="002C5AC6" w:rsidRDefault="00116056" w:rsidP="00037DC5">
            <w:pPr>
              <w:jc w:val="center"/>
            </w:pPr>
            <w:r w:rsidRPr="002C5AC6">
              <w:t>52.9</w:t>
            </w:r>
            <w:r w:rsidR="00ED6AF0" w:rsidRPr="002C5AC6">
              <w:t>.</w:t>
            </w:r>
          </w:p>
        </w:tc>
        <w:tc>
          <w:tcPr>
            <w:tcW w:w="6614" w:type="dxa"/>
            <w:vAlign w:val="center"/>
          </w:tcPr>
          <w:p w:rsidR="00CA0AE5" w:rsidRPr="002C5AC6" w:rsidRDefault="00CA0AE5" w:rsidP="00B25BD1">
            <w:r w:rsidRPr="002C5AC6">
              <w:t>Досие ГД № 49109 - Протокол; Съдебно-техническа експертиза; Сметка по чл. 9 и Декларация по чл. 43, ал. 5 от ЗДДФЛ; Разходен касов ордер от 21.11.2014 г.; Платежно нареждане; Банково извлечение; ; Списък-изход за банков превод; Контролен лист за извършване на предварителен контрол от 10.12.2014 г.</w:t>
            </w:r>
          </w:p>
        </w:tc>
        <w:tc>
          <w:tcPr>
            <w:tcW w:w="1607" w:type="dxa"/>
            <w:vAlign w:val="center"/>
          </w:tcPr>
          <w:p w:rsidR="00CA0AE5" w:rsidRPr="002C5AC6" w:rsidRDefault="00CA0AE5" w:rsidP="00037DC5">
            <w:pPr>
              <w:jc w:val="center"/>
            </w:pPr>
            <w:r w:rsidRPr="002C5AC6">
              <w:t>14</w:t>
            </w:r>
          </w:p>
        </w:tc>
      </w:tr>
      <w:tr w:rsidR="00CA0AE5" w:rsidRPr="002C5AC6" w:rsidTr="00037DC5">
        <w:trPr>
          <w:jc w:val="center"/>
        </w:trPr>
        <w:tc>
          <w:tcPr>
            <w:tcW w:w="1414" w:type="dxa"/>
            <w:vAlign w:val="center"/>
          </w:tcPr>
          <w:p w:rsidR="00CA0AE5" w:rsidRPr="002C5AC6" w:rsidRDefault="00116056" w:rsidP="00037DC5">
            <w:pPr>
              <w:jc w:val="center"/>
            </w:pPr>
            <w:r w:rsidRPr="002C5AC6">
              <w:t>52.10</w:t>
            </w:r>
            <w:r w:rsidR="00ED6AF0" w:rsidRPr="002C5AC6">
              <w:t>.</w:t>
            </w:r>
          </w:p>
        </w:tc>
        <w:tc>
          <w:tcPr>
            <w:tcW w:w="6614" w:type="dxa"/>
            <w:vAlign w:val="center"/>
          </w:tcPr>
          <w:p w:rsidR="00CA0AE5" w:rsidRPr="002C5AC6" w:rsidRDefault="00CA0AE5" w:rsidP="00B25BD1">
            <w:r w:rsidRPr="002C5AC6">
              <w:t>Досие ГД № 14173/13 - Протокол; Съдебно-счетоводна експертиза; Банково извлечение;  Платежно нареждане;  Сметка по чл. 9 и Декларация по чл. 43, ал. 5 от ЗДДФЛ; Разходен касов ордер от 21.03.2014 г.; Контролен лист за извършване на предварителен контрол от 12.05.2014 г.</w:t>
            </w:r>
          </w:p>
        </w:tc>
        <w:tc>
          <w:tcPr>
            <w:tcW w:w="1607" w:type="dxa"/>
            <w:vAlign w:val="center"/>
          </w:tcPr>
          <w:p w:rsidR="00CA0AE5" w:rsidRPr="002C5AC6" w:rsidRDefault="00CA0AE5" w:rsidP="00037DC5">
            <w:pPr>
              <w:jc w:val="center"/>
            </w:pPr>
            <w:r w:rsidRPr="002C5AC6">
              <w:t>11</w:t>
            </w:r>
          </w:p>
        </w:tc>
      </w:tr>
      <w:tr w:rsidR="00CA0AE5" w:rsidRPr="002C5AC6" w:rsidTr="00037DC5">
        <w:trPr>
          <w:jc w:val="center"/>
        </w:trPr>
        <w:tc>
          <w:tcPr>
            <w:tcW w:w="1414" w:type="dxa"/>
            <w:vAlign w:val="center"/>
          </w:tcPr>
          <w:p w:rsidR="00CA0AE5" w:rsidRPr="002C5AC6" w:rsidRDefault="00116056" w:rsidP="00037DC5">
            <w:pPr>
              <w:jc w:val="center"/>
            </w:pPr>
            <w:r w:rsidRPr="002C5AC6">
              <w:t>52.11</w:t>
            </w:r>
            <w:r w:rsidR="00ED6AF0" w:rsidRPr="002C5AC6">
              <w:t>.</w:t>
            </w:r>
          </w:p>
        </w:tc>
        <w:tc>
          <w:tcPr>
            <w:tcW w:w="6614" w:type="dxa"/>
            <w:vAlign w:val="center"/>
          </w:tcPr>
          <w:p w:rsidR="00CA0AE5" w:rsidRPr="002C5AC6" w:rsidRDefault="00CA0AE5" w:rsidP="00B25BD1">
            <w:r w:rsidRPr="002C5AC6">
              <w:t>Досие ГД № 18351 - Протокол; Съдебно-счетоводна експертиза; Сметка по чл. 9 и Декларация по чл. 43, ал. 5 от ЗДДФЛ; Разходен касов ордер от 29.09.2014 г.; Платежно нареждане; Банково извлечение; ; Списък-изход за банков превод; Контролен лист за извършване на предварителен контрол от 05.12.2014 г.</w:t>
            </w:r>
          </w:p>
        </w:tc>
        <w:tc>
          <w:tcPr>
            <w:tcW w:w="1607" w:type="dxa"/>
            <w:vAlign w:val="center"/>
          </w:tcPr>
          <w:p w:rsidR="00CA0AE5" w:rsidRPr="002C5AC6" w:rsidRDefault="00CA0AE5" w:rsidP="00037DC5">
            <w:pPr>
              <w:jc w:val="center"/>
            </w:pPr>
            <w:r w:rsidRPr="002C5AC6">
              <w:t>20</w:t>
            </w:r>
          </w:p>
        </w:tc>
      </w:tr>
      <w:tr w:rsidR="00CA0AE5" w:rsidRPr="002C5AC6" w:rsidTr="00037DC5">
        <w:trPr>
          <w:jc w:val="center"/>
        </w:trPr>
        <w:tc>
          <w:tcPr>
            <w:tcW w:w="1414" w:type="dxa"/>
            <w:vAlign w:val="center"/>
          </w:tcPr>
          <w:p w:rsidR="00ED6AF0" w:rsidRPr="002C5AC6" w:rsidRDefault="00ED6AF0" w:rsidP="00037DC5">
            <w:pPr>
              <w:jc w:val="center"/>
            </w:pPr>
          </w:p>
          <w:p w:rsidR="00ED6AF0" w:rsidRPr="002C5AC6" w:rsidRDefault="00ED6AF0" w:rsidP="00037DC5">
            <w:pPr>
              <w:jc w:val="center"/>
            </w:pPr>
          </w:p>
          <w:p w:rsidR="00CA0AE5" w:rsidRPr="002C5AC6" w:rsidRDefault="00862CD7" w:rsidP="00037DC5">
            <w:pPr>
              <w:jc w:val="center"/>
            </w:pPr>
            <w:r w:rsidRPr="002C5AC6">
              <w:t>52.12.</w:t>
            </w:r>
          </w:p>
          <w:p w:rsidR="00ED6AF0" w:rsidRPr="002C5AC6" w:rsidRDefault="00ED6AF0" w:rsidP="00037DC5">
            <w:pPr>
              <w:jc w:val="center"/>
            </w:pPr>
          </w:p>
          <w:p w:rsidR="00ED6AF0" w:rsidRPr="002C5AC6" w:rsidRDefault="00ED6AF0" w:rsidP="00037DC5">
            <w:pPr>
              <w:jc w:val="center"/>
            </w:pPr>
          </w:p>
          <w:p w:rsidR="00ED6AF0" w:rsidRPr="002C5AC6" w:rsidRDefault="00ED6AF0" w:rsidP="00037DC5">
            <w:pPr>
              <w:jc w:val="center"/>
            </w:pPr>
          </w:p>
          <w:p w:rsidR="00ED6AF0" w:rsidRPr="002C5AC6" w:rsidRDefault="00ED6AF0" w:rsidP="00037DC5">
            <w:pPr>
              <w:jc w:val="center"/>
            </w:pPr>
          </w:p>
          <w:p w:rsidR="00ED6AF0" w:rsidRPr="002C5AC6" w:rsidRDefault="00ED6AF0" w:rsidP="00037DC5">
            <w:pPr>
              <w:jc w:val="center"/>
            </w:pPr>
          </w:p>
          <w:p w:rsidR="00ED6AF0" w:rsidRPr="002C5AC6" w:rsidRDefault="00ED6AF0" w:rsidP="00037DC5">
            <w:pPr>
              <w:jc w:val="center"/>
            </w:pPr>
          </w:p>
        </w:tc>
        <w:tc>
          <w:tcPr>
            <w:tcW w:w="6614" w:type="dxa"/>
            <w:vAlign w:val="center"/>
          </w:tcPr>
          <w:p w:rsidR="00CA0AE5" w:rsidRPr="002C5AC6" w:rsidRDefault="00CA0AE5" w:rsidP="00B25BD1">
            <w:r w:rsidRPr="002C5AC6">
              <w:t>Досие ГД № 17133 - Протокол; Съдебно-счетоводна експертиза; а. 29, ал. 2 и чл. 31, ал. 2 от Наредба № 1 от 2008 г. за вписването, квалификацията и възнагражденията на вещите лица от 21.10.2014 г.; Сметка по чл. 9 и Декларация по чл. 43, ал. 5 от ЗДДФЛ; Разходен касов ордер от 24.10.2014 г.; Платежно нареждане; Банково извлечение; Списък-изход за банков превод; Контролен лист за извършване на предварителен контрол от 05.12.2014 г.</w:t>
            </w:r>
          </w:p>
        </w:tc>
        <w:tc>
          <w:tcPr>
            <w:tcW w:w="1607" w:type="dxa"/>
            <w:vAlign w:val="center"/>
          </w:tcPr>
          <w:p w:rsidR="00CA0AE5" w:rsidRPr="002C5AC6" w:rsidRDefault="00CA0AE5" w:rsidP="00037DC5">
            <w:pPr>
              <w:jc w:val="center"/>
            </w:pPr>
            <w:r w:rsidRPr="002C5AC6">
              <w:t>21</w:t>
            </w:r>
          </w:p>
        </w:tc>
      </w:tr>
      <w:tr w:rsidR="00CA0AE5" w:rsidRPr="002C5AC6" w:rsidTr="00037DC5">
        <w:trPr>
          <w:jc w:val="center"/>
        </w:trPr>
        <w:tc>
          <w:tcPr>
            <w:tcW w:w="1414" w:type="dxa"/>
            <w:vAlign w:val="center"/>
          </w:tcPr>
          <w:p w:rsidR="00CA0AE5" w:rsidRPr="002C5AC6" w:rsidRDefault="00862CD7" w:rsidP="00037DC5">
            <w:pPr>
              <w:jc w:val="center"/>
            </w:pPr>
            <w:r w:rsidRPr="002C5AC6">
              <w:t>52.13</w:t>
            </w:r>
            <w:r w:rsidR="00ED6AF0" w:rsidRPr="002C5AC6">
              <w:t>.</w:t>
            </w:r>
          </w:p>
        </w:tc>
        <w:tc>
          <w:tcPr>
            <w:tcW w:w="6614" w:type="dxa"/>
            <w:vAlign w:val="center"/>
          </w:tcPr>
          <w:p w:rsidR="00CA0AE5" w:rsidRPr="002C5AC6" w:rsidRDefault="00CA0AE5" w:rsidP="00B25BD1">
            <w:r w:rsidRPr="002C5AC6">
              <w:t>Досие НОХД № 13666 - Протокол; Съдебно-психиатрична и психологична експертиза; Сметка по чл. 9 и Декларация по чл. 43, ал. 5 от ЗДДФЛ; Разходен касов ордер от 12.02.2014 г.; Платежно нареждане; Банково извлечение;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34</w:t>
            </w:r>
          </w:p>
        </w:tc>
      </w:tr>
      <w:tr w:rsidR="00CA0AE5" w:rsidRPr="002C5AC6" w:rsidTr="00037DC5">
        <w:trPr>
          <w:jc w:val="center"/>
        </w:trPr>
        <w:tc>
          <w:tcPr>
            <w:tcW w:w="1414" w:type="dxa"/>
            <w:vAlign w:val="center"/>
          </w:tcPr>
          <w:p w:rsidR="00CA0AE5" w:rsidRPr="002C5AC6" w:rsidRDefault="00862CD7" w:rsidP="00037DC5">
            <w:pPr>
              <w:jc w:val="center"/>
            </w:pPr>
            <w:r w:rsidRPr="002C5AC6">
              <w:t>52.14</w:t>
            </w:r>
            <w:r w:rsidR="00ED6AF0" w:rsidRPr="002C5AC6">
              <w:t>.</w:t>
            </w:r>
          </w:p>
        </w:tc>
        <w:tc>
          <w:tcPr>
            <w:tcW w:w="6614" w:type="dxa"/>
            <w:vAlign w:val="center"/>
          </w:tcPr>
          <w:p w:rsidR="00CA0AE5" w:rsidRPr="002C5AC6" w:rsidRDefault="00CA0AE5" w:rsidP="00B25BD1">
            <w:r w:rsidRPr="002C5AC6">
              <w:t>Досие ГД № 42402 - Протокол; Съдебно-графическа експертиза; Сметка по чл. 9 и Декларация по чл. 43, ал. 5 от ЗДДФЛ; Разходен касов ордер от 27.05.2014 г.; Платежно нареждане; Банково извлечение;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22</w:t>
            </w:r>
          </w:p>
        </w:tc>
      </w:tr>
      <w:tr w:rsidR="00CA0AE5" w:rsidRPr="002C5AC6" w:rsidTr="00037DC5">
        <w:trPr>
          <w:jc w:val="center"/>
        </w:trPr>
        <w:tc>
          <w:tcPr>
            <w:tcW w:w="1414" w:type="dxa"/>
            <w:vAlign w:val="center"/>
          </w:tcPr>
          <w:p w:rsidR="00CA0AE5" w:rsidRPr="002C5AC6" w:rsidRDefault="00862CD7" w:rsidP="00037DC5">
            <w:pPr>
              <w:jc w:val="center"/>
            </w:pPr>
            <w:r w:rsidRPr="002C5AC6">
              <w:t>52.15</w:t>
            </w:r>
            <w:r w:rsidR="00ED6AF0" w:rsidRPr="002C5AC6">
              <w:t>.</w:t>
            </w:r>
          </w:p>
        </w:tc>
        <w:tc>
          <w:tcPr>
            <w:tcW w:w="6614" w:type="dxa"/>
            <w:vAlign w:val="center"/>
          </w:tcPr>
          <w:p w:rsidR="00CA0AE5" w:rsidRPr="002C5AC6" w:rsidRDefault="00CA0AE5" w:rsidP="00B25BD1">
            <w:r w:rsidRPr="002C5AC6">
              <w:t xml:space="preserve">Досие НОХД № 6648 - Протокол; Съдебно-психиатрични експертизи – 5 бр.; Сметка по чл. 9 и Декларация по чл. 43, ал. 5 от ЗДДФЛ; Разходен касов ордер от 04.02.2014 г.; </w:t>
            </w:r>
            <w:r w:rsidRPr="002C5AC6">
              <w:lastRenderedPageBreak/>
              <w:t>Платежно нареждане; Банково извлечение;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lastRenderedPageBreak/>
              <w:t>46</w:t>
            </w:r>
          </w:p>
        </w:tc>
      </w:tr>
      <w:tr w:rsidR="00CA0AE5" w:rsidRPr="002C5AC6" w:rsidTr="00037DC5">
        <w:trPr>
          <w:jc w:val="center"/>
        </w:trPr>
        <w:tc>
          <w:tcPr>
            <w:tcW w:w="1414" w:type="dxa"/>
            <w:vAlign w:val="center"/>
          </w:tcPr>
          <w:p w:rsidR="00CA0AE5" w:rsidRPr="002C5AC6" w:rsidRDefault="00886033" w:rsidP="00037DC5">
            <w:pPr>
              <w:jc w:val="center"/>
            </w:pPr>
            <w:r w:rsidRPr="002C5AC6">
              <w:lastRenderedPageBreak/>
              <w:t>52.16.</w:t>
            </w:r>
          </w:p>
        </w:tc>
        <w:tc>
          <w:tcPr>
            <w:tcW w:w="6614" w:type="dxa"/>
            <w:vAlign w:val="center"/>
          </w:tcPr>
          <w:p w:rsidR="00CA0AE5" w:rsidRPr="002C5AC6" w:rsidRDefault="00CA0AE5" w:rsidP="00B25BD1">
            <w:r w:rsidRPr="002C5AC6">
              <w:t>Досие НОХД № 2996 - Протокол; Съдебно-техническа експертиза; Справка-декларация по чл. 4, ал. 2 от Наредбата за условията и реда за определянето на възнагражденията на вещите лица; Сметка по чл. 9 и Декларация по чл. 43, ал. 5 от ЗДДФЛ; Разходен касов ордер от 25.11.2014 г.; Платежно нареждане; Банково извлечение; Списък-изход за банков превод; Контролен лист за извършване на предварителен контрол от 04.12.2014 г.</w:t>
            </w:r>
          </w:p>
        </w:tc>
        <w:tc>
          <w:tcPr>
            <w:tcW w:w="1607" w:type="dxa"/>
            <w:vAlign w:val="center"/>
          </w:tcPr>
          <w:p w:rsidR="00CA0AE5" w:rsidRPr="002C5AC6" w:rsidRDefault="00CA0AE5" w:rsidP="00037DC5">
            <w:pPr>
              <w:jc w:val="center"/>
            </w:pPr>
            <w:r w:rsidRPr="002C5AC6">
              <w:t>31</w:t>
            </w:r>
          </w:p>
        </w:tc>
      </w:tr>
      <w:tr w:rsidR="00CA0AE5" w:rsidRPr="002C5AC6" w:rsidTr="00037DC5">
        <w:trPr>
          <w:jc w:val="center"/>
        </w:trPr>
        <w:tc>
          <w:tcPr>
            <w:tcW w:w="1414" w:type="dxa"/>
            <w:vAlign w:val="center"/>
          </w:tcPr>
          <w:p w:rsidR="00CA0AE5" w:rsidRPr="002C5AC6" w:rsidRDefault="00886033" w:rsidP="00037DC5">
            <w:pPr>
              <w:jc w:val="center"/>
            </w:pPr>
            <w:r w:rsidRPr="002C5AC6">
              <w:t>52.17</w:t>
            </w:r>
            <w:r w:rsidR="00ED6AF0" w:rsidRPr="002C5AC6">
              <w:t>.</w:t>
            </w:r>
          </w:p>
        </w:tc>
        <w:tc>
          <w:tcPr>
            <w:tcW w:w="6614" w:type="dxa"/>
            <w:vAlign w:val="center"/>
          </w:tcPr>
          <w:p w:rsidR="00CA0AE5" w:rsidRPr="002C5AC6" w:rsidRDefault="00CA0AE5" w:rsidP="00B25BD1">
            <w:r w:rsidRPr="002C5AC6">
              <w:t>Досие НАХД № 3102 - Протокол; Автотехническа експертиза; Справка-декларация по чл. 29, ал. 2 и чл. 31, ал. 2 от Наредба 3 от 2012 г. за вписването, квалификацията и възнагражденията на вещите лица; Сметка по чл. 9 и Декларация по чл. 43, ал. 5 от ЗДДФЛ; Разходен касов ордер от 21.05.2014 г.; Платежно нареждане; Банково извлечение;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27</w:t>
            </w:r>
          </w:p>
        </w:tc>
      </w:tr>
      <w:tr w:rsidR="00CA0AE5" w:rsidRPr="002C5AC6" w:rsidTr="00037DC5">
        <w:trPr>
          <w:jc w:val="center"/>
        </w:trPr>
        <w:tc>
          <w:tcPr>
            <w:tcW w:w="1414" w:type="dxa"/>
            <w:vAlign w:val="center"/>
          </w:tcPr>
          <w:p w:rsidR="00CA0AE5" w:rsidRPr="002C5AC6" w:rsidRDefault="00886033" w:rsidP="00037DC5">
            <w:pPr>
              <w:jc w:val="center"/>
            </w:pPr>
            <w:r w:rsidRPr="002C5AC6">
              <w:t>52.18.</w:t>
            </w:r>
          </w:p>
        </w:tc>
        <w:tc>
          <w:tcPr>
            <w:tcW w:w="6614" w:type="dxa"/>
            <w:vAlign w:val="center"/>
          </w:tcPr>
          <w:p w:rsidR="00CA0AE5" w:rsidRPr="002C5AC6" w:rsidRDefault="00CA0AE5" w:rsidP="00B25BD1">
            <w:r w:rsidRPr="002C5AC6">
              <w:t>Досие ГД № 465 - Протокол; Съдебно-счетоводна експертиза; Сметка по чл. 9 и Декларация по чл. 43, ал. 5 от ЗДДФЛ; Разходен касов ордер от 29.04.2014 г.; Платежно нареждане; Банково извлечение; Списък-изход за банков превод; Контролен лист за извършване на предварителен контрол от 25.08.2014 г.</w:t>
            </w:r>
          </w:p>
        </w:tc>
        <w:tc>
          <w:tcPr>
            <w:tcW w:w="1607" w:type="dxa"/>
            <w:vAlign w:val="center"/>
          </w:tcPr>
          <w:p w:rsidR="00CA0AE5" w:rsidRPr="002C5AC6" w:rsidRDefault="00CA0AE5" w:rsidP="00037DC5">
            <w:pPr>
              <w:jc w:val="center"/>
            </w:pPr>
            <w:r w:rsidRPr="002C5AC6">
              <w:t>17</w:t>
            </w:r>
          </w:p>
        </w:tc>
      </w:tr>
      <w:tr w:rsidR="00CA0AE5" w:rsidRPr="002C5AC6" w:rsidTr="00037DC5">
        <w:trPr>
          <w:jc w:val="center"/>
        </w:trPr>
        <w:tc>
          <w:tcPr>
            <w:tcW w:w="1414" w:type="dxa"/>
            <w:vAlign w:val="center"/>
          </w:tcPr>
          <w:p w:rsidR="00CA0AE5" w:rsidRPr="002C5AC6" w:rsidRDefault="00886033" w:rsidP="00037DC5">
            <w:pPr>
              <w:jc w:val="center"/>
            </w:pPr>
            <w:r w:rsidRPr="002C5AC6">
              <w:t>52.19.</w:t>
            </w:r>
          </w:p>
        </w:tc>
        <w:tc>
          <w:tcPr>
            <w:tcW w:w="6614" w:type="dxa"/>
            <w:vAlign w:val="center"/>
          </w:tcPr>
          <w:p w:rsidR="00CA0AE5" w:rsidRPr="002C5AC6" w:rsidRDefault="00CA0AE5" w:rsidP="00B25BD1">
            <w:r w:rsidRPr="002C5AC6">
              <w:t>Досие ГД № 24721 - Протокол; Съдебно-счетоводна експертиза; Сметка по чл. 9 и Декларация по чл. 43, ал. 5 от ЗДДФЛ; Разходен касов ордер от 08.10.2014 г.; Платежно нареждане; Банково извлечение; Списък-изход за банков превод; Контролен лист за извършване на предварителен контрол от 09.12.2014 г.</w:t>
            </w:r>
          </w:p>
        </w:tc>
        <w:tc>
          <w:tcPr>
            <w:tcW w:w="1607" w:type="dxa"/>
            <w:vAlign w:val="center"/>
          </w:tcPr>
          <w:p w:rsidR="00CA0AE5" w:rsidRPr="002C5AC6" w:rsidRDefault="00CA0AE5" w:rsidP="00037DC5">
            <w:pPr>
              <w:jc w:val="center"/>
            </w:pPr>
            <w:r w:rsidRPr="002C5AC6">
              <w:t>14</w:t>
            </w:r>
          </w:p>
        </w:tc>
      </w:tr>
      <w:tr w:rsidR="00CA0AE5" w:rsidRPr="002C5AC6" w:rsidTr="00037DC5">
        <w:trPr>
          <w:jc w:val="center"/>
        </w:trPr>
        <w:tc>
          <w:tcPr>
            <w:tcW w:w="1414" w:type="dxa"/>
            <w:vAlign w:val="center"/>
          </w:tcPr>
          <w:p w:rsidR="00CA0AE5" w:rsidRPr="002C5AC6" w:rsidRDefault="00886033" w:rsidP="00037DC5">
            <w:pPr>
              <w:jc w:val="center"/>
            </w:pPr>
            <w:r w:rsidRPr="002C5AC6">
              <w:t>52.20</w:t>
            </w:r>
            <w:r w:rsidR="00ED6AF0" w:rsidRPr="002C5AC6">
              <w:t>.</w:t>
            </w:r>
          </w:p>
        </w:tc>
        <w:tc>
          <w:tcPr>
            <w:tcW w:w="6614" w:type="dxa"/>
            <w:vAlign w:val="center"/>
          </w:tcPr>
          <w:p w:rsidR="00CA0AE5" w:rsidRPr="002C5AC6" w:rsidRDefault="00CA0AE5" w:rsidP="00B25BD1">
            <w:r w:rsidRPr="002C5AC6">
              <w:t>Досие ГД № 26702 - Протокол; Съдебно-медицинска експертиза; Сметка по чл. 9 и Декларация по чл. 43, ал. 5 от ЗДДФЛ; Разходен касов ордер от 20.11.2014 г.; Платежно нареждане; Банково извлечение; Списък-изход за банков превод; Контролен лист за извършване на предварителен контрол от 10.12.2014 г.</w:t>
            </w:r>
          </w:p>
        </w:tc>
        <w:tc>
          <w:tcPr>
            <w:tcW w:w="1607" w:type="dxa"/>
            <w:vAlign w:val="center"/>
          </w:tcPr>
          <w:p w:rsidR="00CA0AE5" w:rsidRPr="002C5AC6" w:rsidRDefault="00CA0AE5" w:rsidP="00037DC5">
            <w:pPr>
              <w:jc w:val="center"/>
            </w:pPr>
            <w:r w:rsidRPr="002C5AC6">
              <w:t>17</w:t>
            </w:r>
          </w:p>
        </w:tc>
      </w:tr>
      <w:tr w:rsidR="00CA0AE5" w:rsidRPr="002C5AC6" w:rsidTr="00037DC5">
        <w:trPr>
          <w:jc w:val="center"/>
        </w:trPr>
        <w:tc>
          <w:tcPr>
            <w:tcW w:w="1414" w:type="dxa"/>
            <w:vAlign w:val="center"/>
          </w:tcPr>
          <w:p w:rsidR="00CA0AE5" w:rsidRPr="002C5AC6" w:rsidRDefault="00886033" w:rsidP="00037DC5">
            <w:pPr>
              <w:jc w:val="center"/>
            </w:pPr>
            <w:r w:rsidRPr="002C5AC6">
              <w:t>52.21</w:t>
            </w:r>
            <w:r w:rsidR="00ED6AF0" w:rsidRPr="002C5AC6">
              <w:t>.</w:t>
            </w:r>
          </w:p>
        </w:tc>
        <w:tc>
          <w:tcPr>
            <w:tcW w:w="6614" w:type="dxa"/>
            <w:vAlign w:val="center"/>
          </w:tcPr>
          <w:p w:rsidR="00CA0AE5" w:rsidRPr="002C5AC6" w:rsidRDefault="00CA0AE5" w:rsidP="00B25BD1">
            <w:r w:rsidRPr="002C5AC6">
              <w:t>Досие ГД № 30964 - Протокол; Съдебно-медицинска експертиза; Молба за издаване на разходен касов ордер от 06.11.2014 г.; Сметка по чл. 9 и Декларация по чл. 43, ал. 5 от ЗДДФЛ; Разходен касов ордер от 06.11.2014 г.; Платежно нареждане; Банково извлечение; Списък-изход за банков превод; Контролен лист за извършване на предварителен контрол от 17.11.2014 г.</w:t>
            </w:r>
          </w:p>
        </w:tc>
        <w:tc>
          <w:tcPr>
            <w:tcW w:w="1607" w:type="dxa"/>
            <w:vAlign w:val="center"/>
          </w:tcPr>
          <w:p w:rsidR="00CA0AE5" w:rsidRPr="002C5AC6" w:rsidRDefault="00CA0AE5" w:rsidP="00037DC5">
            <w:pPr>
              <w:jc w:val="center"/>
            </w:pPr>
            <w:r w:rsidRPr="002C5AC6">
              <w:t>21</w:t>
            </w:r>
          </w:p>
        </w:tc>
      </w:tr>
      <w:tr w:rsidR="00CA0AE5" w:rsidRPr="002C5AC6" w:rsidTr="00037DC5">
        <w:trPr>
          <w:jc w:val="center"/>
        </w:trPr>
        <w:tc>
          <w:tcPr>
            <w:tcW w:w="1414" w:type="dxa"/>
            <w:vAlign w:val="center"/>
          </w:tcPr>
          <w:p w:rsidR="00CA0AE5" w:rsidRPr="002C5AC6" w:rsidRDefault="00886033" w:rsidP="00037DC5">
            <w:pPr>
              <w:jc w:val="center"/>
            </w:pPr>
            <w:r w:rsidRPr="002C5AC6">
              <w:t>52.22</w:t>
            </w:r>
            <w:r w:rsidR="00ED6AF0" w:rsidRPr="002C5AC6">
              <w:t>.</w:t>
            </w:r>
          </w:p>
        </w:tc>
        <w:tc>
          <w:tcPr>
            <w:tcW w:w="6614" w:type="dxa"/>
            <w:vAlign w:val="center"/>
          </w:tcPr>
          <w:p w:rsidR="00CA0AE5" w:rsidRPr="002C5AC6" w:rsidRDefault="00CA0AE5" w:rsidP="00B25BD1">
            <w:r w:rsidRPr="002C5AC6">
              <w:t xml:space="preserve">Досие ГД № 19764/2011 - Протокол; Съдебно-счетоводна експертиза; Сметка по чл. 9 и Декларация по чл. 43, ал. 5 от ЗДДФЛ; Разходен касов ордер от 09.06.2014 г.; Платежно нареждане; Банково извлечение; Списък-изход за банков </w:t>
            </w:r>
            <w:r w:rsidRPr="002C5AC6">
              <w:lastRenderedPageBreak/>
              <w:t>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lastRenderedPageBreak/>
              <w:t>17</w:t>
            </w:r>
          </w:p>
        </w:tc>
      </w:tr>
      <w:tr w:rsidR="00CA0AE5" w:rsidRPr="002C5AC6" w:rsidTr="00037DC5">
        <w:trPr>
          <w:jc w:val="center"/>
        </w:trPr>
        <w:tc>
          <w:tcPr>
            <w:tcW w:w="1414" w:type="dxa"/>
            <w:vAlign w:val="center"/>
          </w:tcPr>
          <w:p w:rsidR="00CA0AE5" w:rsidRPr="002C5AC6" w:rsidRDefault="00886033" w:rsidP="00037DC5">
            <w:pPr>
              <w:jc w:val="center"/>
            </w:pPr>
            <w:r w:rsidRPr="002C5AC6">
              <w:lastRenderedPageBreak/>
              <w:t>52.23</w:t>
            </w:r>
            <w:r w:rsidR="00ED6AF0" w:rsidRPr="002C5AC6">
              <w:t>.</w:t>
            </w:r>
          </w:p>
        </w:tc>
        <w:tc>
          <w:tcPr>
            <w:tcW w:w="6614" w:type="dxa"/>
            <w:vAlign w:val="center"/>
          </w:tcPr>
          <w:p w:rsidR="00CA0AE5" w:rsidRPr="002C5AC6" w:rsidRDefault="00CA0AE5" w:rsidP="00B25BD1">
            <w:r w:rsidRPr="002C5AC6">
              <w:t>Досие ГД № 33566/13 - Протокол; Съдебно-медицинска експертиза; Сметка по чл. 9 и Декларация по чл. 43, ал. 5 от ЗДДФЛ; Разходен касов ордер от 17.03.2014 г.; Платежно нареждане; Банково извлечение; Списък-изход за банков превод; Контролен лист за извършване на предварителен контрол от 25.08.2014 г.</w:t>
            </w:r>
          </w:p>
        </w:tc>
        <w:tc>
          <w:tcPr>
            <w:tcW w:w="1607" w:type="dxa"/>
            <w:vAlign w:val="center"/>
          </w:tcPr>
          <w:p w:rsidR="00CA0AE5" w:rsidRPr="002C5AC6" w:rsidRDefault="00CA0AE5" w:rsidP="00037DC5">
            <w:pPr>
              <w:jc w:val="center"/>
            </w:pPr>
            <w:r w:rsidRPr="002C5AC6">
              <w:t>14</w:t>
            </w:r>
          </w:p>
        </w:tc>
      </w:tr>
      <w:tr w:rsidR="00CA0AE5" w:rsidRPr="002C5AC6" w:rsidTr="00037DC5">
        <w:trPr>
          <w:jc w:val="center"/>
        </w:trPr>
        <w:tc>
          <w:tcPr>
            <w:tcW w:w="1414" w:type="dxa"/>
            <w:vAlign w:val="center"/>
          </w:tcPr>
          <w:p w:rsidR="00CA0AE5" w:rsidRPr="002C5AC6" w:rsidRDefault="00886033" w:rsidP="00037DC5">
            <w:pPr>
              <w:jc w:val="center"/>
            </w:pPr>
            <w:r w:rsidRPr="002C5AC6">
              <w:t>52.24</w:t>
            </w:r>
            <w:r w:rsidR="00ED6AF0" w:rsidRPr="002C5AC6">
              <w:t>.</w:t>
            </w:r>
          </w:p>
        </w:tc>
        <w:tc>
          <w:tcPr>
            <w:tcW w:w="6614" w:type="dxa"/>
            <w:vAlign w:val="center"/>
          </w:tcPr>
          <w:p w:rsidR="00CA0AE5" w:rsidRPr="002C5AC6" w:rsidRDefault="00CA0AE5" w:rsidP="00B25BD1">
            <w:r w:rsidRPr="002C5AC6">
              <w:t>Досие НОХД № 19347 - Протокол; Съдебно-психиатрични и психологични експертизи – 4 бр.; Справка-декларация по чл. 29, ал. 2 и чл. 31, ал. 2 от Наредба 3 от 2012 г. за вписването, квалификацията и възнагражденията на вещите лица – 5 бр.; Сметка по чл. 9 и Декларация по чл. 43, ал. 5 от ЗДДФЛ; Разходен касов ордер от 09.10.2014 г.; Платежно нареждане; Банково извлечение; Списък-изход за банков превод; Контролен лист за извършване на предварителен контрол от 09.12.2014 г.</w:t>
            </w:r>
          </w:p>
        </w:tc>
        <w:tc>
          <w:tcPr>
            <w:tcW w:w="1607" w:type="dxa"/>
            <w:vAlign w:val="center"/>
          </w:tcPr>
          <w:p w:rsidR="00CA0AE5" w:rsidRPr="002C5AC6" w:rsidRDefault="00CA0AE5" w:rsidP="00037DC5">
            <w:pPr>
              <w:jc w:val="center"/>
            </w:pPr>
            <w:r w:rsidRPr="002C5AC6">
              <w:t>56</w:t>
            </w:r>
          </w:p>
        </w:tc>
      </w:tr>
      <w:tr w:rsidR="00CA0AE5" w:rsidRPr="002C5AC6" w:rsidTr="00037DC5">
        <w:trPr>
          <w:jc w:val="center"/>
        </w:trPr>
        <w:tc>
          <w:tcPr>
            <w:tcW w:w="1414" w:type="dxa"/>
            <w:vAlign w:val="center"/>
          </w:tcPr>
          <w:p w:rsidR="00CA0AE5" w:rsidRPr="002C5AC6" w:rsidRDefault="00886033" w:rsidP="00037DC5">
            <w:pPr>
              <w:jc w:val="center"/>
            </w:pPr>
            <w:r w:rsidRPr="002C5AC6">
              <w:t>52.25</w:t>
            </w:r>
            <w:r w:rsidR="00ED6AF0" w:rsidRPr="002C5AC6">
              <w:t>.</w:t>
            </w:r>
          </w:p>
        </w:tc>
        <w:tc>
          <w:tcPr>
            <w:tcW w:w="6614" w:type="dxa"/>
            <w:vAlign w:val="center"/>
          </w:tcPr>
          <w:p w:rsidR="00CA0AE5" w:rsidRPr="002C5AC6" w:rsidRDefault="00CA0AE5" w:rsidP="00B25BD1">
            <w:r w:rsidRPr="002C5AC6">
              <w:t>Досие НАХД № 4549 - Протокол; Съдебно-психиатрични и психологични експертизи – 4 бр.; Справка-декларация по чл. 29, ал. 2 и чл. 31, ал. 2 от Наредба 3 от 2012 г. за вписването, квалификацията и възнагражденията на вещите лица от 11.10.2013; Сметка по чл. 9 и Декларация по чл. 43, ал. 5 от ЗДДФЛ; Разходен касов ордер от 18.11.2014 г.; Платежно нареждане; Банково извлечение; Списък-изход за банков превод; Контролен лист за извършване на предварителен контрол от 10.12.2014 г.</w:t>
            </w:r>
          </w:p>
        </w:tc>
        <w:tc>
          <w:tcPr>
            <w:tcW w:w="1607" w:type="dxa"/>
            <w:vAlign w:val="center"/>
          </w:tcPr>
          <w:p w:rsidR="00CA0AE5" w:rsidRPr="002C5AC6" w:rsidRDefault="00CA0AE5" w:rsidP="00037DC5">
            <w:pPr>
              <w:jc w:val="center"/>
            </w:pPr>
            <w:r w:rsidRPr="002C5AC6">
              <w:t>22</w:t>
            </w:r>
          </w:p>
        </w:tc>
      </w:tr>
      <w:tr w:rsidR="00CA0AE5" w:rsidRPr="002C5AC6" w:rsidTr="00037DC5">
        <w:trPr>
          <w:jc w:val="center"/>
        </w:trPr>
        <w:tc>
          <w:tcPr>
            <w:tcW w:w="1414" w:type="dxa"/>
            <w:vAlign w:val="center"/>
          </w:tcPr>
          <w:p w:rsidR="00CA0AE5" w:rsidRPr="002C5AC6" w:rsidRDefault="00DC7CE2" w:rsidP="00037DC5">
            <w:pPr>
              <w:jc w:val="center"/>
            </w:pPr>
            <w:r w:rsidRPr="002C5AC6">
              <w:t>52.26</w:t>
            </w:r>
            <w:r w:rsidR="00ED6AF0" w:rsidRPr="002C5AC6">
              <w:t>.</w:t>
            </w:r>
          </w:p>
        </w:tc>
        <w:tc>
          <w:tcPr>
            <w:tcW w:w="6614" w:type="dxa"/>
            <w:vAlign w:val="center"/>
          </w:tcPr>
          <w:p w:rsidR="00CA0AE5" w:rsidRPr="002C5AC6" w:rsidRDefault="00CA0AE5" w:rsidP="00B25BD1">
            <w:r w:rsidRPr="002C5AC6">
              <w:t>Досие ГД № 41152 - Протокол; Техническа експертиза; Сметка по чл. 9 и Декларация по чл. 43, ал. 5 от ЗДДФЛ; Разходен касов ордер от 23.10.2014 г.; Платежно нареждане; Банково извлечение; Списък-изход за банков превод; Контролен лист за извършване на предварителен контрол от 12.12.2014 г.</w:t>
            </w:r>
          </w:p>
        </w:tc>
        <w:tc>
          <w:tcPr>
            <w:tcW w:w="1607" w:type="dxa"/>
            <w:vAlign w:val="center"/>
          </w:tcPr>
          <w:p w:rsidR="00CA0AE5" w:rsidRPr="002C5AC6" w:rsidRDefault="00CA0AE5" w:rsidP="00037DC5">
            <w:pPr>
              <w:jc w:val="center"/>
            </w:pPr>
            <w:r w:rsidRPr="002C5AC6">
              <w:t>15</w:t>
            </w:r>
          </w:p>
        </w:tc>
      </w:tr>
      <w:tr w:rsidR="0036429C" w:rsidRPr="002C5AC6" w:rsidTr="00037DC5">
        <w:trPr>
          <w:jc w:val="center"/>
        </w:trPr>
        <w:tc>
          <w:tcPr>
            <w:tcW w:w="1414" w:type="dxa"/>
            <w:vAlign w:val="center"/>
          </w:tcPr>
          <w:p w:rsidR="0036429C" w:rsidRPr="002C5AC6" w:rsidRDefault="00AF7EB4" w:rsidP="00037DC5">
            <w:pPr>
              <w:jc w:val="center"/>
            </w:pPr>
            <w:r w:rsidRPr="002C5AC6">
              <w:t>52.27.</w:t>
            </w:r>
          </w:p>
        </w:tc>
        <w:tc>
          <w:tcPr>
            <w:tcW w:w="6614" w:type="dxa"/>
            <w:vAlign w:val="center"/>
          </w:tcPr>
          <w:p w:rsidR="0036429C" w:rsidRPr="002C5AC6" w:rsidRDefault="0036429C" w:rsidP="00B25BD1">
            <w:r w:rsidRPr="002C5AC6">
              <w:t xml:space="preserve">Досие АХ № 17206 – Протокол; Допълнително заключение към съдебно-счетоводна експертиза; Справка-декларация по чл. 29, ал. 2 и чл. 31, ал. 2 от Наредба № 1 от 2008 г. за вписването, квалификацията и възнагражденията на вещите лица от 12.11.2014 г.; Сметка по чл. 9 и Декларация по чл. 43, ал. 5 от ЗДДФЛ; Разходен касов ордер от 10.12.2014 г.; Платежно нареждане; Банково извлечение; Списък-изход за банков превод; Контролен лист за извършване на предварителен контрол от 10.12.2014 г. </w:t>
            </w:r>
          </w:p>
        </w:tc>
        <w:tc>
          <w:tcPr>
            <w:tcW w:w="1607" w:type="dxa"/>
            <w:vAlign w:val="center"/>
          </w:tcPr>
          <w:p w:rsidR="0036429C" w:rsidRPr="002C5AC6" w:rsidRDefault="0036429C" w:rsidP="00037DC5">
            <w:pPr>
              <w:jc w:val="center"/>
            </w:pPr>
            <w:r w:rsidRPr="002C5AC6">
              <w:t>21</w:t>
            </w:r>
          </w:p>
        </w:tc>
      </w:tr>
      <w:tr w:rsidR="00CA0AE5" w:rsidRPr="002C5AC6" w:rsidTr="00037DC5">
        <w:trPr>
          <w:jc w:val="center"/>
        </w:trPr>
        <w:tc>
          <w:tcPr>
            <w:tcW w:w="1414" w:type="dxa"/>
            <w:vAlign w:val="center"/>
          </w:tcPr>
          <w:p w:rsidR="00CA0AE5" w:rsidRPr="002C5AC6" w:rsidRDefault="00AF7EB4" w:rsidP="00037DC5">
            <w:pPr>
              <w:jc w:val="center"/>
            </w:pPr>
            <w:r w:rsidRPr="002C5AC6">
              <w:t>5</w:t>
            </w:r>
            <w:r w:rsidR="0036429C" w:rsidRPr="002C5AC6">
              <w:t>2.</w:t>
            </w:r>
            <w:r w:rsidRPr="002C5AC6">
              <w:t>28.</w:t>
            </w:r>
          </w:p>
        </w:tc>
        <w:tc>
          <w:tcPr>
            <w:tcW w:w="6614" w:type="dxa"/>
            <w:vAlign w:val="center"/>
          </w:tcPr>
          <w:p w:rsidR="00CA0AE5" w:rsidRPr="002C5AC6" w:rsidRDefault="00CA0AE5" w:rsidP="00B25BD1">
            <w:r w:rsidRPr="002C5AC6">
              <w:t xml:space="preserve">Досие НАХД № 4549 - Протокол; Съдебно-счетоводна експертиза; Справка-декларация по чл. 29, ал. 2 и чл. 31, ал. 2 от Наредба 1 от 2008 г. за вписването, квалификацията и възнагражденията на вещите лица от 12.11.2014; Сметка по чл. 9 и Декларация по чл. 43, ал. 5 от ЗДДФЛ; Разходен касов ордер от 12.11.2014 г.; Платежно нареждане; Банково извлечение; Списък-изход за банков превод; Контролен лист </w:t>
            </w:r>
            <w:r w:rsidRPr="002C5AC6">
              <w:lastRenderedPageBreak/>
              <w:t>за извършване на предварителен контрол от 10.12.2014 г.</w:t>
            </w:r>
          </w:p>
        </w:tc>
        <w:tc>
          <w:tcPr>
            <w:tcW w:w="1607" w:type="dxa"/>
            <w:vAlign w:val="center"/>
          </w:tcPr>
          <w:p w:rsidR="00CA0AE5" w:rsidRPr="002C5AC6" w:rsidRDefault="00CA0AE5" w:rsidP="00037DC5">
            <w:pPr>
              <w:jc w:val="center"/>
            </w:pPr>
            <w:r w:rsidRPr="002C5AC6">
              <w:lastRenderedPageBreak/>
              <w:t>20</w:t>
            </w:r>
          </w:p>
        </w:tc>
      </w:tr>
      <w:tr w:rsidR="00CA0AE5" w:rsidRPr="002C5AC6" w:rsidTr="00037DC5">
        <w:trPr>
          <w:jc w:val="center"/>
        </w:trPr>
        <w:tc>
          <w:tcPr>
            <w:tcW w:w="1414" w:type="dxa"/>
            <w:vAlign w:val="center"/>
          </w:tcPr>
          <w:p w:rsidR="00CA0AE5" w:rsidRPr="002C5AC6" w:rsidRDefault="00AF7EB4" w:rsidP="00037DC5">
            <w:pPr>
              <w:jc w:val="center"/>
            </w:pPr>
            <w:r w:rsidRPr="002C5AC6">
              <w:lastRenderedPageBreak/>
              <w:t>52.29</w:t>
            </w:r>
            <w:r w:rsidR="00ED6AF0" w:rsidRPr="002C5AC6">
              <w:t>.</w:t>
            </w:r>
          </w:p>
        </w:tc>
        <w:tc>
          <w:tcPr>
            <w:tcW w:w="6614" w:type="dxa"/>
            <w:vAlign w:val="center"/>
          </w:tcPr>
          <w:p w:rsidR="00CA0AE5" w:rsidRPr="002C5AC6" w:rsidRDefault="00CA0AE5" w:rsidP="00B25BD1">
            <w:r w:rsidRPr="002C5AC6">
              <w:t>Досие НОХД № 12566 - Протокол; Съдебно-психиатрична и психологична експертиза; Справка-декларация по чл. 4, ал. 2 от Наредбата за условията и реда за определяне на възнагражденията на вещите лица от 24.06.2014; Сметка по чл. 9 и Декларация по чл. 43, ал. 5 от ЗДДФЛ; Разходен касов ордер от 05.11.2014 г.; Платежно нареждане; Банково извлечение; Списък-изход за банков превод; Контролен лист за извършване на предварителен контрол от 12.12.2014 г.</w:t>
            </w:r>
          </w:p>
        </w:tc>
        <w:tc>
          <w:tcPr>
            <w:tcW w:w="1607" w:type="dxa"/>
            <w:vAlign w:val="center"/>
          </w:tcPr>
          <w:p w:rsidR="00CA0AE5" w:rsidRPr="002C5AC6" w:rsidRDefault="00CA0AE5" w:rsidP="00037DC5">
            <w:pPr>
              <w:jc w:val="center"/>
            </w:pPr>
            <w:r w:rsidRPr="002C5AC6">
              <w:t>39</w:t>
            </w:r>
          </w:p>
        </w:tc>
      </w:tr>
      <w:tr w:rsidR="00CA0AE5" w:rsidRPr="002C5AC6" w:rsidTr="00037DC5">
        <w:trPr>
          <w:jc w:val="center"/>
        </w:trPr>
        <w:tc>
          <w:tcPr>
            <w:tcW w:w="1414" w:type="dxa"/>
            <w:vAlign w:val="center"/>
          </w:tcPr>
          <w:p w:rsidR="00CA0AE5" w:rsidRPr="002C5AC6" w:rsidRDefault="00AF7EB4" w:rsidP="00037DC5">
            <w:pPr>
              <w:jc w:val="center"/>
            </w:pPr>
            <w:r w:rsidRPr="002C5AC6">
              <w:t>52.30</w:t>
            </w:r>
            <w:r w:rsidR="00ED6AF0" w:rsidRPr="002C5AC6">
              <w:t>.</w:t>
            </w:r>
          </w:p>
        </w:tc>
        <w:tc>
          <w:tcPr>
            <w:tcW w:w="6614" w:type="dxa"/>
            <w:vAlign w:val="center"/>
          </w:tcPr>
          <w:p w:rsidR="00CA0AE5" w:rsidRPr="002C5AC6" w:rsidRDefault="00CA0AE5" w:rsidP="00B25BD1">
            <w:r w:rsidRPr="002C5AC6">
              <w:t>Досие НОХД № 7335 - Протокол; Съдебно-психиатрична и психологична експертиза; Сметка по чл. 9 и Декларация по чл. 43, ал. 5 от ЗДДФЛ; Разходен касов ордер от 14.10.2014 г.; Платежно нареждане; Банково извлечение; Списък-изход за банков превод; Контролен лист за извършване на предварителен контрол от 05.12.2014 г.</w:t>
            </w:r>
          </w:p>
        </w:tc>
        <w:tc>
          <w:tcPr>
            <w:tcW w:w="1607" w:type="dxa"/>
            <w:vAlign w:val="center"/>
          </w:tcPr>
          <w:p w:rsidR="00CA0AE5" w:rsidRPr="002C5AC6" w:rsidRDefault="00CA0AE5" w:rsidP="00037DC5">
            <w:pPr>
              <w:jc w:val="center"/>
            </w:pPr>
            <w:r w:rsidRPr="002C5AC6">
              <w:t>33</w:t>
            </w:r>
          </w:p>
        </w:tc>
      </w:tr>
      <w:tr w:rsidR="00CA0AE5" w:rsidRPr="002C5AC6" w:rsidTr="00037DC5">
        <w:trPr>
          <w:jc w:val="center"/>
        </w:trPr>
        <w:tc>
          <w:tcPr>
            <w:tcW w:w="1414" w:type="dxa"/>
            <w:vAlign w:val="center"/>
          </w:tcPr>
          <w:p w:rsidR="00CA0AE5" w:rsidRPr="002C5AC6" w:rsidRDefault="00D1376F" w:rsidP="00037DC5">
            <w:pPr>
              <w:jc w:val="center"/>
            </w:pPr>
            <w:r w:rsidRPr="002C5AC6">
              <w:t>52.31</w:t>
            </w:r>
            <w:r w:rsidR="00ED6AF0" w:rsidRPr="002C5AC6">
              <w:t>.</w:t>
            </w:r>
          </w:p>
        </w:tc>
        <w:tc>
          <w:tcPr>
            <w:tcW w:w="6614" w:type="dxa"/>
            <w:vAlign w:val="center"/>
          </w:tcPr>
          <w:p w:rsidR="00CA0AE5" w:rsidRPr="002C5AC6" w:rsidRDefault="00CA0AE5" w:rsidP="00B25BD1">
            <w:r w:rsidRPr="002C5AC6">
              <w:t>Досие НОХД № 11370 - Протокол; Съдебномедицинска експертиза; Сметка по чл. 9 и Декларация по чл. 43, ал. 5 от ЗДДФЛ; Разходен касов ордер от 11.07.2014 г.; Платежно нареждане; Банково извлечение; Списък-изход за банков превод; Контролен лист за извършване на предварителен контрол от 09.12.2014 г.</w:t>
            </w:r>
          </w:p>
        </w:tc>
        <w:tc>
          <w:tcPr>
            <w:tcW w:w="1607" w:type="dxa"/>
            <w:vAlign w:val="center"/>
          </w:tcPr>
          <w:p w:rsidR="00CA0AE5" w:rsidRPr="002C5AC6" w:rsidRDefault="00CA0AE5" w:rsidP="00037DC5">
            <w:pPr>
              <w:jc w:val="center"/>
            </w:pPr>
            <w:r w:rsidRPr="002C5AC6">
              <w:t>14</w:t>
            </w:r>
          </w:p>
        </w:tc>
      </w:tr>
      <w:tr w:rsidR="00CA0AE5" w:rsidRPr="002C5AC6" w:rsidTr="00037DC5">
        <w:trPr>
          <w:jc w:val="center"/>
        </w:trPr>
        <w:tc>
          <w:tcPr>
            <w:tcW w:w="1414" w:type="dxa"/>
            <w:vAlign w:val="center"/>
          </w:tcPr>
          <w:p w:rsidR="00CA0AE5" w:rsidRPr="002C5AC6" w:rsidRDefault="00D1376F" w:rsidP="00037DC5">
            <w:pPr>
              <w:jc w:val="center"/>
            </w:pPr>
            <w:r w:rsidRPr="002C5AC6">
              <w:t>52.32.</w:t>
            </w:r>
          </w:p>
        </w:tc>
        <w:tc>
          <w:tcPr>
            <w:tcW w:w="6614" w:type="dxa"/>
            <w:vAlign w:val="center"/>
          </w:tcPr>
          <w:p w:rsidR="00CA0AE5" w:rsidRPr="002C5AC6" w:rsidRDefault="00CA0AE5" w:rsidP="00B25BD1">
            <w:r w:rsidRPr="002C5AC6">
              <w:t>Досие НОХД № 8120 - Протокол; Съдебномедицинска експертиза; Справка-декларация по чл. 29, ал. 2 и чл. 31, ал. 2 от Наредба 3 от 2012 г. за вписването, квалификацията и възнагражденията на вещите лица от 23.04.2014г.;  Сметка по чл. 9 и Декларация по чл. 43, ал. 5 от ЗДДФЛ; Разходен касов ордер от 27.05.2014 г.; Платежно нареждане; Банково извлечение; Списък-изход за банков превод; Контролен лист за извършване на предварителен контрол от 15.08.2014 г.</w:t>
            </w:r>
          </w:p>
        </w:tc>
        <w:tc>
          <w:tcPr>
            <w:tcW w:w="1607" w:type="dxa"/>
            <w:vAlign w:val="center"/>
          </w:tcPr>
          <w:p w:rsidR="00CA0AE5" w:rsidRPr="002C5AC6" w:rsidRDefault="00CA0AE5" w:rsidP="00037DC5">
            <w:pPr>
              <w:jc w:val="center"/>
            </w:pPr>
            <w:r w:rsidRPr="002C5AC6">
              <w:t>23</w:t>
            </w:r>
          </w:p>
        </w:tc>
      </w:tr>
      <w:tr w:rsidR="00CA0AE5" w:rsidRPr="002C5AC6" w:rsidTr="00037DC5">
        <w:trPr>
          <w:jc w:val="center"/>
        </w:trPr>
        <w:tc>
          <w:tcPr>
            <w:tcW w:w="1414" w:type="dxa"/>
            <w:vAlign w:val="center"/>
          </w:tcPr>
          <w:p w:rsidR="00CA0AE5" w:rsidRPr="002C5AC6" w:rsidRDefault="00C64836" w:rsidP="00037DC5">
            <w:pPr>
              <w:jc w:val="center"/>
            </w:pPr>
            <w:r w:rsidRPr="002C5AC6">
              <w:t>52.33</w:t>
            </w:r>
            <w:r w:rsidR="00ED6AF0" w:rsidRPr="002C5AC6">
              <w:t>.</w:t>
            </w:r>
          </w:p>
        </w:tc>
        <w:tc>
          <w:tcPr>
            <w:tcW w:w="6614" w:type="dxa"/>
            <w:vAlign w:val="center"/>
          </w:tcPr>
          <w:p w:rsidR="00CA0AE5" w:rsidRPr="002C5AC6" w:rsidRDefault="00CA0AE5" w:rsidP="00B25BD1">
            <w:r w:rsidRPr="002C5AC6">
              <w:t>Досие НОХД № 5597 - Протокол; Дактилоскопна експертиза;  Сметка по чл. 9 и Декларация по чл. 43, ал. 5 от ЗДДФЛ; Разходен касов ордер от 27.03.2014 г.; Платежно нареждане; Банково извлечение; Списък-изход за банков превод; Контролен лист за извършване на предварителен контрол от 21.08.2014 г.</w:t>
            </w:r>
          </w:p>
        </w:tc>
        <w:tc>
          <w:tcPr>
            <w:tcW w:w="1607" w:type="dxa"/>
            <w:vAlign w:val="center"/>
          </w:tcPr>
          <w:p w:rsidR="00CA0AE5" w:rsidRPr="002C5AC6" w:rsidRDefault="00CA0AE5" w:rsidP="00037DC5">
            <w:pPr>
              <w:jc w:val="center"/>
            </w:pPr>
            <w:r w:rsidRPr="002C5AC6">
              <w:t>16</w:t>
            </w:r>
          </w:p>
        </w:tc>
      </w:tr>
      <w:tr w:rsidR="00CA0AE5" w:rsidRPr="002C5AC6" w:rsidTr="00037DC5">
        <w:trPr>
          <w:jc w:val="center"/>
        </w:trPr>
        <w:tc>
          <w:tcPr>
            <w:tcW w:w="1414" w:type="dxa"/>
            <w:vAlign w:val="center"/>
          </w:tcPr>
          <w:p w:rsidR="00CA0AE5" w:rsidRPr="002C5AC6" w:rsidRDefault="00CA0AE5" w:rsidP="00037DC5">
            <w:pPr>
              <w:jc w:val="center"/>
            </w:pPr>
          </w:p>
        </w:tc>
        <w:tc>
          <w:tcPr>
            <w:tcW w:w="6614" w:type="dxa"/>
            <w:vAlign w:val="center"/>
          </w:tcPr>
          <w:p w:rsidR="00CA0AE5" w:rsidRPr="002C5AC6" w:rsidRDefault="00CA0AE5" w:rsidP="00B25BD1">
            <w:r w:rsidRPr="002C5AC6">
              <w:t>ВЕЩИ ЛИЦА - ДЕПОЗИТИ</w:t>
            </w:r>
          </w:p>
        </w:tc>
        <w:tc>
          <w:tcPr>
            <w:tcW w:w="1607" w:type="dxa"/>
            <w:vAlign w:val="center"/>
          </w:tcPr>
          <w:p w:rsidR="00CA0AE5" w:rsidRPr="002C5AC6" w:rsidRDefault="00CA0AE5" w:rsidP="00037DC5">
            <w:pPr>
              <w:jc w:val="center"/>
            </w:pPr>
          </w:p>
        </w:tc>
      </w:tr>
      <w:tr w:rsidR="00CA0AE5" w:rsidRPr="002C5AC6" w:rsidTr="00037DC5">
        <w:trPr>
          <w:jc w:val="center"/>
        </w:trPr>
        <w:tc>
          <w:tcPr>
            <w:tcW w:w="1414" w:type="dxa"/>
            <w:vAlign w:val="center"/>
          </w:tcPr>
          <w:p w:rsidR="00CA0AE5" w:rsidRPr="002C5AC6" w:rsidRDefault="00C64836" w:rsidP="00037DC5">
            <w:pPr>
              <w:jc w:val="center"/>
            </w:pPr>
            <w:r w:rsidRPr="002C5AC6">
              <w:t>52.34</w:t>
            </w:r>
            <w:r w:rsidR="00ED6AF0" w:rsidRPr="002C5AC6">
              <w:t>.</w:t>
            </w:r>
          </w:p>
        </w:tc>
        <w:tc>
          <w:tcPr>
            <w:tcW w:w="6614" w:type="dxa"/>
            <w:vAlign w:val="center"/>
          </w:tcPr>
          <w:p w:rsidR="00CA0AE5" w:rsidRPr="002C5AC6" w:rsidRDefault="00CA0AE5" w:rsidP="00B25BD1">
            <w:r w:rsidRPr="002C5AC6">
              <w:t>Досие на гр. дело №38110/2013г. - Нареждане за масово плащане; Изход за банков превод – 08.12.2014г.; Ведомост за изплатените граждански договори и хонорари по банков път – 08.12.2014г.; Документ по чл. 9 ал.2 от ЗДДФЛ – 8.12.2014</w:t>
            </w:r>
            <w:r w:rsidR="00FF705A" w:rsidRPr="002C5AC6">
              <w:t xml:space="preserve"> </w:t>
            </w:r>
            <w:r w:rsidRPr="002C5AC6">
              <w:t>г.; РКО №0038782/19.02.2014</w:t>
            </w:r>
            <w:r w:rsidR="00FF705A" w:rsidRPr="002C5AC6">
              <w:t xml:space="preserve"> </w:t>
            </w:r>
            <w:r w:rsidRPr="002C5AC6">
              <w:t>г.; Банково извлечение от 10.12.2014г.; Протокол от съдебно заседание – 19.02.2014</w:t>
            </w:r>
            <w:r w:rsidR="00FF705A" w:rsidRPr="002C5AC6">
              <w:t xml:space="preserve"> </w:t>
            </w:r>
            <w:r w:rsidRPr="002C5AC6">
              <w:t>г.; Техническа експертиза от вещо лице;  Определение – 17.09.2013г.</w:t>
            </w:r>
          </w:p>
        </w:tc>
        <w:tc>
          <w:tcPr>
            <w:tcW w:w="1607" w:type="dxa"/>
            <w:vAlign w:val="center"/>
          </w:tcPr>
          <w:p w:rsidR="00CA0AE5" w:rsidRPr="002C5AC6" w:rsidRDefault="00CA0AE5" w:rsidP="00037DC5">
            <w:pPr>
              <w:jc w:val="center"/>
            </w:pPr>
            <w:r w:rsidRPr="002C5AC6">
              <w:t>14</w:t>
            </w:r>
          </w:p>
        </w:tc>
      </w:tr>
      <w:tr w:rsidR="00CA0AE5" w:rsidRPr="002C5AC6" w:rsidTr="00037DC5">
        <w:trPr>
          <w:jc w:val="center"/>
        </w:trPr>
        <w:tc>
          <w:tcPr>
            <w:tcW w:w="1414" w:type="dxa"/>
            <w:vAlign w:val="center"/>
          </w:tcPr>
          <w:p w:rsidR="00CA0AE5" w:rsidRPr="002C5AC6" w:rsidRDefault="00C64836" w:rsidP="00037DC5">
            <w:pPr>
              <w:jc w:val="center"/>
            </w:pPr>
            <w:r w:rsidRPr="002C5AC6">
              <w:t>52.35.</w:t>
            </w:r>
          </w:p>
        </w:tc>
        <w:tc>
          <w:tcPr>
            <w:tcW w:w="6614" w:type="dxa"/>
            <w:vAlign w:val="center"/>
          </w:tcPr>
          <w:p w:rsidR="00CA0AE5" w:rsidRPr="002C5AC6" w:rsidRDefault="00CA0AE5" w:rsidP="00B25BD1">
            <w:r w:rsidRPr="002C5AC6">
              <w:t>Досие на гр. дело № 32103/2014г. - Нареждане за масово плащане; Изход за банков превод – 08.12.2014</w:t>
            </w:r>
            <w:r w:rsidR="00FF705A" w:rsidRPr="002C5AC6">
              <w:t xml:space="preserve"> </w:t>
            </w:r>
            <w:r w:rsidRPr="002C5AC6">
              <w:t>г; Ведомост за изплатените граждански договори и хонорари по банков път – 08.12.2014</w:t>
            </w:r>
            <w:r w:rsidR="00FF705A" w:rsidRPr="002C5AC6">
              <w:t xml:space="preserve"> </w:t>
            </w:r>
            <w:r w:rsidRPr="002C5AC6">
              <w:t>г.; Определение – 16.09.2014</w:t>
            </w:r>
            <w:r w:rsidR="00FF705A" w:rsidRPr="002C5AC6">
              <w:t xml:space="preserve"> </w:t>
            </w:r>
            <w:r w:rsidRPr="002C5AC6">
              <w:t xml:space="preserve">г.; Документ по чл. </w:t>
            </w:r>
            <w:r w:rsidRPr="002C5AC6">
              <w:lastRenderedPageBreak/>
              <w:t>9 ал.2 от ЗДДФЛ – 8.12.2014г.; РКО от 27.11.2014г.; Банково извлечение от 10.12.2014</w:t>
            </w:r>
            <w:r w:rsidR="00FF705A" w:rsidRPr="002C5AC6">
              <w:t xml:space="preserve"> </w:t>
            </w:r>
            <w:r w:rsidRPr="002C5AC6">
              <w:t>г.; Протокол от съдебно заседание – 27.11.2014</w:t>
            </w:r>
            <w:r w:rsidR="00FF705A" w:rsidRPr="002C5AC6">
              <w:t xml:space="preserve"> </w:t>
            </w:r>
            <w:r w:rsidRPr="002C5AC6">
              <w:t>г.; Съдебна автотехническа експертиза от вещо лице</w:t>
            </w:r>
          </w:p>
        </w:tc>
        <w:tc>
          <w:tcPr>
            <w:tcW w:w="1607" w:type="dxa"/>
            <w:vAlign w:val="center"/>
          </w:tcPr>
          <w:p w:rsidR="00CA0AE5" w:rsidRPr="002C5AC6" w:rsidRDefault="00CA0AE5" w:rsidP="00037DC5">
            <w:pPr>
              <w:jc w:val="center"/>
            </w:pPr>
            <w:r w:rsidRPr="002C5AC6">
              <w:lastRenderedPageBreak/>
              <w:t>14</w:t>
            </w:r>
          </w:p>
        </w:tc>
      </w:tr>
      <w:tr w:rsidR="00CA0AE5" w:rsidRPr="002C5AC6" w:rsidTr="00037DC5">
        <w:trPr>
          <w:jc w:val="center"/>
        </w:trPr>
        <w:tc>
          <w:tcPr>
            <w:tcW w:w="1414" w:type="dxa"/>
            <w:vAlign w:val="center"/>
          </w:tcPr>
          <w:p w:rsidR="00CA0AE5" w:rsidRPr="002C5AC6" w:rsidRDefault="00C64836" w:rsidP="00037DC5">
            <w:pPr>
              <w:jc w:val="center"/>
            </w:pPr>
            <w:r w:rsidRPr="002C5AC6">
              <w:lastRenderedPageBreak/>
              <w:t>52.36.</w:t>
            </w:r>
          </w:p>
        </w:tc>
        <w:tc>
          <w:tcPr>
            <w:tcW w:w="6614" w:type="dxa"/>
            <w:vAlign w:val="center"/>
          </w:tcPr>
          <w:p w:rsidR="00CA0AE5" w:rsidRPr="002C5AC6" w:rsidRDefault="00CA0AE5" w:rsidP="00B25BD1">
            <w:r w:rsidRPr="002C5AC6">
              <w:t>Досие на гр. дело № 41646/2014г. - Нареждане за масово плащане; Изход за банков превод – 18.12.2014</w:t>
            </w:r>
            <w:r w:rsidR="00C14EF8" w:rsidRPr="002C5AC6">
              <w:t xml:space="preserve"> </w:t>
            </w:r>
            <w:r w:rsidRPr="002C5AC6">
              <w:t>г; Ведомост за изплатените граждански договори и хонорари по банков път – 18.12.2014г.; РКО №0038782/10.12.2014</w:t>
            </w:r>
            <w:r w:rsidR="00C14EF8" w:rsidRPr="002C5AC6">
              <w:t xml:space="preserve"> </w:t>
            </w:r>
            <w:r w:rsidRPr="002C5AC6">
              <w:t>г.; РКО №0061631/10.12.2014</w:t>
            </w:r>
            <w:r w:rsidR="00FF705A" w:rsidRPr="002C5AC6">
              <w:t xml:space="preserve"> </w:t>
            </w:r>
            <w:r w:rsidRPr="002C5AC6">
              <w:t>г.; Документ по чл. 9 ал.2 от ЗДДФЛ – 18.12.2014</w:t>
            </w:r>
            <w:r w:rsidR="00FF705A" w:rsidRPr="002C5AC6">
              <w:t xml:space="preserve"> </w:t>
            </w:r>
            <w:r w:rsidRPr="002C5AC6">
              <w:t>г.; Определение – 19.11.2014</w:t>
            </w:r>
            <w:r w:rsidR="00C14EF8" w:rsidRPr="002C5AC6">
              <w:t xml:space="preserve"> </w:t>
            </w:r>
            <w:r w:rsidRPr="002C5AC6">
              <w:t>г.; Автотехническа експертиза от вещо лице; Протокол от съдебно заседание – 27.11.2014г.; Банково извлечение от 19.12.2014г.</w:t>
            </w:r>
          </w:p>
        </w:tc>
        <w:tc>
          <w:tcPr>
            <w:tcW w:w="1607" w:type="dxa"/>
            <w:vAlign w:val="center"/>
          </w:tcPr>
          <w:p w:rsidR="00CA0AE5" w:rsidRPr="002C5AC6" w:rsidRDefault="00CA0AE5" w:rsidP="00037DC5">
            <w:pPr>
              <w:jc w:val="center"/>
            </w:pPr>
            <w:r w:rsidRPr="002C5AC6">
              <w:t>15</w:t>
            </w:r>
          </w:p>
        </w:tc>
      </w:tr>
      <w:tr w:rsidR="00CA0AE5" w:rsidRPr="002C5AC6" w:rsidTr="00037DC5">
        <w:trPr>
          <w:jc w:val="center"/>
        </w:trPr>
        <w:tc>
          <w:tcPr>
            <w:tcW w:w="1414" w:type="dxa"/>
            <w:vAlign w:val="center"/>
          </w:tcPr>
          <w:p w:rsidR="00CA0AE5" w:rsidRPr="002C5AC6" w:rsidRDefault="00C64836" w:rsidP="00037DC5">
            <w:pPr>
              <w:jc w:val="center"/>
            </w:pPr>
            <w:r w:rsidRPr="002C5AC6">
              <w:t>52.37.</w:t>
            </w:r>
          </w:p>
        </w:tc>
        <w:tc>
          <w:tcPr>
            <w:tcW w:w="6614" w:type="dxa"/>
            <w:vAlign w:val="center"/>
          </w:tcPr>
          <w:p w:rsidR="00CA0AE5" w:rsidRPr="002C5AC6" w:rsidRDefault="00CA0AE5" w:rsidP="00B25BD1">
            <w:r w:rsidRPr="002C5AC6">
              <w:t>Досие на гр. дело № 14962/2013г. - Нареждане за масово плащане; Определение – 24.07.2013</w:t>
            </w:r>
            <w:r w:rsidR="00C14EF8" w:rsidRPr="002C5AC6">
              <w:t xml:space="preserve"> </w:t>
            </w:r>
            <w:r w:rsidRPr="002C5AC6">
              <w:t>г.; Съдебно-техническа експертиза от вещо лице; Протокол от съдебно заседание – 2.10.2013г.; РКО №0025356/01.10.2013</w:t>
            </w:r>
            <w:r w:rsidR="00C14EF8" w:rsidRPr="002C5AC6">
              <w:t xml:space="preserve"> </w:t>
            </w:r>
            <w:r w:rsidRPr="002C5AC6">
              <w:t>г.; Документ по чл. 9 ал.2 от ЗДДФЛ – 14.08.2014</w:t>
            </w:r>
            <w:r w:rsidR="00C14EF8" w:rsidRPr="002C5AC6">
              <w:t xml:space="preserve"> </w:t>
            </w:r>
            <w:r w:rsidRPr="002C5AC6">
              <w:t>г.; Изход за банков превод – 11.08.2014</w:t>
            </w:r>
            <w:r w:rsidR="00C14EF8" w:rsidRPr="002C5AC6">
              <w:t xml:space="preserve"> </w:t>
            </w:r>
            <w:r w:rsidRPr="002C5AC6">
              <w:t>г. – 14.08.2014</w:t>
            </w:r>
            <w:r w:rsidR="00C14EF8" w:rsidRPr="002C5AC6">
              <w:t xml:space="preserve"> </w:t>
            </w:r>
            <w:r w:rsidRPr="002C5AC6">
              <w:t>г.; Банково извлечение от 15.08.2014</w:t>
            </w:r>
            <w:r w:rsidR="00C14EF8" w:rsidRPr="002C5AC6">
              <w:t xml:space="preserve"> </w:t>
            </w:r>
            <w:r w:rsidRPr="002C5AC6">
              <w:t>г.</w:t>
            </w:r>
          </w:p>
        </w:tc>
        <w:tc>
          <w:tcPr>
            <w:tcW w:w="1607" w:type="dxa"/>
            <w:vAlign w:val="center"/>
          </w:tcPr>
          <w:p w:rsidR="00CA0AE5" w:rsidRPr="002C5AC6" w:rsidRDefault="00CA0AE5" w:rsidP="00037DC5">
            <w:pPr>
              <w:jc w:val="center"/>
            </w:pPr>
            <w:r w:rsidRPr="002C5AC6">
              <w:t>21</w:t>
            </w:r>
          </w:p>
        </w:tc>
      </w:tr>
      <w:tr w:rsidR="00CA0AE5" w:rsidRPr="002C5AC6" w:rsidTr="00037DC5">
        <w:trPr>
          <w:jc w:val="center"/>
        </w:trPr>
        <w:tc>
          <w:tcPr>
            <w:tcW w:w="1414" w:type="dxa"/>
            <w:vAlign w:val="center"/>
          </w:tcPr>
          <w:p w:rsidR="00CA0AE5" w:rsidRPr="002C5AC6" w:rsidRDefault="0095225F" w:rsidP="00037DC5">
            <w:pPr>
              <w:jc w:val="center"/>
            </w:pPr>
            <w:r w:rsidRPr="002C5AC6">
              <w:t>5</w:t>
            </w:r>
            <w:r w:rsidR="00EC5591" w:rsidRPr="002C5AC6">
              <w:t>2</w:t>
            </w:r>
            <w:r w:rsidR="00ED6AF0" w:rsidRPr="002C5AC6">
              <w:t>.</w:t>
            </w:r>
            <w:r w:rsidRPr="002C5AC6">
              <w:t>38.</w:t>
            </w:r>
          </w:p>
        </w:tc>
        <w:tc>
          <w:tcPr>
            <w:tcW w:w="6614" w:type="dxa"/>
            <w:vAlign w:val="center"/>
          </w:tcPr>
          <w:p w:rsidR="00CA0AE5" w:rsidRPr="002C5AC6" w:rsidRDefault="00CA0AE5" w:rsidP="00B25BD1">
            <w:r w:rsidRPr="002C5AC6">
              <w:t>Досие на гр. дело № 44367/2012г. - Нареждане за масово плащане; Изход за банков превод – 02.12.2014</w:t>
            </w:r>
            <w:r w:rsidR="00FF705A" w:rsidRPr="002C5AC6">
              <w:t xml:space="preserve"> </w:t>
            </w:r>
            <w:r w:rsidRPr="002C5AC6">
              <w:t>г.; Ведомост за изплатените граждански договори и хонорари по банков път – 02.12.2014г.; Документ по чл. 9 ал.2 от ЗДДФЛ – 02.12.2014</w:t>
            </w:r>
            <w:r w:rsidR="00FF705A" w:rsidRPr="002C5AC6">
              <w:t xml:space="preserve"> </w:t>
            </w:r>
            <w:r w:rsidRPr="002C5AC6">
              <w:t>г.;</w:t>
            </w:r>
          </w:p>
          <w:p w:rsidR="00CA0AE5" w:rsidRPr="002C5AC6" w:rsidRDefault="00CA0AE5" w:rsidP="00B25BD1">
            <w:r w:rsidRPr="002C5AC6">
              <w:t>- РКО №0034020/09.12.2013</w:t>
            </w:r>
            <w:r w:rsidR="005C7D4F" w:rsidRPr="002C5AC6">
              <w:t xml:space="preserve"> </w:t>
            </w:r>
            <w:r w:rsidRPr="002C5AC6">
              <w:t>г.; Банково извлечение от 08.12.2014</w:t>
            </w:r>
            <w:r w:rsidR="00FF705A" w:rsidRPr="002C5AC6">
              <w:t xml:space="preserve"> </w:t>
            </w:r>
            <w:r w:rsidRPr="002C5AC6">
              <w:t>г.; Протокол от съдебно заседание – 08.05.2013</w:t>
            </w:r>
            <w:r w:rsidR="00FF705A" w:rsidRPr="002C5AC6">
              <w:t xml:space="preserve"> </w:t>
            </w:r>
            <w:r w:rsidRPr="002C5AC6">
              <w:t>г.;</w:t>
            </w:r>
          </w:p>
          <w:p w:rsidR="00CA0AE5" w:rsidRPr="002C5AC6" w:rsidRDefault="00CA0AE5" w:rsidP="00B25BD1">
            <w:r w:rsidRPr="002C5AC6">
              <w:t>- Съдебно-техническа експертиза от вещо лице; Протокол от съдебно заседание – 9.10.2013</w:t>
            </w:r>
            <w:r w:rsidR="00FF705A" w:rsidRPr="002C5AC6">
              <w:t xml:space="preserve"> </w:t>
            </w:r>
            <w:r w:rsidRPr="002C5AC6">
              <w:t>г.</w:t>
            </w:r>
          </w:p>
        </w:tc>
        <w:tc>
          <w:tcPr>
            <w:tcW w:w="1607" w:type="dxa"/>
            <w:vAlign w:val="center"/>
          </w:tcPr>
          <w:p w:rsidR="00CA0AE5" w:rsidRPr="002C5AC6" w:rsidRDefault="00CA0AE5" w:rsidP="00037DC5">
            <w:pPr>
              <w:jc w:val="center"/>
            </w:pPr>
            <w:r w:rsidRPr="002C5AC6">
              <w:t>18</w:t>
            </w:r>
          </w:p>
        </w:tc>
      </w:tr>
      <w:tr w:rsidR="00CA0AE5" w:rsidRPr="002C5AC6" w:rsidTr="00037DC5">
        <w:trPr>
          <w:jc w:val="center"/>
        </w:trPr>
        <w:tc>
          <w:tcPr>
            <w:tcW w:w="1414" w:type="dxa"/>
            <w:vAlign w:val="center"/>
          </w:tcPr>
          <w:p w:rsidR="00CA0AE5" w:rsidRPr="002C5AC6" w:rsidRDefault="0095225F" w:rsidP="00037DC5">
            <w:pPr>
              <w:jc w:val="center"/>
            </w:pPr>
            <w:r w:rsidRPr="002C5AC6">
              <w:t>52.3</w:t>
            </w:r>
            <w:r w:rsidR="00EC5591" w:rsidRPr="002C5AC6">
              <w:t>9</w:t>
            </w:r>
            <w:r w:rsidR="00ED6AF0" w:rsidRPr="002C5AC6">
              <w:t>.</w:t>
            </w:r>
          </w:p>
        </w:tc>
        <w:tc>
          <w:tcPr>
            <w:tcW w:w="6614" w:type="dxa"/>
            <w:vAlign w:val="center"/>
          </w:tcPr>
          <w:p w:rsidR="00CA0AE5" w:rsidRPr="002C5AC6" w:rsidRDefault="00CA0AE5" w:rsidP="00B25BD1">
            <w:r w:rsidRPr="002C5AC6">
              <w:t>Досие на гр. дело № 6316/20</w:t>
            </w:r>
            <w:r w:rsidR="00403C8B">
              <w:t>1</w:t>
            </w:r>
            <w:r w:rsidRPr="002C5AC6">
              <w:t>4</w:t>
            </w:r>
            <w:r w:rsidR="005C7D4F" w:rsidRPr="002C5AC6">
              <w:t xml:space="preserve"> </w:t>
            </w:r>
            <w:r w:rsidRPr="002C5AC6">
              <w:t>г.</w:t>
            </w:r>
            <w:r w:rsidR="005C7D4F" w:rsidRPr="002C5AC6">
              <w:t xml:space="preserve"> </w:t>
            </w:r>
            <w:r w:rsidRPr="002C5AC6">
              <w:t>- Нареждане за масово плащане;  Изход за банков превод – 23.07.2014</w:t>
            </w:r>
            <w:r w:rsidR="00FF705A" w:rsidRPr="002C5AC6">
              <w:t xml:space="preserve"> </w:t>
            </w:r>
            <w:r w:rsidRPr="002C5AC6">
              <w:t>г. – 24.07.2014</w:t>
            </w:r>
            <w:r w:rsidR="00FF705A" w:rsidRPr="002C5AC6">
              <w:t xml:space="preserve"> </w:t>
            </w:r>
            <w:r w:rsidRPr="002C5AC6">
              <w:t>г.; Документ по чл. 9 ал.2 от ЗДДФЛ – 24.07.2014</w:t>
            </w:r>
            <w:r w:rsidR="00FF705A" w:rsidRPr="002C5AC6">
              <w:t xml:space="preserve"> </w:t>
            </w:r>
            <w:r w:rsidRPr="002C5AC6">
              <w:t>г.;</w:t>
            </w:r>
          </w:p>
          <w:p w:rsidR="00CA0AE5" w:rsidRPr="002C5AC6" w:rsidRDefault="00CA0AE5" w:rsidP="00B25BD1">
            <w:r w:rsidRPr="002C5AC6">
              <w:t>- РКО №0034020/07.07.2014</w:t>
            </w:r>
            <w:r w:rsidR="00FF705A" w:rsidRPr="002C5AC6">
              <w:t xml:space="preserve"> </w:t>
            </w:r>
            <w:r w:rsidRPr="002C5AC6">
              <w:t>г.; Банково извлечение от 01.08.2014</w:t>
            </w:r>
            <w:r w:rsidR="00FF705A" w:rsidRPr="002C5AC6">
              <w:t xml:space="preserve"> </w:t>
            </w:r>
            <w:r w:rsidRPr="002C5AC6">
              <w:t>г.; Определение – 07.02.2014</w:t>
            </w:r>
            <w:r w:rsidR="00FF705A" w:rsidRPr="002C5AC6">
              <w:t xml:space="preserve"> </w:t>
            </w:r>
            <w:r w:rsidRPr="002C5AC6">
              <w:t>г.; Протокол от съдебно заседание – 3.07.2014</w:t>
            </w:r>
            <w:r w:rsidR="00FF705A" w:rsidRPr="002C5AC6">
              <w:t xml:space="preserve"> </w:t>
            </w:r>
            <w:r w:rsidRPr="002C5AC6">
              <w:t>г.; Съдебно-техническа експертиза от вещо лице.</w:t>
            </w:r>
          </w:p>
        </w:tc>
        <w:tc>
          <w:tcPr>
            <w:tcW w:w="1607" w:type="dxa"/>
            <w:vAlign w:val="center"/>
          </w:tcPr>
          <w:p w:rsidR="00CA0AE5" w:rsidRPr="002C5AC6" w:rsidRDefault="00CA0AE5" w:rsidP="00037DC5">
            <w:pPr>
              <w:jc w:val="center"/>
            </w:pPr>
            <w:r w:rsidRPr="002C5AC6">
              <w:t>11</w:t>
            </w:r>
          </w:p>
        </w:tc>
      </w:tr>
      <w:tr w:rsidR="00CA0AE5" w:rsidRPr="002C5AC6" w:rsidTr="00037DC5">
        <w:trPr>
          <w:jc w:val="center"/>
        </w:trPr>
        <w:tc>
          <w:tcPr>
            <w:tcW w:w="1414" w:type="dxa"/>
            <w:vAlign w:val="center"/>
          </w:tcPr>
          <w:p w:rsidR="00CA0AE5" w:rsidRPr="002C5AC6" w:rsidRDefault="0095225F" w:rsidP="00037DC5">
            <w:pPr>
              <w:jc w:val="center"/>
            </w:pPr>
            <w:r w:rsidRPr="002C5AC6">
              <w:t>52.40.</w:t>
            </w:r>
          </w:p>
        </w:tc>
        <w:tc>
          <w:tcPr>
            <w:tcW w:w="6614" w:type="dxa"/>
            <w:vAlign w:val="center"/>
          </w:tcPr>
          <w:p w:rsidR="00CA0AE5" w:rsidRPr="002C5AC6" w:rsidRDefault="00CA0AE5" w:rsidP="00B25BD1">
            <w:r w:rsidRPr="002C5AC6">
              <w:t>Досие на гр. дело № 35408/2014</w:t>
            </w:r>
            <w:r w:rsidR="00FF705A" w:rsidRPr="002C5AC6">
              <w:t xml:space="preserve"> </w:t>
            </w:r>
            <w:r w:rsidRPr="002C5AC6">
              <w:t>г.- Нареждане за масово плащане; Изход за банков превод – 18.12.2014</w:t>
            </w:r>
            <w:r w:rsidR="00FF705A" w:rsidRPr="002C5AC6">
              <w:t xml:space="preserve"> </w:t>
            </w:r>
            <w:r w:rsidRPr="002C5AC6">
              <w:t>г.; Ведомост за изплатените граждански договори и хонорари по банков път – 18.12.2014г.; Документ по чл. 9 ал.2 от ЗДДФЛ – 18.12.2014</w:t>
            </w:r>
            <w:r w:rsidR="00FF705A" w:rsidRPr="002C5AC6">
              <w:t xml:space="preserve"> </w:t>
            </w:r>
            <w:r w:rsidRPr="002C5AC6">
              <w:t>г.; Определение – 17.11.2014</w:t>
            </w:r>
            <w:r w:rsidR="00FF705A" w:rsidRPr="002C5AC6">
              <w:t xml:space="preserve"> </w:t>
            </w:r>
            <w:r w:rsidRPr="002C5AC6">
              <w:t>г.; РКО №0061609 и №0061611 от 10.12.2014</w:t>
            </w:r>
            <w:r w:rsidR="00FF705A" w:rsidRPr="002C5AC6">
              <w:t xml:space="preserve"> </w:t>
            </w:r>
            <w:r w:rsidRPr="002C5AC6">
              <w:t>г.; Протокол от съдебно заседание – 6.02.2015</w:t>
            </w:r>
            <w:r w:rsidR="00FF705A" w:rsidRPr="002C5AC6">
              <w:t xml:space="preserve"> </w:t>
            </w:r>
            <w:r w:rsidRPr="002C5AC6">
              <w:t>г.; Банково извлечение от 19.12.2014</w:t>
            </w:r>
            <w:r w:rsidR="00FF705A" w:rsidRPr="002C5AC6">
              <w:t xml:space="preserve"> </w:t>
            </w:r>
            <w:r w:rsidRPr="002C5AC6">
              <w:t>г.; Протокол от съдебно заседание – 10.12.2014</w:t>
            </w:r>
            <w:r w:rsidR="00FF705A" w:rsidRPr="002C5AC6">
              <w:t xml:space="preserve"> </w:t>
            </w:r>
            <w:r w:rsidRPr="002C5AC6">
              <w:t>г.; Допълнителна автотехническа експертиза от вещо лице; Автотехническа експертиза от вещо лице.</w:t>
            </w:r>
          </w:p>
        </w:tc>
        <w:tc>
          <w:tcPr>
            <w:tcW w:w="1607" w:type="dxa"/>
            <w:vAlign w:val="center"/>
          </w:tcPr>
          <w:p w:rsidR="00CA0AE5" w:rsidRPr="002C5AC6" w:rsidRDefault="00CA0AE5" w:rsidP="00037DC5">
            <w:pPr>
              <w:jc w:val="center"/>
            </w:pPr>
            <w:r w:rsidRPr="002C5AC6">
              <w:t>18</w:t>
            </w:r>
          </w:p>
        </w:tc>
      </w:tr>
      <w:tr w:rsidR="00CA0AE5" w:rsidRPr="002C5AC6" w:rsidTr="00037DC5">
        <w:trPr>
          <w:jc w:val="center"/>
        </w:trPr>
        <w:tc>
          <w:tcPr>
            <w:tcW w:w="1414" w:type="dxa"/>
            <w:vAlign w:val="center"/>
          </w:tcPr>
          <w:p w:rsidR="00CA0AE5" w:rsidRPr="002C5AC6" w:rsidRDefault="0095225F" w:rsidP="00037DC5">
            <w:pPr>
              <w:jc w:val="center"/>
            </w:pPr>
            <w:r w:rsidRPr="002C5AC6">
              <w:t>52.41.</w:t>
            </w:r>
          </w:p>
        </w:tc>
        <w:tc>
          <w:tcPr>
            <w:tcW w:w="6614" w:type="dxa"/>
            <w:vAlign w:val="center"/>
          </w:tcPr>
          <w:p w:rsidR="00CA0AE5" w:rsidRPr="002C5AC6" w:rsidRDefault="00CA0AE5" w:rsidP="00B25BD1">
            <w:r w:rsidRPr="002C5AC6">
              <w:t>Досие на гр. дело № 61628/2012</w:t>
            </w:r>
            <w:r w:rsidR="00FF705A" w:rsidRPr="002C5AC6">
              <w:t xml:space="preserve"> </w:t>
            </w:r>
            <w:r w:rsidRPr="002C5AC6">
              <w:t xml:space="preserve">г.- РКО 0025233/30.09.2013г.; </w:t>
            </w:r>
          </w:p>
          <w:p w:rsidR="00CA0AE5" w:rsidRPr="002C5AC6" w:rsidRDefault="00CA0AE5" w:rsidP="00B25BD1">
            <w:r w:rsidRPr="002C5AC6">
              <w:t>- Нареждане за масово плащане; Изход за банков превод – 11.08.2014</w:t>
            </w:r>
            <w:r w:rsidR="00FF705A" w:rsidRPr="002C5AC6">
              <w:t xml:space="preserve"> </w:t>
            </w:r>
            <w:r w:rsidRPr="002C5AC6">
              <w:t>г. – 14.08.2014</w:t>
            </w:r>
            <w:r w:rsidR="00FF705A" w:rsidRPr="002C5AC6">
              <w:t xml:space="preserve"> </w:t>
            </w:r>
            <w:r w:rsidRPr="002C5AC6">
              <w:t xml:space="preserve">г.; Протокол от съдебно заседание – </w:t>
            </w:r>
            <w:r w:rsidRPr="002C5AC6">
              <w:lastRenderedPageBreak/>
              <w:t>30.09.2013</w:t>
            </w:r>
            <w:r w:rsidR="00FF705A" w:rsidRPr="002C5AC6">
              <w:t xml:space="preserve"> </w:t>
            </w:r>
            <w:r w:rsidRPr="002C5AC6">
              <w:t>г.; Документ по чл. 9 ал.2 от ЗДДФЛ – 14.08.2014</w:t>
            </w:r>
            <w:r w:rsidR="00FF705A" w:rsidRPr="002C5AC6">
              <w:t xml:space="preserve"> </w:t>
            </w:r>
            <w:r w:rsidRPr="002C5AC6">
              <w:t>г.; - Банково извлечение от 15.08.2014г.; Определение – 17.06.2013</w:t>
            </w:r>
            <w:r w:rsidR="00FF705A" w:rsidRPr="002C5AC6">
              <w:t xml:space="preserve"> </w:t>
            </w:r>
            <w:r w:rsidRPr="002C5AC6">
              <w:t>г.; Съдебно-техническа оценителна експертиза за определяне на пазарната стойност на щети; МО № 15/3 от м.07.2013</w:t>
            </w:r>
            <w:r w:rsidR="00FF705A" w:rsidRPr="002C5AC6">
              <w:t xml:space="preserve"> </w:t>
            </w:r>
            <w:r w:rsidRPr="002C5AC6">
              <w:t>г.; Банково извлечение от 11.07.2013</w:t>
            </w:r>
            <w:r w:rsidR="00FF705A" w:rsidRPr="002C5AC6">
              <w:t xml:space="preserve"> </w:t>
            </w:r>
            <w:r w:rsidRPr="002C5AC6">
              <w:t>г.</w:t>
            </w:r>
          </w:p>
        </w:tc>
        <w:tc>
          <w:tcPr>
            <w:tcW w:w="1607" w:type="dxa"/>
            <w:vAlign w:val="center"/>
          </w:tcPr>
          <w:p w:rsidR="00CA0AE5" w:rsidRPr="002C5AC6" w:rsidRDefault="00CA0AE5" w:rsidP="00037DC5">
            <w:pPr>
              <w:jc w:val="center"/>
            </w:pPr>
            <w:r w:rsidRPr="002C5AC6">
              <w:lastRenderedPageBreak/>
              <w:t>64</w:t>
            </w:r>
          </w:p>
        </w:tc>
      </w:tr>
      <w:tr w:rsidR="00CA0AE5" w:rsidRPr="002C5AC6" w:rsidTr="00037DC5">
        <w:trPr>
          <w:jc w:val="center"/>
        </w:trPr>
        <w:tc>
          <w:tcPr>
            <w:tcW w:w="1414" w:type="dxa"/>
            <w:vAlign w:val="center"/>
          </w:tcPr>
          <w:p w:rsidR="00CA0AE5" w:rsidRPr="002C5AC6" w:rsidRDefault="0095225F" w:rsidP="00037DC5">
            <w:pPr>
              <w:jc w:val="center"/>
            </w:pPr>
            <w:r w:rsidRPr="002C5AC6">
              <w:lastRenderedPageBreak/>
              <w:t>52.42.</w:t>
            </w:r>
          </w:p>
        </w:tc>
        <w:tc>
          <w:tcPr>
            <w:tcW w:w="6614" w:type="dxa"/>
            <w:vAlign w:val="center"/>
          </w:tcPr>
          <w:p w:rsidR="00CA0AE5" w:rsidRPr="002C5AC6" w:rsidRDefault="00CA0AE5" w:rsidP="00B25BD1">
            <w:r w:rsidRPr="002C5AC6">
              <w:t>Досие на гр. дело № 56840/2011г.- Нареждане за масово плащане; Изход за банков превод – 17.12.2014г.; Документ по чл. 9 ал.2 от ЗДДФЛ – 17.12.2014</w:t>
            </w:r>
            <w:r w:rsidR="00FF705A" w:rsidRPr="002C5AC6">
              <w:t xml:space="preserve"> </w:t>
            </w:r>
            <w:r w:rsidRPr="002C5AC6">
              <w:t>г.; РКО 0035681/21.01.2014</w:t>
            </w:r>
            <w:r w:rsidR="00FF705A" w:rsidRPr="002C5AC6">
              <w:t xml:space="preserve"> </w:t>
            </w:r>
            <w:r w:rsidRPr="002C5AC6">
              <w:t>г.; - Банково извлечение от 19.12.2014</w:t>
            </w:r>
            <w:r w:rsidR="00FF705A" w:rsidRPr="002C5AC6">
              <w:t xml:space="preserve"> </w:t>
            </w:r>
            <w:r w:rsidRPr="002C5AC6">
              <w:t>г.; Техническа експертиза; - Определение – 14.12.2013</w:t>
            </w:r>
            <w:r w:rsidR="00FF705A" w:rsidRPr="002C5AC6">
              <w:t xml:space="preserve"> </w:t>
            </w:r>
            <w:r w:rsidRPr="002C5AC6">
              <w:t>г.; Протокол от съдебно заседание – 21.01.2014</w:t>
            </w:r>
            <w:r w:rsidR="00FF705A" w:rsidRPr="002C5AC6">
              <w:t xml:space="preserve"> </w:t>
            </w:r>
            <w:r w:rsidRPr="002C5AC6">
              <w:t>г.;  МО № 15/2 от м.11.2013</w:t>
            </w:r>
            <w:r w:rsidR="00FF705A" w:rsidRPr="002C5AC6">
              <w:t xml:space="preserve"> </w:t>
            </w:r>
            <w:r w:rsidRPr="002C5AC6">
              <w:t>г.; Банково извлечение от 13.11.2014</w:t>
            </w:r>
            <w:r w:rsidR="00FF705A" w:rsidRPr="002C5AC6">
              <w:t xml:space="preserve"> </w:t>
            </w:r>
            <w:r w:rsidRPr="002C5AC6">
              <w:t>г.</w:t>
            </w:r>
          </w:p>
        </w:tc>
        <w:tc>
          <w:tcPr>
            <w:tcW w:w="1607" w:type="dxa"/>
            <w:vAlign w:val="center"/>
          </w:tcPr>
          <w:p w:rsidR="00CA0AE5" w:rsidRPr="002C5AC6" w:rsidRDefault="00CA0AE5" w:rsidP="00037DC5">
            <w:pPr>
              <w:jc w:val="center"/>
            </w:pPr>
            <w:r w:rsidRPr="002C5AC6">
              <w:t>35</w:t>
            </w:r>
          </w:p>
        </w:tc>
      </w:tr>
      <w:tr w:rsidR="00CA0AE5" w:rsidRPr="002C5AC6" w:rsidTr="00037DC5">
        <w:trPr>
          <w:jc w:val="center"/>
        </w:trPr>
        <w:tc>
          <w:tcPr>
            <w:tcW w:w="1414" w:type="dxa"/>
            <w:vAlign w:val="center"/>
          </w:tcPr>
          <w:p w:rsidR="00CA0AE5" w:rsidRPr="002C5AC6" w:rsidRDefault="0095225F" w:rsidP="00037DC5">
            <w:pPr>
              <w:jc w:val="center"/>
            </w:pPr>
            <w:r w:rsidRPr="002C5AC6">
              <w:t>52.43.</w:t>
            </w:r>
          </w:p>
        </w:tc>
        <w:tc>
          <w:tcPr>
            <w:tcW w:w="6614" w:type="dxa"/>
            <w:vAlign w:val="center"/>
          </w:tcPr>
          <w:p w:rsidR="00CA0AE5" w:rsidRPr="002C5AC6" w:rsidRDefault="00CA0AE5" w:rsidP="00B25BD1">
            <w:r w:rsidRPr="002C5AC6">
              <w:t>Досие на гр. дело № 41027/2013г.: РКО №0059268/18.11.2014г.; Документ по чл. 9 ал.2 от ЗДДФЛ – 1.12.2014</w:t>
            </w:r>
            <w:r w:rsidR="00FF705A" w:rsidRPr="002C5AC6">
              <w:t xml:space="preserve"> </w:t>
            </w:r>
            <w:r w:rsidRPr="002C5AC6">
              <w:t>г.; Протокол от съдебно заседание – 30.09.2014</w:t>
            </w:r>
            <w:r w:rsidR="00FF705A" w:rsidRPr="002C5AC6">
              <w:t xml:space="preserve"> </w:t>
            </w:r>
            <w:r w:rsidRPr="002C5AC6">
              <w:t>г.;</w:t>
            </w:r>
            <w:r w:rsidR="00FF705A" w:rsidRPr="002C5AC6">
              <w:t xml:space="preserve"> </w:t>
            </w:r>
            <w:r w:rsidRPr="002C5AC6">
              <w:t>Автотехническа експертиза; Протокол от съдебно заседание – 18.11.2014г.; Банково извлечение от 3.12.2014</w:t>
            </w:r>
            <w:r w:rsidR="00FF705A" w:rsidRPr="002C5AC6">
              <w:t xml:space="preserve"> </w:t>
            </w:r>
            <w:r w:rsidRPr="002C5AC6">
              <w:t>г.;Ведомост за изплатените граждански договори и хонорари по банков път – 1.12.2014г; Нареждане за масово плащане; Изход за банков превод – 1.12.2014</w:t>
            </w:r>
            <w:r w:rsidR="00FF705A" w:rsidRPr="002C5AC6">
              <w:t xml:space="preserve"> </w:t>
            </w:r>
            <w:r w:rsidRPr="002C5AC6">
              <w:t>г.; МО № 15/4 от м.10.2014</w:t>
            </w:r>
            <w:r w:rsidR="00FF705A" w:rsidRPr="002C5AC6">
              <w:t xml:space="preserve"> </w:t>
            </w:r>
            <w:r w:rsidRPr="002C5AC6">
              <w:t>г.; Банково извлечение от 15.10.2014</w:t>
            </w:r>
            <w:r w:rsidR="00FF705A" w:rsidRPr="002C5AC6">
              <w:t xml:space="preserve"> </w:t>
            </w:r>
            <w:r w:rsidRPr="002C5AC6">
              <w:t>г.</w:t>
            </w:r>
          </w:p>
        </w:tc>
        <w:tc>
          <w:tcPr>
            <w:tcW w:w="1607" w:type="dxa"/>
            <w:vAlign w:val="center"/>
          </w:tcPr>
          <w:p w:rsidR="00CA0AE5" w:rsidRPr="002C5AC6" w:rsidRDefault="00CA0AE5" w:rsidP="00037DC5">
            <w:pPr>
              <w:jc w:val="center"/>
            </w:pPr>
            <w:r w:rsidRPr="002C5AC6">
              <w:t>35</w:t>
            </w:r>
          </w:p>
        </w:tc>
      </w:tr>
      <w:tr w:rsidR="00CA0AE5" w:rsidRPr="002C5AC6" w:rsidTr="00037DC5">
        <w:trPr>
          <w:jc w:val="center"/>
        </w:trPr>
        <w:tc>
          <w:tcPr>
            <w:tcW w:w="1414" w:type="dxa"/>
            <w:vAlign w:val="center"/>
          </w:tcPr>
          <w:p w:rsidR="00CA0AE5" w:rsidRPr="002C5AC6" w:rsidRDefault="0095225F" w:rsidP="00037DC5">
            <w:pPr>
              <w:jc w:val="center"/>
            </w:pPr>
            <w:r w:rsidRPr="002C5AC6">
              <w:t>52</w:t>
            </w:r>
            <w:r w:rsidR="00530E1A" w:rsidRPr="002C5AC6">
              <w:t>.</w:t>
            </w:r>
            <w:r w:rsidRPr="002C5AC6">
              <w:t>44.</w:t>
            </w:r>
          </w:p>
        </w:tc>
        <w:tc>
          <w:tcPr>
            <w:tcW w:w="6614" w:type="dxa"/>
            <w:vAlign w:val="center"/>
          </w:tcPr>
          <w:p w:rsidR="00CA0AE5" w:rsidRPr="002C5AC6" w:rsidRDefault="00CA0AE5" w:rsidP="00B25BD1">
            <w:r w:rsidRPr="002C5AC6">
              <w:t>Досие на гр. дело № 24233/2014</w:t>
            </w:r>
            <w:r w:rsidR="00FF705A" w:rsidRPr="002C5AC6">
              <w:t xml:space="preserve"> </w:t>
            </w:r>
            <w:r w:rsidRPr="002C5AC6">
              <w:t>г.- Нареждане за масово плащане; Ведомост за изплатените граждански договори и хонорари по банков път – 4.12.2014</w:t>
            </w:r>
            <w:r w:rsidR="00A05DC6" w:rsidRPr="002C5AC6">
              <w:t xml:space="preserve"> </w:t>
            </w:r>
            <w:r w:rsidRPr="002C5AC6">
              <w:t>г.; Документ по чл. 9 ал.2 от ЗДДФЛ – 4.12.2014</w:t>
            </w:r>
            <w:r w:rsidR="00A05DC6" w:rsidRPr="002C5AC6">
              <w:t xml:space="preserve"> </w:t>
            </w:r>
            <w:r w:rsidRPr="002C5AC6">
              <w:t>г.; РКО от 04.02.2014</w:t>
            </w:r>
            <w:r w:rsidR="00A05DC6" w:rsidRPr="002C5AC6">
              <w:t xml:space="preserve"> </w:t>
            </w:r>
            <w:r w:rsidRPr="002C5AC6">
              <w:t>г.; Банково извлечение от 9.12.2014</w:t>
            </w:r>
            <w:r w:rsidR="00A05DC6" w:rsidRPr="002C5AC6">
              <w:t xml:space="preserve"> </w:t>
            </w:r>
            <w:r w:rsidRPr="002C5AC6">
              <w:t>г.; Протокол от съдебно заседание – 16.10.2014</w:t>
            </w:r>
            <w:r w:rsidR="00A05DC6" w:rsidRPr="002C5AC6">
              <w:t xml:space="preserve"> </w:t>
            </w:r>
            <w:r w:rsidRPr="002C5AC6">
              <w:t>г.; Съдебно-счетоводна експертиза; Протокол от съдебно заседание – 4.12.2014</w:t>
            </w:r>
            <w:r w:rsidR="00A05DC6" w:rsidRPr="002C5AC6">
              <w:t xml:space="preserve"> </w:t>
            </w:r>
            <w:r w:rsidRPr="002C5AC6">
              <w:t>г.; МО № 15/6 от м.10.2014</w:t>
            </w:r>
            <w:r w:rsidR="00A05DC6" w:rsidRPr="002C5AC6">
              <w:t xml:space="preserve"> </w:t>
            </w:r>
            <w:r w:rsidRPr="002C5AC6">
              <w:t>г.;Банково извлечение от 28.10.2014</w:t>
            </w:r>
            <w:r w:rsidR="00A05DC6" w:rsidRPr="002C5AC6">
              <w:t xml:space="preserve"> </w:t>
            </w:r>
            <w:r w:rsidRPr="002C5AC6">
              <w:t>г.</w:t>
            </w:r>
          </w:p>
        </w:tc>
        <w:tc>
          <w:tcPr>
            <w:tcW w:w="1607" w:type="dxa"/>
            <w:vAlign w:val="center"/>
          </w:tcPr>
          <w:p w:rsidR="00CA0AE5" w:rsidRPr="002C5AC6" w:rsidRDefault="00CA0AE5" w:rsidP="00037DC5">
            <w:pPr>
              <w:jc w:val="center"/>
            </w:pPr>
            <w:r w:rsidRPr="002C5AC6">
              <w:t>30</w:t>
            </w:r>
          </w:p>
        </w:tc>
      </w:tr>
      <w:tr w:rsidR="00CA0AE5" w:rsidRPr="002C5AC6" w:rsidTr="00037DC5">
        <w:trPr>
          <w:jc w:val="center"/>
        </w:trPr>
        <w:tc>
          <w:tcPr>
            <w:tcW w:w="1414" w:type="dxa"/>
            <w:vAlign w:val="center"/>
          </w:tcPr>
          <w:p w:rsidR="00CA0AE5" w:rsidRPr="002C5AC6" w:rsidRDefault="00226433" w:rsidP="00037DC5">
            <w:pPr>
              <w:jc w:val="center"/>
            </w:pPr>
            <w:r w:rsidRPr="002C5AC6">
              <w:t>52.45</w:t>
            </w:r>
            <w:r w:rsidR="00530E1A" w:rsidRPr="002C5AC6">
              <w:t>.</w:t>
            </w:r>
          </w:p>
        </w:tc>
        <w:tc>
          <w:tcPr>
            <w:tcW w:w="6614" w:type="dxa"/>
            <w:vAlign w:val="center"/>
          </w:tcPr>
          <w:p w:rsidR="00CA0AE5" w:rsidRPr="002C5AC6" w:rsidRDefault="00CA0AE5" w:rsidP="00B25BD1">
            <w:r w:rsidRPr="002C5AC6">
              <w:t>Досие на гр. дело № 3032/2013г.: Платежно нареждане; Документ по чл. 9 ал.2 от ЗДДФЛ – 8.04.2014</w:t>
            </w:r>
            <w:r w:rsidR="00A05DC6" w:rsidRPr="002C5AC6">
              <w:t xml:space="preserve"> </w:t>
            </w:r>
            <w:r w:rsidRPr="002C5AC6">
              <w:t>г.; РКО №0042417/24.03.2014г.; Определение – 15.01.2014</w:t>
            </w:r>
            <w:r w:rsidR="00A05DC6" w:rsidRPr="002C5AC6">
              <w:t xml:space="preserve"> </w:t>
            </w:r>
            <w:r w:rsidRPr="002C5AC6">
              <w:t>г.; Съдебно-счетоводна експертиза; Протокол от съдебно заседание – 24.03.2014</w:t>
            </w:r>
            <w:r w:rsidR="00A05DC6" w:rsidRPr="002C5AC6">
              <w:t xml:space="preserve"> </w:t>
            </w:r>
            <w:r w:rsidRPr="002C5AC6">
              <w:t>г.; Банково извлечение от 11.04.2014г.; МО № 15/1 от м.02.2014</w:t>
            </w:r>
            <w:r w:rsidR="00A05DC6" w:rsidRPr="002C5AC6">
              <w:t xml:space="preserve"> </w:t>
            </w:r>
            <w:r w:rsidRPr="002C5AC6">
              <w:t>г.; Банково извлечение от 03.02.2014</w:t>
            </w:r>
            <w:r w:rsidR="00A05DC6" w:rsidRPr="002C5AC6">
              <w:t xml:space="preserve"> </w:t>
            </w:r>
            <w:r w:rsidRPr="002C5AC6">
              <w:t>г.</w:t>
            </w:r>
          </w:p>
        </w:tc>
        <w:tc>
          <w:tcPr>
            <w:tcW w:w="1607" w:type="dxa"/>
            <w:vAlign w:val="center"/>
          </w:tcPr>
          <w:p w:rsidR="00CA0AE5" w:rsidRPr="002C5AC6" w:rsidRDefault="00CA0AE5" w:rsidP="00037DC5">
            <w:pPr>
              <w:jc w:val="center"/>
            </w:pPr>
            <w:r w:rsidRPr="002C5AC6">
              <w:t>68</w:t>
            </w:r>
          </w:p>
        </w:tc>
      </w:tr>
      <w:tr w:rsidR="00CA0AE5" w:rsidRPr="002C5AC6" w:rsidTr="00037DC5">
        <w:trPr>
          <w:jc w:val="center"/>
        </w:trPr>
        <w:tc>
          <w:tcPr>
            <w:tcW w:w="1414" w:type="dxa"/>
            <w:vAlign w:val="center"/>
          </w:tcPr>
          <w:p w:rsidR="00CA0AE5" w:rsidRPr="002C5AC6" w:rsidRDefault="00226433" w:rsidP="00037DC5">
            <w:pPr>
              <w:jc w:val="center"/>
            </w:pPr>
            <w:r w:rsidRPr="002C5AC6">
              <w:t>52.46.</w:t>
            </w:r>
          </w:p>
        </w:tc>
        <w:tc>
          <w:tcPr>
            <w:tcW w:w="6614" w:type="dxa"/>
            <w:vAlign w:val="center"/>
          </w:tcPr>
          <w:p w:rsidR="00CA0AE5" w:rsidRPr="002C5AC6" w:rsidRDefault="00CA0AE5" w:rsidP="00B25BD1">
            <w:r w:rsidRPr="002C5AC6">
              <w:t>Досие на гр. дело № 11137/2013</w:t>
            </w:r>
            <w:r w:rsidR="00FD5F95" w:rsidRPr="002C5AC6">
              <w:t xml:space="preserve"> </w:t>
            </w:r>
            <w:r w:rsidRPr="002C5AC6">
              <w:t>г.- Нареждане за масово плащане; Ведомост за изплатените граждански договори и хонорари по банков път – 15.12.2014</w:t>
            </w:r>
            <w:r w:rsidR="00FD5F95" w:rsidRPr="002C5AC6">
              <w:t xml:space="preserve"> </w:t>
            </w:r>
            <w:r w:rsidRPr="002C5AC6">
              <w:t>г.; Документ по чл. 9 ал.2 от ЗДДФЛ – 15.12.2014</w:t>
            </w:r>
            <w:r w:rsidR="00FD5F95" w:rsidRPr="002C5AC6">
              <w:t xml:space="preserve"> </w:t>
            </w:r>
            <w:r w:rsidRPr="002C5AC6">
              <w:t>г.; РКО №0061945/12.12.2014</w:t>
            </w:r>
            <w:r w:rsidR="00FD5F95" w:rsidRPr="002C5AC6">
              <w:t xml:space="preserve"> </w:t>
            </w:r>
            <w:r w:rsidRPr="002C5AC6">
              <w:t>г.; Банково извлечение от 17.12.2014</w:t>
            </w:r>
            <w:r w:rsidR="00FD5F95" w:rsidRPr="002C5AC6">
              <w:t xml:space="preserve"> </w:t>
            </w:r>
            <w:r w:rsidRPr="002C5AC6">
              <w:t>г.;Определение – 13.05.2013</w:t>
            </w:r>
            <w:r w:rsidR="00FD5F95" w:rsidRPr="002C5AC6">
              <w:t xml:space="preserve"> </w:t>
            </w:r>
            <w:r w:rsidRPr="002C5AC6">
              <w:t>г.; Съдебно-финансова експертиза; Протокол от съдебно заседание – 12.12.2014</w:t>
            </w:r>
            <w:r w:rsidR="00FD5F95" w:rsidRPr="002C5AC6">
              <w:t xml:space="preserve"> </w:t>
            </w:r>
            <w:r w:rsidRPr="002C5AC6">
              <w:t>г.;МО № 15/4 от м.05.2013</w:t>
            </w:r>
            <w:r w:rsidR="00FD5F95" w:rsidRPr="002C5AC6">
              <w:t xml:space="preserve"> </w:t>
            </w:r>
            <w:r w:rsidRPr="002C5AC6">
              <w:t>г.; Банково извлечение от 20.05.2013</w:t>
            </w:r>
            <w:r w:rsidR="00FD5F95" w:rsidRPr="002C5AC6">
              <w:t xml:space="preserve"> </w:t>
            </w:r>
            <w:r w:rsidRPr="002C5AC6">
              <w:t>г.</w:t>
            </w:r>
          </w:p>
        </w:tc>
        <w:tc>
          <w:tcPr>
            <w:tcW w:w="1607" w:type="dxa"/>
            <w:vAlign w:val="center"/>
          </w:tcPr>
          <w:p w:rsidR="00CA0AE5" w:rsidRPr="002C5AC6" w:rsidRDefault="00CA0AE5" w:rsidP="00037DC5">
            <w:pPr>
              <w:jc w:val="center"/>
            </w:pPr>
            <w:r w:rsidRPr="002C5AC6">
              <w:t>42</w:t>
            </w:r>
          </w:p>
        </w:tc>
      </w:tr>
      <w:tr w:rsidR="00CA0AE5" w:rsidRPr="002C5AC6" w:rsidTr="00037DC5">
        <w:trPr>
          <w:jc w:val="center"/>
        </w:trPr>
        <w:tc>
          <w:tcPr>
            <w:tcW w:w="1414" w:type="dxa"/>
            <w:vAlign w:val="center"/>
          </w:tcPr>
          <w:p w:rsidR="00CA0AE5" w:rsidRPr="002C5AC6" w:rsidRDefault="001D7E05" w:rsidP="00037DC5">
            <w:pPr>
              <w:jc w:val="center"/>
            </w:pPr>
            <w:r w:rsidRPr="002C5AC6">
              <w:t>53.</w:t>
            </w:r>
          </w:p>
        </w:tc>
        <w:tc>
          <w:tcPr>
            <w:tcW w:w="6614" w:type="dxa"/>
          </w:tcPr>
          <w:p w:rsidR="00CA0AE5" w:rsidRPr="002C5AC6" w:rsidRDefault="00CA0AE5" w:rsidP="00B25BD1">
            <w:r w:rsidRPr="002C5AC6">
              <w:t>Договор за удостоверителни  услуги № 1367</w:t>
            </w:r>
          </w:p>
        </w:tc>
        <w:tc>
          <w:tcPr>
            <w:tcW w:w="1607" w:type="dxa"/>
            <w:vAlign w:val="center"/>
          </w:tcPr>
          <w:p w:rsidR="00CA0AE5" w:rsidRPr="002C5AC6" w:rsidRDefault="00CA0AE5" w:rsidP="00037DC5">
            <w:pPr>
              <w:jc w:val="center"/>
            </w:pPr>
            <w:r w:rsidRPr="002C5AC6">
              <w:t>5</w:t>
            </w:r>
          </w:p>
        </w:tc>
      </w:tr>
      <w:tr w:rsidR="00CA0AE5" w:rsidRPr="002C5AC6" w:rsidTr="00037DC5">
        <w:trPr>
          <w:jc w:val="center"/>
        </w:trPr>
        <w:tc>
          <w:tcPr>
            <w:tcW w:w="1414" w:type="dxa"/>
            <w:vAlign w:val="center"/>
          </w:tcPr>
          <w:p w:rsidR="00CA0AE5" w:rsidRPr="002C5AC6" w:rsidRDefault="001D7E05" w:rsidP="00037DC5">
            <w:pPr>
              <w:jc w:val="center"/>
            </w:pPr>
            <w:r w:rsidRPr="002C5AC6">
              <w:t>54</w:t>
            </w:r>
            <w:r w:rsidR="00530E1A" w:rsidRPr="002C5AC6">
              <w:t>.</w:t>
            </w:r>
          </w:p>
        </w:tc>
        <w:tc>
          <w:tcPr>
            <w:tcW w:w="6614" w:type="dxa"/>
          </w:tcPr>
          <w:p w:rsidR="00CA0AE5" w:rsidRPr="002C5AC6" w:rsidRDefault="00CA0AE5" w:rsidP="00B25BD1">
            <w:r w:rsidRPr="002C5AC6">
              <w:t>Обобщена информация по чл.44, ал.10 до АОП</w:t>
            </w:r>
          </w:p>
        </w:tc>
        <w:tc>
          <w:tcPr>
            <w:tcW w:w="1607" w:type="dxa"/>
            <w:vAlign w:val="center"/>
          </w:tcPr>
          <w:p w:rsidR="00CA0AE5" w:rsidRPr="002C5AC6" w:rsidRDefault="00CA0AE5" w:rsidP="00037DC5">
            <w:pPr>
              <w:jc w:val="center"/>
            </w:pPr>
            <w:r w:rsidRPr="002C5AC6">
              <w:t>3</w:t>
            </w:r>
          </w:p>
        </w:tc>
      </w:tr>
      <w:tr w:rsidR="00CA0AE5" w:rsidRPr="002C5AC6" w:rsidTr="00037DC5">
        <w:trPr>
          <w:jc w:val="center"/>
        </w:trPr>
        <w:tc>
          <w:tcPr>
            <w:tcW w:w="1414" w:type="dxa"/>
            <w:vAlign w:val="center"/>
          </w:tcPr>
          <w:p w:rsidR="00CA0AE5" w:rsidRPr="002C5AC6" w:rsidRDefault="001D7E05" w:rsidP="00037DC5">
            <w:pPr>
              <w:jc w:val="center"/>
            </w:pPr>
            <w:r w:rsidRPr="002C5AC6">
              <w:t>55</w:t>
            </w:r>
            <w:r w:rsidR="00530E1A" w:rsidRPr="002C5AC6">
              <w:t>.</w:t>
            </w:r>
          </w:p>
        </w:tc>
        <w:tc>
          <w:tcPr>
            <w:tcW w:w="6614" w:type="dxa"/>
          </w:tcPr>
          <w:p w:rsidR="00CA0AE5" w:rsidRPr="002C5AC6" w:rsidRDefault="00CA0AE5" w:rsidP="00B25BD1">
            <w:r w:rsidRPr="002C5AC6">
              <w:t xml:space="preserve">Писмо № 1371 от 30.07.2015 г. за обявление по чл.23 от </w:t>
            </w:r>
            <w:r w:rsidR="000449F4" w:rsidRPr="002C5AC6">
              <w:t>ЗОП (ОТМ.)</w:t>
            </w:r>
          </w:p>
        </w:tc>
        <w:tc>
          <w:tcPr>
            <w:tcW w:w="1607" w:type="dxa"/>
            <w:vAlign w:val="center"/>
          </w:tcPr>
          <w:p w:rsidR="00CA0AE5" w:rsidRPr="002C5AC6" w:rsidRDefault="00CA0AE5" w:rsidP="00037DC5">
            <w:pPr>
              <w:jc w:val="center"/>
            </w:pPr>
            <w:r w:rsidRPr="002C5AC6">
              <w:t>1</w:t>
            </w:r>
          </w:p>
        </w:tc>
      </w:tr>
      <w:tr w:rsidR="00CA0AE5" w:rsidRPr="002C5AC6" w:rsidTr="00037DC5">
        <w:trPr>
          <w:jc w:val="center"/>
        </w:trPr>
        <w:tc>
          <w:tcPr>
            <w:tcW w:w="1414" w:type="dxa"/>
            <w:vAlign w:val="center"/>
          </w:tcPr>
          <w:p w:rsidR="00CA0AE5" w:rsidRPr="002C5AC6" w:rsidRDefault="001D7E05" w:rsidP="00037DC5">
            <w:pPr>
              <w:jc w:val="center"/>
            </w:pPr>
            <w:r w:rsidRPr="002C5AC6">
              <w:lastRenderedPageBreak/>
              <w:t>56.</w:t>
            </w:r>
          </w:p>
        </w:tc>
        <w:tc>
          <w:tcPr>
            <w:tcW w:w="6614" w:type="dxa"/>
          </w:tcPr>
          <w:p w:rsidR="00CA0AE5" w:rsidRPr="002C5AC6" w:rsidRDefault="00CA0AE5" w:rsidP="00B25BD1">
            <w:r w:rsidRPr="002C5AC6">
              <w:t xml:space="preserve">Справки за проведени процедури по </w:t>
            </w:r>
            <w:r w:rsidR="000449F4" w:rsidRPr="002C5AC6">
              <w:t>ЗОП (ОТМ.)</w:t>
            </w:r>
            <w:r w:rsidRPr="002C5AC6">
              <w:t xml:space="preserve"> и възлагания на публични покани</w:t>
            </w:r>
            <w:r w:rsidR="000C44D4" w:rsidRPr="002C5AC6">
              <w:t xml:space="preserve"> и </w:t>
            </w:r>
            <w:r w:rsidR="00FD4D72" w:rsidRPr="002C5AC6">
              <w:t>сключени договори</w:t>
            </w:r>
            <w:r w:rsidR="00BD2C47" w:rsidRPr="002C5AC6">
              <w:t xml:space="preserve"> по чл.14, ал.5 от </w:t>
            </w:r>
            <w:r w:rsidR="000449F4" w:rsidRPr="002C5AC6">
              <w:t>ЗОП (ОТМ.)</w:t>
            </w:r>
          </w:p>
        </w:tc>
        <w:tc>
          <w:tcPr>
            <w:tcW w:w="1607" w:type="dxa"/>
            <w:vAlign w:val="center"/>
          </w:tcPr>
          <w:p w:rsidR="00CA0AE5" w:rsidRPr="002C5AC6" w:rsidRDefault="00BD2C47" w:rsidP="00037DC5">
            <w:pPr>
              <w:jc w:val="center"/>
            </w:pPr>
            <w:r w:rsidRPr="002C5AC6">
              <w:t>8</w:t>
            </w:r>
          </w:p>
        </w:tc>
      </w:tr>
      <w:tr w:rsidR="00CA0AE5" w:rsidRPr="002C5AC6" w:rsidTr="00037DC5">
        <w:trPr>
          <w:jc w:val="center"/>
        </w:trPr>
        <w:tc>
          <w:tcPr>
            <w:tcW w:w="1414" w:type="dxa"/>
            <w:vAlign w:val="center"/>
          </w:tcPr>
          <w:p w:rsidR="00CA0AE5" w:rsidRPr="002C5AC6" w:rsidRDefault="001D7E05" w:rsidP="00037DC5">
            <w:pPr>
              <w:jc w:val="center"/>
            </w:pPr>
            <w:r w:rsidRPr="002C5AC6">
              <w:t>57.</w:t>
            </w:r>
          </w:p>
        </w:tc>
        <w:tc>
          <w:tcPr>
            <w:tcW w:w="6614" w:type="dxa"/>
          </w:tcPr>
          <w:p w:rsidR="00CA0AE5" w:rsidRPr="002C5AC6" w:rsidRDefault="00FD4D72" w:rsidP="00B25BD1">
            <w:r w:rsidRPr="002C5AC6">
              <w:t xml:space="preserve"> </w:t>
            </w:r>
            <w:r w:rsidR="0083513D" w:rsidRPr="002C5AC6">
              <w:t xml:space="preserve">Копие на </w:t>
            </w:r>
            <w:r w:rsidRPr="002C5AC6">
              <w:t>Регистър на сключените договори</w:t>
            </w:r>
          </w:p>
        </w:tc>
        <w:tc>
          <w:tcPr>
            <w:tcW w:w="1607" w:type="dxa"/>
            <w:vAlign w:val="center"/>
          </w:tcPr>
          <w:p w:rsidR="00CA0AE5" w:rsidRPr="002C5AC6" w:rsidRDefault="00CA0AE5" w:rsidP="00037DC5">
            <w:pPr>
              <w:jc w:val="center"/>
            </w:pPr>
            <w:r w:rsidRPr="002C5AC6">
              <w:t>2</w:t>
            </w:r>
          </w:p>
        </w:tc>
      </w:tr>
      <w:tr w:rsidR="00CA0AE5" w:rsidRPr="002C5AC6" w:rsidTr="00037DC5">
        <w:trPr>
          <w:jc w:val="center"/>
        </w:trPr>
        <w:tc>
          <w:tcPr>
            <w:tcW w:w="1414" w:type="dxa"/>
            <w:vAlign w:val="center"/>
          </w:tcPr>
          <w:p w:rsidR="00CA0AE5" w:rsidRPr="002C5AC6" w:rsidRDefault="001D7E05" w:rsidP="00037DC5">
            <w:pPr>
              <w:jc w:val="center"/>
            </w:pPr>
            <w:r w:rsidRPr="002C5AC6">
              <w:t>58.</w:t>
            </w:r>
          </w:p>
        </w:tc>
        <w:tc>
          <w:tcPr>
            <w:tcW w:w="6614" w:type="dxa"/>
          </w:tcPr>
          <w:p w:rsidR="00CA0AE5" w:rsidRPr="002C5AC6" w:rsidRDefault="00CA0AE5" w:rsidP="00B25BD1">
            <w:r w:rsidRPr="002C5AC6">
              <w:t xml:space="preserve">Писмо №1486 от 29.07.2015 г. </w:t>
            </w:r>
            <w:r w:rsidR="00A9176F" w:rsidRPr="002C5AC6">
              <w:t>и Вътрешни правила за възлагане на обществени поръчки-отм.</w:t>
            </w:r>
          </w:p>
        </w:tc>
        <w:tc>
          <w:tcPr>
            <w:tcW w:w="1607" w:type="dxa"/>
            <w:vAlign w:val="center"/>
          </w:tcPr>
          <w:p w:rsidR="00CA0AE5" w:rsidRPr="002C5AC6" w:rsidRDefault="00A9176F" w:rsidP="00037DC5">
            <w:pPr>
              <w:jc w:val="center"/>
            </w:pPr>
            <w:r w:rsidRPr="002C5AC6">
              <w:t>20</w:t>
            </w:r>
          </w:p>
        </w:tc>
      </w:tr>
      <w:tr w:rsidR="00CA0AE5" w:rsidRPr="002C5AC6" w:rsidTr="00037DC5">
        <w:trPr>
          <w:jc w:val="center"/>
        </w:trPr>
        <w:tc>
          <w:tcPr>
            <w:tcW w:w="1414" w:type="dxa"/>
            <w:vAlign w:val="center"/>
          </w:tcPr>
          <w:p w:rsidR="00CA0AE5" w:rsidRPr="002C5AC6" w:rsidRDefault="001D7E05" w:rsidP="00037DC5">
            <w:pPr>
              <w:jc w:val="center"/>
            </w:pPr>
            <w:r w:rsidRPr="002C5AC6">
              <w:t>59.</w:t>
            </w:r>
          </w:p>
        </w:tc>
        <w:tc>
          <w:tcPr>
            <w:tcW w:w="6614" w:type="dxa"/>
          </w:tcPr>
          <w:p w:rsidR="00CA0AE5" w:rsidRPr="002C5AC6" w:rsidRDefault="00FD4D72" w:rsidP="00B25BD1">
            <w:r w:rsidRPr="002C5AC6">
              <w:t>Вътрешни правила за възлагане на обществени поръчки и управление профила на купувача</w:t>
            </w:r>
          </w:p>
        </w:tc>
        <w:tc>
          <w:tcPr>
            <w:tcW w:w="1607" w:type="dxa"/>
            <w:vAlign w:val="center"/>
          </w:tcPr>
          <w:p w:rsidR="00CA0AE5" w:rsidRPr="002C5AC6" w:rsidRDefault="00A9176F" w:rsidP="00037DC5">
            <w:pPr>
              <w:jc w:val="center"/>
            </w:pPr>
            <w:r w:rsidRPr="002C5AC6">
              <w:t>2</w:t>
            </w:r>
            <w:r w:rsidR="00BD2C47" w:rsidRPr="002C5AC6">
              <w:t>3</w:t>
            </w:r>
          </w:p>
        </w:tc>
      </w:tr>
      <w:tr w:rsidR="00CA0AE5" w:rsidRPr="002C5AC6" w:rsidTr="00037DC5">
        <w:trPr>
          <w:jc w:val="center"/>
        </w:trPr>
        <w:tc>
          <w:tcPr>
            <w:tcW w:w="1414" w:type="dxa"/>
            <w:vAlign w:val="center"/>
          </w:tcPr>
          <w:p w:rsidR="00CA0AE5" w:rsidRPr="002C5AC6" w:rsidRDefault="001D7E05" w:rsidP="00037DC5">
            <w:pPr>
              <w:jc w:val="center"/>
            </w:pPr>
            <w:r w:rsidRPr="002C5AC6">
              <w:t>60</w:t>
            </w:r>
            <w:r w:rsidR="00530E1A" w:rsidRPr="002C5AC6">
              <w:t>.</w:t>
            </w:r>
          </w:p>
        </w:tc>
        <w:tc>
          <w:tcPr>
            <w:tcW w:w="6614" w:type="dxa"/>
          </w:tcPr>
          <w:p w:rsidR="00CA0AE5" w:rsidRPr="002C5AC6" w:rsidRDefault="00FD4D72" w:rsidP="00B25BD1">
            <w:r w:rsidRPr="002C5AC6">
              <w:t xml:space="preserve"> План-график  за възлагане на ОП за 2014 г</w:t>
            </w:r>
            <w:r w:rsidR="00906CD6" w:rsidRPr="002C5AC6">
              <w:t>.</w:t>
            </w:r>
          </w:p>
        </w:tc>
        <w:tc>
          <w:tcPr>
            <w:tcW w:w="1607" w:type="dxa"/>
            <w:vAlign w:val="center"/>
          </w:tcPr>
          <w:p w:rsidR="00CA0AE5" w:rsidRPr="002C5AC6" w:rsidRDefault="00CA0AE5" w:rsidP="00037DC5">
            <w:pPr>
              <w:jc w:val="center"/>
            </w:pPr>
            <w:r w:rsidRPr="002C5AC6">
              <w:t>2</w:t>
            </w:r>
          </w:p>
        </w:tc>
      </w:tr>
      <w:tr w:rsidR="00FD4D72" w:rsidRPr="002C5AC6" w:rsidTr="00037DC5">
        <w:trPr>
          <w:jc w:val="center"/>
        </w:trPr>
        <w:tc>
          <w:tcPr>
            <w:tcW w:w="1414" w:type="dxa"/>
            <w:vAlign w:val="center"/>
          </w:tcPr>
          <w:p w:rsidR="00FD4D72" w:rsidRPr="002C5AC6" w:rsidRDefault="00FD4D72" w:rsidP="00037DC5">
            <w:pPr>
              <w:jc w:val="center"/>
            </w:pPr>
            <w:r w:rsidRPr="002C5AC6">
              <w:t>61.</w:t>
            </w:r>
          </w:p>
        </w:tc>
        <w:tc>
          <w:tcPr>
            <w:tcW w:w="6614" w:type="dxa"/>
          </w:tcPr>
          <w:p w:rsidR="00FD4D72" w:rsidRPr="002C5AC6" w:rsidRDefault="00FD4D72" w:rsidP="00B25BD1">
            <w:r w:rsidRPr="002C5AC6">
              <w:t>Становище на АОП</w:t>
            </w:r>
          </w:p>
        </w:tc>
        <w:tc>
          <w:tcPr>
            <w:tcW w:w="1607" w:type="dxa"/>
            <w:vAlign w:val="center"/>
          </w:tcPr>
          <w:p w:rsidR="00FD4D72" w:rsidRPr="002C5AC6" w:rsidRDefault="00F65509" w:rsidP="00037DC5">
            <w:pPr>
              <w:jc w:val="center"/>
            </w:pPr>
            <w:r w:rsidRPr="002C5AC6">
              <w:t>3</w:t>
            </w:r>
          </w:p>
        </w:tc>
      </w:tr>
      <w:tr w:rsidR="007D4F8A" w:rsidRPr="007D4F8A" w:rsidTr="00037DC5">
        <w:trPr>
          <w:jc w:val="center"/>
        </w:trPr>
        <w:tc>
          <w:tcPr>
            <w:tcW w:w="1414" w:type="dxa"/>
            <w:vAlign w:val="center"/>
          </w:tcPr>
          <w:p w:rsidR="00CA0AE5" w:rsidRPr="007D4F8A" w:rsidRDefault="000B57D2" w:rsidP="00037DC5">
            <w:pPr>
              <w:jc w:val="center"/>
            </w:pPr>
            <w:r w:rsidRPr="007D4F8A">
              <w:t>62</w:t>
            </w:r>
            <w:r w:rsidR="001D7E05" w:rsidRPr="007D4F8A">
              <w:t>.</w:t>
            </w:r>
          </w:p>
        </w:tc>
        <w:tc>
          <w:tcPr>
            <w:tcW w:w="6614" w:type="dxa"/>
          </w:tcPr>
          <w:p w:rsidR="00CA0AE5" w:rsidRPr="007D4F8A" w:rsidRDefault="00CA0AE5" w:rsidP="00B25BD1">
            <w:r w:rsidRPr="007D4F8A">
              <w:t>Електронен носител с информация за ОП Доставка на канцеларски материали и консумативи за компютри, принтери и копирни машини по опис по 8 обособени позиции</w:t>
            </w:r>
          </w:p>
        </w:tc>
        <w:tc>
          <w:tcPr>
            <w:tcW w:w="1607" w:type="dxa"/>
            <w:vAlign w:val="center"/>
          </w:tcPr>
          <w:p w:rsidR="00CA0AE5" w:rsidRPr="007D4F8A" w:rsidRDefault="007D4F8A" w:rsidP="007D4F8A">
            <w:pPr>
              <w:jc w:val="center"/>
            </w:pPr>
            <w:r w:rsidRPr="007D4F8A">
              <w:rPr>
                <w:lang w:val="en-US"/>
              </w:rPr>
              <w:t>CD</w:t>
            </w:r>
          </w:p>
        </w:tc>
      </w:tr>
      <w:tr w:rsidR="00CA0AE5" w:rsidRPr="002C5AC6" w:rsidTr="00037DC5">
        <w:trPr>
          <w:jc w:val="center"/>
        </w:trPr>
        <w:tc>
          <w:tcPr>
            <w:tcW w:w="1414" w:type="dxa"/>
            <w:vAlign w:val="center"/>
          </w:tcPr>
          <w:p w:rsidR="00CA0AE5" w:rsidRPr="002C5AC6" w:rsidRDefault="000B57D2" w:rsidP="00037DC5">
            <w:pPr>
              <w:jc w:val="center"/>
            </w:pPr>
            <w:r w:rsidRPr="002C5AC6">
              <w:t>63</w:t>
            </w:r>
            <w:r w:rsidR="001D7E05" w:rsidRPr="002C5AC6">
              <w:t>.</w:t>
            </w:r>
          </w:p>
        </w:tc>
        <w:tc>
          <w:tcPr>
            <w:tcW w:w="6614" w:type="dxa"/>
          </w:tcPr>
          <w:p w:rsidR="00CA0AE5" w:rsidRPr="002C5AC6" w:rsidRDefault="00CA0AE5" w:rsidP="00F4259C">
            <w:r w:rsidRPr="002C5AC6">
              <w:t xml:space="preserve">Заповед №АС-115 от 21.07.2014 г. за комисия, Протоколи от заседания на </w:t>
            </w:r>
            <w:r w:rsidR="00F4259C" w:rsidRPr="002C5AC6">
              <w:t>Комисия</w:t>
            </w:r>
            <w:r w:rsidR="00F4259C">
              <w:t>та</w:t>
            </w:r>
            <w:r w:rsidR="00F4259C" w:rsidRPr="002C5AC6">
              <w:t xml:space="preserve"> за разглеждане, оценяване и класиране на офертите</w:t>
            </w:r>
            <w:r w:rsidR="00F4259C">
              <w:t>,</w:t>
            </w:r>
            <w:r w:rsidRPr="002C5AC6">
              <w:t xml:space="preserve"> Решение №</w:t>
            </w:r>
            <w:r w:rsidR="00EC2C22" w:rsidRPr="002C5AC6">
              <w:t xml:space="preserve"> </w:t>
            </w:r>
            <w:r w:rsidRPr="002C5AC6">
              <w:t xml:space="preserve">15 от 24.07.2014 г. за класиране  по ОП Озвучителна и информационна система за съдебните зали </w:t>
            </w:r>
          </w:p>
        </w:tc>
        <w:tc>
          <w:tcPr>
            <w:tcW w:w="1607" w:type="dxa"/>
            <w:vAlign w:val="center"/>
          </w:tcPr>
          <w:p w:rsidR="00CA0AE5" w:rsidRPr="002C5AC6" w:rsidRDefault="00CA0AE5" w:rsidP="00037DC5">
            <w:pPr>
              <w:jc w:val="center"/>
            </w:pPr>
            <w:r w:rsidRPr="002C5AC6">
              <w:t>11</w:t>
            </w:r>
          </w:p>
        </w:tc>
      </w:tr>
      <w:tr w:rsidR="00CA0AE5" w:rsidRPr="002C5AC6" w:rsidTr="00037DC5">
        <w:trPr>
          <w:jc w:val="center"/>
        </w:trPr>
        <w:tc>
          <w:tcPr>
            <w:tcW w:w="1414" w:type="dxa"/>
            <w:vAlign w:val="center"/>
          </w:tcPr>
          <w:p w:rsidR="00CA0AE5" w:rsidRPr="002C5AC6" w:rsidRDefault="00EE32DA" w:rsidP="00037DC5">
            <w:pPr>
              <w:jc w:val="center"/>
            </w:pPr>
            <w:r w:rsidRPr="002C5AC6">
              <w:t>64</w:t>
            </w:r>
            <w:r w:rsidR="00530E1A" w:rsidRPr="002C5AC6">
              <w:t>.</w:t>
            </w:r>
          </w:p>
        </w:tc>
        <w:tc>
          <w:tcPr>
            <w:tcW w:w="6614" w:type="dxa"/>
          </w:tcPr>
          <w:p w:rsidR="00CA0AE5" w:rsidRPr="002C5AC6" w:rsidRDefault="00CA0AE5" w:rsidP="00F4259C">
            <w:r w:rsidRPr="002C5AC6">
              <w:t xml:space="preserve">Заповед № АС-121 от 08.08.2014 г. за комисия, Протоколи от заседания на </w:t>
            </w:r>
            <w:r w:rsidR="00F4259C" w:rsidRPr="002C5AC6">
              <w:t>Комисия за разглеждане, оценяване и класиране на офертите</w:t>
            </w:r>
            <w:r w:rsidRPr="002C5AC6">
              <w:t>, Решение №16 от 21.08.2014 г. за класиране по ОП Доставка на многофункционални устройства за копиране, сканиране и принтиране и предоставяне на услуги по управление на печата</w:t>
            </w:r>
            <w:r w:rsidR="004F4B29" w:rsidRPr="002C5AC6">
              <w:t>, заключение на вещо лице</w:t>
            </w:r>
          </w:p>
        </w:tc>
        <w:tc>
          <w:tcPr>
            <w:tcW w:w="1607" w:type="dxa"/>
            <w:vAlign w:val="center"/>
          </w:tcPr>
          <w:p w:rsidR="00CA0AE5" w:rsidRPr="002C5AC6" w:rsidRDefault="004F4B29" w:rsidP="00037DC5">
            <w:pPr>
              <w:jc w:val="center"/>
            </w:pPr>
            <w:r w:rsidRPr="002C5AC6">
              <w:t>17</w:t>
            </w:r>
          </w:p>
        </w:tc>
      </w:tr>
      <w:tr w:rsidR="00EE32DA" w:rsidRPr="002C5AC6" w:rsidTr="00037DC5">
        <w:trPr>
          <w:jc w:val="center"/>
        </w:trPr>
        <w:tc>
          <w:tcPr>
            <w:tcW w:w="1414" w:type="dxa"/>
            <w:vAlign w:val="center"/>
          </w:tcPr>
          <w:p w:rsidR="00EE32DA" w:rsidRPr="002C5AC6" w:rsidRDefault="00EE32DA" w:rsidP="00037DC5">
            <w:pPr>
              <w:jc w:val="center"/>
            </w:pPr>
            <w:r w:rsidRPr="002C5AC6">
              <w:t>65.</w:t>
            </w:r>
          </w:p>
        </w:tc>
        <w:tc>
          <w:tcPr>
            <w:tcW w:w="6614" w:type="dxa"/>
          </w:tcPr>
          <w:p w:rsidR="00EE32DA" w:rsidRPr="002C5AC6" w:rsidRDefault="00906CD6" w:rsidP="009A790B">
            <w:r w:rsidRPr="002C5AC6">
              <w:t>Документи за внесен</w:t>
            </w:r>
            <w:r w:rsidR="009A790B" w:rsidRPr="002C5AC6">
              <w:t>а</w:t>
            </w:r>
            <w:r w:rsidR="00EE32DA" w:rsidRPr="002C5AC6">
              <w:t xml:space="preserve"> гаранция </w:t>
            </w:r>
            <w:r w:rsidR="009A790B" w:rsidRPr="002C5AC6">
              <w:t xml:space="preserve"> от Дилекс ООД </w:t>
            </w:r>
            <w:r w:rsidR="00EE32DA" w:rsidRPr="002C5AC6">
              <w:t>и освобождаването й</w:t>
            </w:r>
            <w:r w:rsidRPr="002C5AC6">
              <w:t xml:space="preserve"> </w:t>
            </w:r>
            <w:r w:rsidR="00F65509" w:rsidRPr="002C5AC6">
              <w:t>, решение №</w:t>
            </w:r>
            <w:r w:rsidR="009A790B" w:rsidRPr="002C5AC6">
              <w:t xml:space="preserve"> </w:t>
            </w:r>
            <w:r w:rsidR="00F65509" w:rsidRPr="002C5AC6">
              <w:t>16 от 21.08.2014 г.</w:t>
            </w:r>
            <w:r w:rsidR="002F07B1" w:rsidRPr="002C5AC6">
              <w:t xml:space="preserve">  и договор</w:t>
            </w:r>
          </w:p>
        </w:tc>
        <w:tc>
          <w:tcPr>
            <w:tcW w:w="1607" w:type="dxa"/>
            <w:vAlign w:val="center"/>
          </w:tcPr>
          <w:p w:rsidR="00EE32DA" w:rsidRPr="002C5AC6" w:rsidRDefault="002F07B1" w:rsidP="00037DC5">
            <w:pPr>
              <w:jc w:val="center"/>
            </w:pPr>
            <w:r w:rsidRPr="002C5AC6">
              <w:t>6</w:t>
            </w:r>
          </w:p>
        </w:tc>
      </w:tr>
      <w:tr w:rsidR="00EE32DA" w:rsidRPr="002C5AC6" w:rsidTr="00037DC5">
        <w:trPr>
          <w:jc w:val="center"/>
        </w:trPr>
        <w:tc>
          <w:tcPr>
            <w:tcW w:w="1414" w:type="dxa"/>
            <w:vAlign w:val="center"/>
          </w:tcPr>
          <w:p w:rsidR="00EE32DA" w:rsidRPr="002C5AC6" w:rsidRDefault="00B82700" w:rsidP="00037DC5">
            <w:pPr>
              <w:jc w:val="center"/>
            </w:pPr>
            <w:r w:rsidRPr="002C5AC6">
              <w:t>66</w:t>
            </w:r>
            <w:r w:rsidR="00EE32DA" w:rsidRPr="002C5AC6">
              <w:t>.</w:t>
            </w:r>
          </w:p>
        </w:tc>
        <w:tc>
          <w:tcPr>
            <w:tcW w:w="6614" w:type="dxa"/>
          </w:tcPr>
          <w:p w:rsidR="00EE32DA" w:rsidRPr="002C5AC6" w:rsidRDefault="00EE32DA" w:rsidP="007B6C41">
            <w:r w:rsidRPr="002C5AC6">
              <w:t xml:space="preserve">Заповед № АС-130 от 21.08.2014 г. за комисия, Протоколи от заседания на </w:t>
            </w:r>
            <w:r w:rsidR="00F4259C" w:rsidRPr="002C5AC6">
              <w:t>Комисия за разглеждане, оценяване и класиране на офертите</w:t>
            </w:r>
            <w:r w:rsidRPr="002C5AC6">
              <w:t xml:space="preserve">, Решение №№ 17,18,19 от 26.09.2014 г. за класиране по ОП, Пл. документи за освободени гаранции за участие, копие от публикувана информация в </w:t>
            </w:r>
            <w:r w:rsidR="007B6C41">
              <w:t>профила на купувача</w:t>
            </w:r>
            <w:r w:rsidRPr="002C5AC6">
              <w:t xml:space="preserve"> на СРС по ОП Доставка на комп</w:t>
            </w:r>
            <w:r w:rsidR="001B21FF">
              <w:t>ютърно</w:t>
            </w:r>
            <w:r w:rsidRPr="002C5AC6">
              <w:t>,</w:t>
            </w:r>
            <w:r w:rsidR="001B21FF">
              <w:t xml:space="preserve"> </w:t>
            </w:r>
            <w:r w:rsidRPr="002C5AC6">
              <w:t>комуникационно оборудване и софтуерни лицензии по обособени позиции</w:t>
            </w:r>
          </w:p>
        </w:tc>
        <w:tc>
          <w:tcPr>
            <w:tcW w:w="1607" w:type="dxa"/>
            <w:vAlign w:val="center"/>
          </w:tcPr>
          <w:p w:rsidR="00EE32DA" w:rsidRPr="002C5AC6" w:rsidRDefault="002F07B1" w:rsidP="00037DC5">
            <w:pPr>
              <w:jc w:val="center"/>
            </w:pPr>
            <w:r w:rsidRPr="002C5AC6">
              <w:t>33</w:t>
            </w:r>
          </w:p>
        </w:tc>
      </w:tr>
      <w:tr w:rsidR="00881752" w:rsidRPr="002C5AC6" w:rsidTr="00037DC5">
        <w:trPr>
          <w:jc w:val="center"/>
        </w:trPr>
        <w:tc>
          <w:tcPr>
            <w:tcW w:w="1414" w:type="dxa"/>
            <w:vAlign w:val="center"/>
          </w:tcPr>
          <w:p w:rsidR="00881752" w:rsidRPr="002C5AC6" w:rsidRDefault="00881752" w:rsidP="00037DC5">
            <w:pPr>
              <w:jc w:val="center"/>
            </w:pPr>
            <w:r w:rsidRPr="002C5AC6">
              <w:t>67.</w:t>
            </w:r>
          </w:p>
        </w:tc>
        <w:tc>
          <w:tcPr>
            <w:tcW w:w="6614" w:type="dxa"/>
          </w:tcPr>
          <w:p w:rsidR="00881752" w:rsidRPr="002C5AC6" w:rsidRDefault="00881752" w:rsidP="00B25BD1">
            <w:r w:rsidRPr="002C5AC6">
              <w:t>Документи за внесени гаранции и връщането им на участниците</w:t>
            </w:r>
            <w:r w:rsidR="00056F4B" w:rsidRPr="002C5AC6">
              <w:t>, Решения за</w:t>
            </w:r>
            <w:r w:rsidR="002F07B1" w:rsidRPr="002C5AC6">
              <w:t xml:space="preserve"> класиране №№ 17.18.19 от 26.09.2014 г. Копи</w:t>
            </w:r>
            <w:r w:rsidR="001B21FF">
              <w:t>я</w:t>
            </w:r>
            <w:r w:rsidR="002F07B1" w:rsidRPr="002C5AC6">
              <w:t xml:space="preserve"> на договори от</w:t>
            </w:r>
            <w:r w:rsidR="0075469E" w:rsidRPr="002C5AC6">
              <w:t>05.08.2014 г., писма</w:t>
            </w:r>
          </w:p>
        </w:tc>
        <w:tc>
          <w:tcPr>
            <w:tcW w:w="1607" w:type="dxa"/>
            <w:vAlign w:val="center"/>
          </w:tcPr>
          <w:p w:rsidR="00881752" w:rsidRPr="002C5AC6" w:rsidRDefault="0075469E" w:rsidP="00037DC5">
            <w:pPr>
              <w:jc w:val="center"/>
            </w:pPr>
            <w:r w:rsidRPr="002C5AC6">
              <w:t>39</w:t>
            </w:r>
          </w:p>
        </w:tc>
      </w:tr>
      <w:tr w:rsidR="00CA0AE5" w:rsidRPr="002C5AC6" w:rsidTr="00037DC5">
        <w:trPr>
          <w:jc w:val="center"/>
        </w:trPr>
        <w:tc>
          <w:tcPr>
            <w:tcW w:w="1414" w:type="dxa"/>
            <w:vAlign w:val="center"/>
          </w:tcPr>
          <w:p w:rsidR="00CA0AE5" w:rsidRPr="002C5AC6" w:rsidRDefault="00EE32DA" w:rsidP="00037DC5">
            <w:pPr>
              <w:jc w:val="center"/>
            </w:pPr>
            <w:r w:rsidRPr="002C5AC6">
              <w:t>6</w:t>
            </w:r>
            <w:r w:rsidR="00881752" w:rsidRPr="002C5AC6">
              <w:t>8</w:t>
            </w:r>
            <w:r w:rsidR="009C4C97" w:rsidRPr="002C5AC6">
              <w:t>.</w:t>
            </w:r>
          </w:p>
        </w:tc>
        <w:tc>
          <w:tcPr>
            <w:tcW w:w="6614" w:type="dxa"/>
          </w:tcPr>
          <w:p w:rsidR="00CA0AE5" w:rsidRPr="002C5AC6" w:rsidRDefault="000F30F3" w:rsidP="00F4259C">
            <w:r w:rsidRPr="002C5AC6">
              <w:t>З</w:t>
            </w:r>
            <w:r w:rsidR="00B82700" w:rsidRPr="002C5AC6">
              <w:t xml:space="preserve">аповед за комисия за ПП- Официални преводи на съдебни книжа, Протокол от </w:t>
            </w:r>
            <w:r w:rsidR="00F4259C" w:rsidRPr="002C5AC6">
              <w:t>Комисия за разглеждане, оценяване и класиране на офертите</w:t>
            </w:r>
            <w:r w:rsidR="00B82700" w:rsidRPr="002C5AC6">
              <w:t>, факс от АОП</w:t>
            </w:r>
          </w:p>
        </w:tc>
        <w:tc>
          <w:tcPr>
            <w:tcW w:w="1607" w:type="dxa"/>
            <w:vAlign w:val="center"/>
          </w:tcPr>
          <w:p w:rsidR="00CA0AE5" w:rsidRPr="002C5AC6" w:rsidRDefault="0075469E" w:rsidP="00037DC5">
            <w:pPr>
              <w:jc w:val="center"/>
            </w:pPr>
            <w:r w:rsidRPr="002C5AC6">
              <w:t>4</w:t>
            </w:r>
          </w:p>
        </w:tc>
      </w:tr>
      <w:tr w:rsidR="00CA0AE5" w:rsidRPr="002C5AC6" w:rsidTr="00037DC5">
        <w:trPr>
          <w:jc w:val="center"/>
        </w:trPr>
        <w:tc>
          <w:tcPr>
            <w:tcW w:w="1414" w:type="dxa"/>
            <w:vAlign w:val="center"/>
          </w:tcPr>
          <w:p w:rsidR="00CA0AE5" w:rsidRPr="002C5AC6" w:rsidRDefault="00881752" w:rsidP="00037DC5">
            <w:pPr>
              <w:jc w:val="center"/>
            </w:pPr>
            <w:r w:rsidRPr="002C5AC6">
              <w:t>69</w:t>
            </w:r>
            <w:r w:rsidR="009C4C97" w:rsidRPr="002C5AC6">
              <w:t>.</w:t>
            </w:r>
          </w:p>
        </w:tc>
        <w:tc>
          <w:tcPr>
            <w:tcW w:w="6614" w:type="dxa"/>
          </w:tcPr>
          <w:p w:rsidR="00CA0AE5" w:rsidRPr="002C5AC6" w:rsidRDefault="00B82700" w:rsidP="00B25BD1">
            <w:r w:rsidRPr="002C5AC6">
              <w:t>Заповед за комисия за ПП СМР в сградата на СРС, разпечатка от мейл до средства за масово осведомяване, писмо от АОП</w:t>
            </w:r>
          </w:p>
        </w:tc>
        <w:tc>
          <w:tcPr>
            <w:tcW w:w="1607" w:type="dxa"/>
            <w:vAlign w:val="center"/>
          </w:tcPr>
          <w:p w:rsidR="00CA0AE5" w:rsidRPr="002C5AC6" w:rsidRDefault="0075469E" w:rsidP="00037DC5">
            <w:pPr>
              <w:jc w:val="center"/>
            </w:pPr>
            <w:r w:rsidRPr="002C5AC6">
              <w:t>7</w:t>
            </w:r>
          </w:p>
        </w:tc>
      </w:tr>
      <w:tr w:rsidR="00CA0AE5" w:rsidRPr="002C5AC6" w:rsidTr="00037DC5">
        <w:trPr>
          <w:jc w:val="center"/>
        </w:trPr>
        <w:tc>
          <w:tcPr>
            <w:tcW w:w="1414" w:type="dxa"/>
            <w:vAlign w:val="center"/>
          </w:tcPr>
          <w:p w:rsidR="00CA0AE5" w:rsidRPr="002C5AC6" w:rsidRDefault="00881752" w:rsidP="00037DC5">
            <w:pPr>
              <w:jc w:val="center"/>
            </w:pPr>
            <w:r w:rsidRPr="002C5AC6">
              <w:t>70</w:t>
            </w:r>
            <w:r w:rsidR="00530E1A" w:rsidRPr="002C5AC6">
              <w:t>.</w:t>
            </w:r>
          </w:p>
        </w:tc>
        <w:tc>
          <w:tcPr>
            <w:tcW w:w="6614" w:type="dxa"/>
          </w:tcPr>
          <w:p w:rsidR="00CA0AE5" w:rsidRPr="002C5AC6" w:rsidRDefault="00B82700" w:rsidP="00B25BD1">
            <w:pPr>
              <w:rPr>
                <w:color w:val="FF0000"/>
              </w:rPr>
            </w:pPr>
            <w:r w:rsidRPr="002C5AC6">
              <w:t>Заповед за комисия за ПП</w:t>
            </w:r>
            <w:r w:rsidR="00003A86" w:rsidRPr="002C5AC6">
              <w:t xml:space="preserve"> </w:t>
            </w:r>
            <w:r w:rsidRPr="002C5AC6">
              <w:t>- доставка и монтаж на комуникационно оборудване- заповед за комисия, писмо за изпращане протокол, разяснения</w:t>
            </w:r>
          </w:p>
        </w:tc>
        <w:tc>
          <w:tcPr>
            <w:tcW w:w="1607" w:type="dxa"/>
            <w:vAlign w:val="center"/>
          </w:tcPr>
          <w:p w:rsidR="00CA0AE5" w:rsidRPr="002C5AC6" w:rsidRDefault="006321DE" w:rsidP="00037DC5">
            <w:pPr>
              <w:jc w:val="center"/>
            </w:pPr>
            <w:r w:rsidRPr="002C5AC6">
              <w:t>10</w:t>
            </w:r>
          </w:p>
        </w:tc>
      </w:tr>
      <w:tr w:rsidR="00CA0AE5" w:rsidRPr="002C5AC6" w:rsidTr="00037DC5">
        <w:trPr>
          <w:jc w:val="center"/>
        </w:trPr>
        <w:tc>
          <w:tcPr>
            <w:tcW w:w="1414" w:type="dxa"/>
            <w:vAlign w:val="center"/>
          </w:tcPr>
          <w:p w:rsidR="00881752" w:rsidRPr="002C5AC6" w:rsidRDefault="00881752" w:rsidP="00037DC5">
            <w:pPr>
              <w:jc w:val="center"/>
            </w:pPr>
            <w:r w:rsidRPr="002C5AC6">
              <w:t>7</w:t>
            </w:r>
            <w:r w:rsidR="00374934" w:rsidRPr="002C5AC6">
              <w:t>1</w:t>
            </w:r>
            <w:r w:rsidRPr="002C5AC6">
              <w:t>.</w:t>
            </w:r>
          </w:p>
        </w:tc>
        <w:tc>
          <w:tcPr>
            <w:tcW w:w="6614" w:type="dxa"/>
          </w:tcPr>
          <w:p w:rsidR="00CA0AE5" w:rsidRPr="002C5AC6" w:rsidRDefault="00CA0AE5" w:rsidP="00B25BD1">
            <w:r w:rsidRPr="002C5AC6">
              <w:t>Договор о</w:t>
            </w:r>
            <w:r w:rsidR="00EE5B33" w:rsidRPr="002C5AC6">
              <w:t>т 13.10.2014 г с фирма Диджитек</w:t>
            </w:r>
            <w:r w:rsidRPr="002C5AC6">
              <w:t xml:space="preserve"> ООД, докладна записка от 12.12.2014 г., приемо-предавателен протокол от 10.03.2015 г, приемо-предавателен протокол от 12.03.2015 г.</w:t>
            </w:r>
            <w:r w:rsidR="001B21FF">
              <w:t xml:space="preserve"> </w:t>
            </w:r>
            <w:r w:rsidRPr="002C5AC6">
              <w:lastRenderedPageBreak/>
              <w:t>Банкова гаранция от 16.12.2014 г.,</w:t>
            </w:r>
            <w:r w:rsidR="001B21FF">
              <w:t xml:space="preserve"> </w:t>
            </w:r>
            <w:r w:rsidRPr="002C5AC6">
              <w:t>платежно нареждане с фактура от 13.12.2014 г.,</w:t>
            </w:r>
            <w:r w:rsidR="000F30F3" w:rsidRPr="002C5AC6">
              <w:t xml:space="preserve"> </w:t>
            </w:r>
            <w:r w:rsidRPr="002C5AC6">
              <w:t>докладна от 08.12.2014 г.</w:t>
            </w:r>
            <w:r w:rsidR="001B21FF">
              <w:t xml:space="preserve"> </w:t>
            </w:r>
            <w:r w:rsidRPr="002C5AC6">
              <w:t>пл.нареждане от 10.12.2014г и от 17.12.2014 г. с фактури към тях, освободена гар</w:t>
            </w:r>
            <w:r w:rsidR="00B13A53" w:rsidRPr="002C5AC6">
              <w:t>анция за изпълнение на Диджитек</w:t>
            </w:r>
            <w:r w:rsidRPr="002C5AC6">
              <w:t xml:space="preserve"> ООД</w:t>
            </w:r>
          </w:p>
        </w:tc>
        <w:tc>
          <w:tcPr>
            <w:tcW w:w="1607" w:type="dxa"/>
            <w:vAlign w:val="center"/>
          </w:tcPr>
          <w:p w:rsidR="00CA0AE5" w:rsidRPr="002C5AC6" w:rsidRDefault="00CA0AE5" w:rsidP="00037DC5">
            <w:pPr>
              <w:jc w:val="center"/>
            </w:pPr>
            <w:r w:rsidRPr="002C5AC6">
              <w:lastRenderedPageBreak/>
              <w:t>26</w:t>
            </w:r>
          </w:p>
        </w:tc>
      </w:tr>
      <w:tr w:rsidR="00CA0AE5" w:rsidRPr="002C5AC6" w:rsidTr="00037DC5">
        <w:trPr>
          <w:trHeight w:val="93"/>
          <w:jc w:val="center"/>
        </w:trPr>
        <w:tc>
          <w:tcPr>
            <w:tcW w:w="1414" w:type="dxa"/>
            <w:vAlign w:val="center"/>
          </w:tcPr>
          <w:p w:rsidR="00CA0AE5" w:rsidRPr="002C5AC6" w:rsidRDefault="00881752" w:rsidP="00037DC5">
            <w:pPr>
              <w:jc w:val="center"/>
            </w:pPr>
            <w:r w:rsidRPr="002C5AC6">
              <w:lastRenderedPageBreak/>
              <w:t>7</w:t>
            </w:r>
            <w:r w:rsidR="00374934" w:rsidRPr="002C5AC6">
              <w:t>2</w:t>
            </w:r>
            <w:r w:rsidRPr="002C5AC6">
              <w:t>.</w:t>
            </w:r>
          </w:p>
        </w:tc>
        <w:tc>
          <w:tcPr>
            <w:tcW w:w="6614" w:type="dxa"/>
          </w:tcPr>
          <w:p w:rsidR="00CA0AE5" w:rsidRPr="002C5AC6" w:rsidRDefault="00881752" w:rsidP="00B25BD1">
            <w:r w:rsidRPr="002C5AC6">
              <w:t>Договор от 20.10.2014 г. с фирма Перфект плюс ЕООД, приемо-предавателен протокол от09.04.2015 г., пл. нареждане от 10.12.2014 г. с фактура, банкова гаранция от 09.12.2014 г</w:t>
            </w:r>
          </w:p>
        </w:tc>
        <w:tc>
          <w:tcPr>
            <w:tcW w:w="1607" w:type="dxa"/>
            <w:vAlign w:val="center"/>
          </w:tcPr>
          <w:p w:rsidR="00CA0AE5" w:rsidRPr="002C5AC6" w:rsidRDefault="00CA5201" w:rsidP="00037DC5">
            <w:pPr>
              <w:jc w:val="center"/>
            </w:pPr>
            <w:r w:rsidRPr="002C5AC6">
              <w:t>18</w:t>
            </w:r>
          </w:p>
        </w:tc>
      </w:tr>
      <w:tr w:rsidR="005544F3" w:rsidRPr="002C5AC6" w:rsidTr="00037DC5">
        <w:trPr>
          <w:trHeight w:val="93"/>
          <w:jc w:val="center"/>
        </w:trPr>
        <w:tc>
          <w:tcPr>
            <w:tcW w:w="1414" w:type="dxa"/>
            <w:vAlign w:val="center"/>
          </w:tcPr>
          <w:p w:rsidR="005544F3" w:rsidRPr="002C5AC6" w:rsidRDefault="005544F3" w:rsidP="00037DC5">
            <w:pPr>
              <w:jc w:val="center"/>
            </w:pPr>
            <w:r w:rsidRPr="002C5AC6">
              <w:t>7</w:t>
            </w:r>
            <w:r w:rsidR="00952650" w:rsidRPr="002C5AC6">
              <w:t>3</w:t>
            </w:r>
            <w:r w:rsidRPr="002C5AC6">
              <w:t>.</w:t>
            </w:r>
          </w:p>
        </w:tc>
        <w:tc>
          <w:tcPr>
            <w:tcW w:w="6614" w:type="dxa"/>
          </w:tcPr>
          <w:p w:rsidR="005544F3" w:rsidRPr="002C5AC6" w:rsidRDefault="005544F3" w:rsidP="00B25BD1">
            <w:r w:rsidRPr="002C5AC6">
              <w:t>Договор от 03.09.2014 г. с ЕОС Електроникс ЕООД , докладна записка от 19.11.2014 г., приемо-предавателен протокол- първа и последна стр.от 24.11.2014 г.,пл. нареждане от 25.11.2014 г., фактура и скл. разписка</w:t>
            </w:r>
          </w:p>
        </w:tc>
        <w:tc>
          <w:tcPr>
            <w:tcW w:w="1607" w:type="dxa"/>
            <w:vAlign w:val="center"/>
          </w:tcPr>
          <w:p w:rsidR="005544F3" w:rsidRPr="002C5AC6" w:rsidRDefault="00A9176F" w:rsidP="00037DC5">
            <w:pPr>
              <w:jc w:val="center"/>
            </w:pPr>
            <w:r w:rsidRPr="002C5AC6">
              <w:t>23</w:t>
            </w:r>
          </w:p>
        </w:tc>
      </w:tr>
      <w:tr w:rsidR="00610D21" w:rsidRPr="002C5AC6" w:rsidTr="00037DC5">
        <w:trPr>
          <w:trHeight w:val="93"/>
          <w:jc w:val="center"/>
        </w:trPr>
        <w:tc>
          <w:tcPr>
            <w:tcW w:w="1414" w:type="dxa"/>
            <w:vAlign w:val="center"/>
          </w:tcPr>
          <w:p w:rsidR="00610D21" w:rsidRPr="002C5AC6" w:rsidRDefault="005544F3" w:rsidP="00037DC5">
            <w:pPr>
              <w:jc w:val="center"/>
            </w:pPr>
            <w:r w:rsidRPr="002C5AC6">
              <w:t>7</w:t>
            </w:r>
            <w:r w:rsidR="00952650" w:rsidRPr="002C5AC6">
              <w:t>4</w:t>
            </w:r>
            <w:r w:rsidRPr="002C5AC6">
              <w:t>.</w:t>
            </w:r>
          </w:p>
        </w:tc>
        <w:tc>
          <w:tcPr>
            <w:tcW w:w="6614" w:type="dxa"/>
          </w:tcPr>
          <w:p w:rsidR="00A25650" w:rsidRPr="002C5AC6" w:rsidRDefault="00A25650" w:rsidP="00B25BD1">
            <w:r w:rsidRPr="002C5AC6">
              <w:t>Договор от 08.09.2014 г. с фирма Дилекс ООД , пл. нареждане  от 21.11.2014 г., приемо-предавателен протокол</w:t>
            </w:r>
          </w:p>
          <w:p w:rsidR="00610D21" w:rsidRPr="002C5AC6" w:rsidRDefault="00A25650" w:rsidP="00B25BD1">
            <w:r w:rsidRPr="002C5AC6">
              <w:t>От 03.11.2014 г. и от 20.11.2014 г., фактура и скл. разписка</w:t>
            </w:r>
          </w:p>
        </w:tc>
        <w:tc>
          <w:tcPr>
            <w:tcW w:w="1607" w:type="dxa"/>
            <w:vAlign w:val="center"/>
          </w:tcPr>
          <w:p w:rsidR="00610D21" w:rsidRPr="002C5AC6" w:rsidRDefault="00CA5201" w:rsidP="00037DC5">
            <w:pPr>
              <w:jc w:val="center"/>
            </w:pPr>
            <w:r w:rsidRPr="002C5AC6">
              <w:t>22</w:t>
            </w:r>
          </w:p>
        </w:tc>
      </w:tr>
      <w:tr w:rsidR="00CA0AE5" w:rsidRPr="002C5AC6" w:rsidTr="00037DC5">
        <w:trPr>
          <w:jc w:val="center"/>
        </w:trPr>
        <w:tc>
          <w:tcPr>
            <w:tcW w:w="1414" w:type="dxa"/>
            <w:vAlign w:val="center"/>
          </w:tcPr>
          <w:p w:rsidR="00CA0AE5" w:rsidRPr="002C5AC6" w:rsidRDefault="003D46A3" w:rsidP="00037DC5">
            <w:pPr>
              <w:jc w:val="center"/>
            </w:pPr>
            <w:r w:rsidRPr="002C5AC6">
              <w:t>7</w:t>
            </w:r>
            <w:r w:rsidR="00952650" w:rsidRPr="002C5AC6">
              <w:t>5</w:t>
            </w:r>
            <w:r w:rsidR="00530E1A" w:rsidRPr="002C5AC6">
              <w:t>.</w:t>
            </w:r>
          </w:p>
        </w:tc>
        <w:tc>
          <w:tcPr>
            <w:tcW w:w="6614" w:type="dxa"/>
          </w:tcPr>
          <w:p w:rsidR="00CA0AE5" w:rsidRPr="002C5AC6" w:rsidRDefault="00CA0178" w:rsidP="00B25BD1">
            <w:r w:rsidRPr="002C5AC6">
              <w:t>Договор от 10.06.2014 г. с ЧЕЗ Електро България АД, извлечение от счетоводна програма, платежни нареждания, фактура и контролни листове</w:t>
            </w:r>
          </w:p>
        </w:tc>
        <w:tc>
          <w:tcPr>
            <w:tcW w:w="1607" w:type="dxa"/>
            <w:vAlign w:val="center"/>
          </w:tcPr>
          <w:p w:rsidR="00CA0AE5" w:rsidRPr="002C5AC6" w:rsidRDefault="00E704DE" w:rsidP="00037DC5">
            <w:pPr>
              <w:jc w:val="center"/>
            </w:pPr>
            <w:r w:rsidRPr="002C5AC6">
              <w:t>7</w:t>
            </w:r>
          </w:p>
        </w:tc>
      </w:tr>
      <w:tr w:rsidR="00CA0AE5" w:rsidRPr="002C5AC6" w:rsidTr="00037DC5">
        <w:trPr>
          <w:jc w:val="center"/>
        </w:trPr>
        <w:tc>
          <w:tcPr>
            <w:tcW w:w="1414" w:type="dxa"/>
            <w:vAlign w:val="center"/>
          </w:tcPr>
          <w:p w:rsidR="00CA0AE5" w:rsidRPr="002C5AC6" w:rsidRDefault="003D46A3" w:rsidP="00037DC5">
            <w:pPr>
              <w:jc w:val="center"/>
            </w:pPr>
            <w:r w:rsidRPr="002C5AC6">
              <w:t>7</w:t>
            </w:r>
            <w:r w:rsidR="00952650" w:rsidRPr="002C5AC6">
              <w:t>6</w:t>
            </w:r>
            <w:r w:rsidR="00530E1A" w:rsidRPr="002C5AC6">
              <w:t>.</w:t>
            </w:r>
          </w:p>
        </w:tc>
        <w:tc>
          <w:tcPr>
            <w:tcW w:w="6614" w:type="dxa"/>
          </w:tcPr>
          <w:p w:rsidR="00CA0AE5" w:rsidRPr="002C5AC6" w:rsidRDefault="00CA0178" w:rsidP="00B25BD1">
            <w:r w:rsidRPr="002C5AC6">
              <w:t>Констативен протокол</w:t>
            </w:r>
          </w:p>
        </w:tc>
        <w:tc>
          <w:tcPr>
            <w:tcW w:w="1607" w:type="dxa"/>
            <w:vAlign w:val="center"/>
          </w:tcPr>
          <w:p w:rsidR="00CA0AE5" w:rsidRPr="002C5AC6" w:rsidRDefault="00E704DE" w:rsidP="00037DC5">
            <w:pPr>
              <w:jc w:val="center"/>
            </w:pPr>
            <w:r w:rsidRPr="002C5AC6">
              <w:t>2</w:t>
            </w:r>
          </w:p>
        </w:tc>
      </w:tr>
      <w:tr w:rsidR="00B2242D" w:rsidRPr="002C5AC6" w:rsidTr="00037DC5">
        <w:trPr>
          <w:jc w:val="center"/>
        </w:trPr>
        <w:tc>
          <w:tcPr>
            <w:tcW w:w="1414" w:type="dxa"/>
            <w:vAlign w:val="center"/>
          </w:tcPr>
          <w:p w:rsidR="00CA0AE5" w:rsidRPr="002C5AC6" w:rsidRDefault="00CA0178" w:rsidP="00037DC5">
            <w:pPr>
              <w:jc w:val="center"/>
            </w:pPr>
            <w:r w:rsidRPr="002C5AC6">
              <w:t>7</w:t>
            </w:r>
            <w:r w:rsidR="00FE2616" w:rsidRPr="002C5AC6">
              <w:t>7</w:t>
            </w:r>
            <w:r w:rsidRPr="002C5AC6">
              <w:t>.</w:t>
            </w:r>
          </w:p>
        </w:tc>
        <w:tc>
          <w:tcPr>
            <w:tcW w:w="6614" w:type="dxa"/>
          </w:tcPr>
          <w:p w:rsidR="00CA0AE5" w:rsidRPr="002C5AC6" w:rsidRDefault="00CA0AE5" w:rsidP="00B25BD1">
            <w:r w:rsidRPr="002C5AC6">
              <w:t>Договор от 09.05.2014 г. с фирма Диалог Плюс, извлечение от счетоводни регистри, фактури-приемо-предавателни протоколи, писма до главния счетоводител, контр. лист</w:t>
            </w:r>
          </w:p>
        </w:tc>
        <w:tc>
          <w:tcPr>
            <w:tcW w:w="1607" w:type="dxa"/>
            <w:vAlign w:val="center"/>
          </w:tcPr>
          <w:p w:rsidR="00CA0AE5" w:rsidRPr="002C5AC6" w:rsidRDefault="00CA0AE5" w:rsidP="00037DC5">
            <w:pPr>
              <w:jc w:val="center"/>
            </w:pPr>
            <w:r w:rsidRPr="002C5AC6">
              <w:t>20</w:t>
            </w:r>
          </w:p>
        </w:tc>
      </w:tr>
      <w:tr w:rsidR="00B2242D" w:rsidRPr="002C5AC6" w:rsidTr="00037DC5">
        <w:trPr>
          <w:jc w:val="center"/>
        </w:trPr>
        <w:tc>
          <w:tcPr>
            <w:tcW w:w="1414" w:type="dxa"/>
            <w:vAlign w:val="center"/>
          </w:tcPr>
          <w:p w:rsidR="00CA0AE5" w:rsidRPr="002C5AC6" w:rsidRDefault="009C4C97" w:rsidP="00037DC5">
            <w:pPr>
              <w:jc w:val="center"/>
            </w:pPr>
            <w:r w:rsidRPr="002C5AC6">
              <w:t>7</w:t>
            </w:r>
            <w:r w:rsidR="00FE2616" w:rsidRPr="002C5AC6">
              <w:t>8</w:t>
            </w:r>
            <w:r w:rsidR="00EC5591" w:rsidRPr="002C5AC6">
              <w:t>.</w:t>
            </w:r>
          </w:p>
        </w:tc>
        <w:tc>
          <w:tcPr>
            <w:tcW w:w="6614" w:type="dxa"/>
          </w:tcPr>
          <w:p w:rsidR="00CA0AE5" w:rsidRPr="002C5AC6" w:rsidRDefault="00CA0AE5" w:rsidP="00B25BD1">
            <w:r w:rsidRPr="002C5AC6">
              <w:t>Договор ПП-92 от 16.12.2014 г. с фирма Ф-строй груп ЕООД, протокол за допълнителни работи-демонтаж и допълнително възложени работи, плащането по договора е извършено на 28.01.2015 г. след одитирания период, доклад  от 19.12.2014 г.,</w:t>
            </w:r>
            <w:r w:rsidR="001B21FF">
              <w:t xml:space="preserve"> </w:t>
            </w:r>
            <w:r w:rsidRPr="002C5AC6">
              <w:t>пл. нареждане от 05.02.2015 г.</w:t>
            </w:r>
          </w:p>
        </w:tc>
        <w:tc>
          <w:tcPr>
            <w:tcW w:w="1607" w:type="dxa"/>
            <w:vAlign w:val="center"/>
          </w:tcPr>
          <w:p w:rsidR="00CA0AE5" w:rsidRPr="002C5AC6" w:rsidRDefault="00CA0AE5" w:rsidP="00037DC5">
            <w:pPr>
              <w:jc w:val="center"/>
            </w:pPr>
            <w:r w:rsidRPr="002C5AC6">
              <w:t>13</w:t>
            </w:r>
          </w:p>
        </w:tc>
      </w:tr>
      <w:tr w:rsidR="00B2242D" w:rsidRPr="002C5AC6" w:rsidTr="00037DC5">
        <w:trPr>
          <w:jc w:val="center"/>
        </w:trPr>
        <w:tc>
          <w:tcPr>
            <w:tcW w:w="1414" w:type="dxa"/>
            <w:vAlign w:val="center"/>
          </w:tcPr>
          <w:p w:rsidR="00CA0AE5" w:rsidRPr="002C5AC6" w:rsidRDefault="00FE2616" w:rsidP="00FE2616">
            <w:pPr>
              <w:jc w:val="center"/>
            </w:pPr>
            <w:r w:rsidRPr="002C5AC6">
              <w:t>79</w:t>
            </w:r>
            <w:r w:rsidR="00EC5591" w:rsidRPr="002C5AC6">
              <w:t>.</w:t>
            </w:r>
          </w:p>
        </w:tc>
        <w:tc>
          <w:tcPr>
            <w:tcW w:w="6614" w:type="dxa"/>
          </w:tcPr>
          <w:p w:rsidR="00CA0AE5" w:rsidRPr="002C5AC6" w:rsidRDefault="00CA0AE5" w:rsidP="00B25BD1">
            <w:r w:rsidRPr="002C5AC6">
              <w:t>Договор ПП- 01 от 19.1</w:t>
            </w:r>
            <w:r w:rsidR="001B21FF">
              <w:t>1.2014 г. с  фирма Ван компютри</w:t>
            </w:r>
            <w:r w:rsidRPr="002C5AC6">
              <w:t>,</w:t>
            </w:r>
            <w:r w:rsidR="001B21FF">
              <w:t xml:space="preserve"> </w:t>
            </w:r>
            <w:r w:rsidRPr="002C5AC6">
              <w:t>приемо-предавателен протокол от 10.12.2014 г.пл. нареждане от 11.12.2014 г., фактура и скл. разписка</w:t>
            </w:r>
            <w:r w:rsidR="00CA5201" w:rsidRPr="002C5AC6">
              <w:t xml:space="preserve"> </w:t>
            </w:r>
          </w:p>
        </w:tc>
        <w:tc>
          <w:tcPr>
            <w:tcW w:w="1607" w:type="dxa"/>
            <w:vAlign w:val="center"/>
          </w:tcPr>
          <w:p w:rsidR="00CA0AE5" w:rsidRPr="002C5AC6" w:rsidRDefault="00CA0AE5" w:rsidP="00037DC5">
            <w:pPr>
              <w:jc w:val="center"/>
            </w:pPr>
            <w:r w:rsidRPr="002C5AC6">
              <w:t>11</w:t>
            </w:r>
          </w:p>
        </w:tc>
      </w:tr>
      <w:tr w:rsidR="00AE6683" w:rsidRPr="002C5AC6" w:rsidTr="00037DC5">
        <w:trPr>
          <w:jc w:val="center"/>
        </w:trPr>
        <w:tc>
          <w:tcPr>
            <w:tcW w:w="1414" w:type="dxa"/>
            <w:vAlign w:val="center"/>
          </w:tcPr>
          <w:p w:rsidR="00AE6683" w:rsidRPr="002C5AC6" w:rsidRDefault="00AE6683" w:rsidP="00FE2616">
            <w:pPr>
              <w:jc w:val="center"/>
            </w:pPr>
            <w:r w:rsidRPr="002C5AC6">
              <w:t>80.</w:t>
            </w:r>
          </w:p>
        </w:tc>
        <w:tc>
          <w:tcPr>
            <w:tcW w:w="6614" w:type="dxa"/>
          </w:tcPr>
          <w:p w:rsidR="00AE6683" w:rsidRPr="002C5AC6" w:rsidRDefault="00EC7CA3" w:rsidP="00B25BD1">
            <w:r w:rsidRPr="002C5AC6">
              <w:t xml:space="preserve">Паметна записка </w:t>
            </w:r>
            <w:r w:rsidR="00AE6683" w:rsidRPr="002C5AC6">
              <w:t>РД-П-1.35-3</w:t>
            </w:r>
            <w:r w:rsidRPr="002C5AC6">
              <w:t xml:space="preserve">.1-6 от 23.09.2015 г. </w:t>
            </w:r>
          </w:p>
        </w:tc>
        <w:tc>
          <w:tcPr>
            <w:tcW w:w="1607" w:type="dxa"/>
            <w:vAlign w:val="center"/>
          </w:tcPr>
          <w:p w:rsidR="00AE6683" w:rsidRPr="002C5AC6" w:rsidRDefault="00EC7CA3" w:rsidP="00037DC5">
            <w:pPr>
              <w:jc w:val="center"/>
            </w:pPr>
            <w:r w:rsidRPr="002C5AC6">
              <w:t>1</w:t>
            </w:r>
          </w:p>
        </w:tc>
      </w:tr>
      <w:tr w:rsidR="00AE6683" w:rsidRPr="002C5AC6" w:rsidTr="00037DC5">
        <w:trPr>
          <w:jc w:val="center"/>
        </w:trPr>
        <w:tc>
          <w:tcPr>
            <w:tcW w:w="1414" w:type="dxa"/>
            <w:vAlign w:val="center"/>
          </w:tcPr>
          <w:p w:rsidR="00AE6683" w:rsidRPr="002C5AC6" w:rsidRDefault="00AE6683" w:rsidP="00FE2616">
            <w:pPr>
              <w:jc w:val="center"/>
            </w:pPr>
            <w:r w:rsidRPr="002C5AC6">
              <w:t>81.</w:t>
            </w:r>
          </w:p>
        </w:tc>
        <w:tc>
          <w:tcPr>
            <w:tcW w:w="6614" w:type="dxa"/>
          </w:tcPr>
          <w:p w:rsidR="00AE6683" w:rsidRPr="002C5AC6" w:rsidRDefault="00AE6683" w:rsidP="00B25BD1">
            <w:r w:rsidRPr="002C5AC6">
              <w:t>Списък на служителите от служба „Архив“ с подробно описание на изпълняваните служебни задължения</w:t>
            </w:r>
          </w:p>
        </w:tc>
        <w:tc>
          <w:tcPr>
            <w:tcW w:w="1607" w:type="dxa"/>
            <w:vAlign w:val="center"/>
          </w:tcPr>
          <w:p w:rsidR="00AE6683" w:rsidRPr="002C5AC6" w:rsidRDefault="00AE6683" w:rsidP="00037DC5">
            <w:pPr>
              <w:jc w:val="center"/>
            </w:pPr>
            <w:r w:rsidRPr="002C5AC6">
              <w:t>10</w:t>
            </w:r>
          </w:p>
        </w:tc>
      </w:tr>
      <w:tr w:rsidR="00F06B4A" w:rsidRPr="002C5AC6" w:rsidTr="00037DC5">
        <w:trPr>
          <w:jc w:val="center"/>
        </w:trPr>
        <w:tc>
          <w:tcPr>
            <w:tcW w:w="1414" w:type="dxa"/>
            <w:vAlign w:val="center"/>
          </w:tcPr>
          <w:p w:rsidR="00F06B4A" w:rsidRPr="002C5AC6" w:rsidRDefault="00F06B4A" w:rsidP="00FE2616">
            <w:pPr>
              <w:jc w:val="center"/>
            </w:pPr>
            <w:r>
              <w:t>82.</w:t>
            </w:r>
          </w:p>
        </w:tc>
        <w:tc>
          <w:tcPr>
            <w:tcW w:w="6614" w:type="dxa"/>
          </w:tcPr>
          <w:p w:rsidR="00F06B4A" w:rsidRPr="002C5AC6" w:rsidRDefault="00A41E84" w:rsidP="00B25BD1">
            <w:r>
              <w:t>Експертно заключение от доц. д-р Камен Спасов</w:t>
            </w:r>
          </w:p>
        </w:tc>
        <w:tc>
          <w:tcPr>
            <w:tcW w:w="1607" w:type="dxa"/>
            <w:vAlign w:val="center"/>
          </w:tcPr>
          <w:p w:rsidR="00F06B4A" w:rsidRPr="002C5AC6" w:rsidRDefault="00A41E84" w:rsidP="00037DC5">
            <w:pPr>
              <w:jc w:val="center"/>
            </w:pPr>
            <w:r>
              <w:t>4</w:t>
            </w:r>
          </w:p>
        </w:tc>
      </w:tr>
    </w:tbl>
    <w:p w:rsidR="00FB3DDD" w:rsidRDefault="00FB3DDD"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Default="00646375" w:rsidP="00233BC6">
      <w:pPr>
        <w:jc w:val="center"/>
        <w:rPr>
          <w:lang w:val="en-US"/>
        </w:rPr>
      </w:pPr>
    </w:p>
    <w:p w:rsidR="00646375" w:rsidRPr="000D3141" w:rsidRDefault="00646375" w:rsidP="00646375">
      <w:pPr>
        <w:ind w:left="6372"/>
        <w:rPr>
          <w:b/>
          <w:u w:val="single"/>
        </w:rPr>
      </w:pPr>
      <w:r>
        <w:rPr>
          <w:b/>
          <w:u w:val="single"/>
        </w:rPr>
        <w:t>Препис извлечение</w:t>
      </w:r>
    </w:p>
    <w:p w:rsidR="00646375" w:rsidRDefault="00646375" w:rsidP="00646375">
      <w:pPr>
        <w:ind w:left="720"/>
        <w:jc w:val="center"/>
        <w:rPr>
          <w:b/>
        </w:rPr>
      </w:pPr>
    </w:p>
    <w:p w:rsidR="00646375" w:rsidRDefault="00646375" w:rsidP="00646375">
      <w:pPr>
        <w:ind w:left="720"/>
        <w:jc w:val="center"/>
        <w:rPr>
          <w:b/>
        </w:rPr>
      </w:pPr>
    </w:p>
    <w:p w:rsidR="00646375" w:rsidRPr="00344DA5" w:rsidRDefault="00646375" w:rsidP="00646375">
      <w:pPr>
        <w:ind w:left="720"/>
        <w:jc w:val="center"/>
        <w:rPr>
          <w:b/>
        </w:rPr>
      </w:pPr>
      <w:r>
        <w:rPr>
          <w:b/>
        </w:rPr>
        <w:t>П</w:t>
      </w:r>
      <w:r w:rsidRPr="000D3141">
        <w:rPr>
          <w:b/>
        </w:rPr>
        <w:t xml:space="preserve">РОТОКОЛ № </w:t>
      </w:r>
      <w:r>
        <w:rPr>
          <w:b/>
        </w:rPr>
        <w:t>36</w:t>
      </w:r>
    </w:p>
    <w:p w:rsidR="00646375" w:rsidRDefault="00646375" w:rsidP="00646375">
      <w:pPr>
        <w:jc w:val="center"/>
      </w:pPr>
      <w:r>
        <w:t>от заседание на Сметната палата, проведено на 15.12.2016 г.</w:t>
      </w:r>
    </w:p>
    <w:p w:rsidR="00646375" w:rsidRDefault="00646375" w:rsidP="00646375">
      <w:pPr>
        <w:tabs>
          <w:tab w:val="num" w:pos="0"/>
        </w:tabs>
        <w:ind w:firstLine="708"/>
        <w:jc w:val="both"/>
        <w:rPr>
          <w:bCs/>
        </w:rPr>
      </w:pPr>
      <w:r w:rsidRPr="00B41600">
        <w:rPr>
          <w:bCs/>
        </w:rPr>
        <w:t xml:space="preserve">На заседанието присъстваха: Цветан Цветков, председател на Сметната палата, Горица </w:t>
      </w:r>
      <w:proofErr w:type="spellStart"/>
      <w:r w:rsidRPr="00B41600">
        <w:rPr>
          <w:bCs/>
        </w:rPr>
        <w:t>Грънчарова-Кожарева</w:t>
      </w:r>
      <w:proofErr w:type="spellEnd"/>
      <w:r w:rsidRPr="00B41600">
        <w:rPr>
          <w:bCs/>
        </w:rPr>
        <w:t xml:space="preserve"> и Тошко Тодоров, заместник-председат</w:t>
      </w:r>
      <w:r>
        <w:rPr>
          <w:bCs/>
        </w:rPr>
        <w:t xml:space="preserve">ели на Сметната палата и </w:t>
      </w:r>
      <w:r w:rsidRPr="00B41600">
        <w:rPr>
          <w:bCs/>
        </w:rPr>
        <w:t>Емил Евлогиев</w:t>
      </w:r>
      <w:r>
        <w:rPr>
          <w:bCs/>
        </w:rPr>
        <w:t>, член на Сметната палата</w:t>
      </w:r>
      <w:r w:rsidRPr="00B41600">
        <w:rPr>
          <w:bCs/>
        </w:rPr>
        <w:t>.</w:t>
      </w:r>
    </w:p>
    <w:p w:rsidR="00646375" w:rsidRDefault="00646375" w:rsidP="00646375">
      <w:pPr>
        <w:tabs>
          <w:tab w:val="num" w:pos="0"/>
        </w:tabs>
        <w:ind w:firstLine="708"/>
        <w:jc w:val="both"/>
        <w:rPr>
          <w:bCs/>
        </w:rPr>
      </w:pPr>
      <w:r>
        <w:rPr>
          <w:bCs/>
        </w:rPr>
        <w:t>Отсъства:</w:t>
      </w:r>
      <w:r w:rsidRPr="008B66E0">
        <w:rPr>
          <w:bCs/>
        </w:rPr>
        <w:t xml:space="preserve"> </w:t>
      </w:r>
      <w:r>
        <w:rPr>
          <w:bCs/>
        </w:rPr>
        <w:t>проф. Георги Иванов – по здравословни причини.</w:t>
      </w:r>
    </w:p>
    <w:p w:rsidR="00646375" w:rsidRPr="005F6670" w:rsidRDefault="00646375" w:rsidP="00646375">
      <w:pPr>
        <w:tabs>
          <w:tab w:val="num" w:pos="0"/>
        </w:tabs>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646375" w:rsidRPr="00980543" w:rsidTr="00FB5B1C">
        <w:tc>
          <w:tcPr>
            <w:tcW w:w="5353" w:type="dxa"/>
            <w:vAlign w:val="center"/>
          </w:tcPr>
          <w:p w:rsidR="00646375" w:rsidRPr="00980543" w:rsidRDefault="00646375" w:rsidP="00FB5B1C">
            <w:pPr>
              <w:jc w:val="center"/>
            </w:pPr>
            <w:r w:rsidRPr="00980543">
              <w:t xml:space="preserve">Приети </w:t>
            </w:r>
            <w:proofErr w:type="spellStart"/>
            <w:r w:rsidRPr="00980543">
              <w:t>одитни</w:t>
            </w:r>
            <w:proofErr w:type="spellEnd"/>
            <w:r w:rsidRPr="00980543">
              <w:t xml:space="preserve"> доклади</w:t>
            </w:r>
          </w:p>
        </w:tc>
        <w:tc>
          <w:tcPr>
            <w:tcW w:w="3935" w:type="dxa"/>
            <w:vAlign w:val="center"/>
          </w:tcPr>
          <w:p w:rsidR="00646375" w:rsidRPr="00980543" w:rsidRDefault="00646375" w:rsidP="00FB5B1C">
            <w:pPr>
              <w:jc w:val="center"/>
            </w:pPr>
            <w:r w:rsidRPr="00980543">
              <w:t>Мотиви при гласуване „против“</w:t>
            </w:r>
          </w:p>
        </w:tc>
      </w:tr>
      <w:tr w:rsidR="00646375" w:rsidRPr="00980543" w:rsidTr="00FB5B1C">
        <w:tc>
          <w:tcPr>
            <w:tcW w:w="5353" w:type="dxa"/>
            <w:vAlign w:val="center"/>
          </w:tcPr>
          <w:p w:rsidR="00646375" w:rsidRPr="00980543" w:rsidRDefault="00646375" w:rsidP="00FB5B1C">
            <w:pPr>
              <w:rPr>
                <w:b/>
              </w:rPr>
            </w:pPr>
            <w:r w:rsidRPr="00980543">
              <w:rPr>
                <w:b/>
              </w:rPr>
              <w:t xml:space="preserve">По т. </w:t>
            </w:r>
            <w:r>
              <w:rPr>
                <w:b/>
              </w:rPr>
              <w:t>5</w:t>
            </w:r>
            <w:r w:rsidRPr="00980543">
              <w:rPr>
                <w:b/>
              </w:rPr>
              <w:t>:</w:t>
            </w:r>
          </w:p>
          <w:p w:rsidR="00646375" w:rsidRPr="00084BE4" w:rsidRDefault="00646375" w:rsidP="00FB5B1C">
            <w:pPr>
              <w:tabs>
                <w:tab w:val="num" w:pos="0"/>
              </w:tabs>
              <w:ind w:firstLine="708"/>
              <w:jc w:val="both"/>
              <w:rPr>
                <w:bCs/>
              </w:rPr>
            </w:pPr>
            <w:proofErr w:type="spellStart"/>
            <w:r w:rsidRPr="00084BE4">
              <w:rPr>
                <w:bCs/>
              </w:rPr>
              <w:t>Одитен</w:t>
            </w:r>
            <w:proofErr w:type="spellEnd"/>
            <w:r w:rsidRPr="00084BE4">
              <w:rPr>
                <w:bCs/>
              </w:rPr>
              <w:t xml:space="preserve"> доклад № 0500101015 за извършен одит за съответствие на Софийски районен съд, за периода от 01.</w:t>
            </w:r>
            <w:proofErr w:type="spellStart"/>
            <w:r w:rsidRPr="00084BE4">
              <w:rPr>
                <w:bCs/>
              </w:rPr>
              <w:t>01</w:t>
            </w:r>
            <w:proofErr w:type="spellEnd"/>
            <w:r w:rsidRPr="00084BE4">
              <w:rPr>
                <w:bCs/>
              </w:rPr>
              <w:t>.2014 г. до 31.12.2014 г.</w:t>
            </w:r>
          </w:p>
          <w:p w:rsidR="00646375" w:rsidRPr="006042AE" w:rsidRDefault="00646375" w:rsidP="00FB5B1C">
            <w:r w:rsidRPr="006042AE">
              <w:t>Начин на гласуване:</w:t>
            </w:r>
          </w:p>
          <w:p w:rsidR="00646375" w:rsidRDefault="00646375" w:rsidP="00FB5B1C">
            <w:r w:rsidRPr="006042AE">
              <w:t>Цветан Цветков, председател на СП – за</w:t>
            </w:r>
          </w:p>
          <w:p w:rsidR="00646375" w:rsidRPr="006042AE" w:rsidRDefault="00646375" w:rsidP="00FB5B1C">
            <w:r>
              <w:t xml:space="preserve">Горица </w:t>
            </w:r>
            <w:proofErr w:type="spellStart"/>
            <w:r>
              <w:t>Грънчарова-Кожарева</w:t>
            </w:r>
            <w:proofErr w:type="spellEnd"/>
            <w:r>
              <w:t>,</w:t>
            </w:r>
            <w:r w:rsidRPr="006042AE">
              <w:t xml:space="preserve"> зам.-председател на СП – за</w:t>
            </w:r>
          </w:p>
          <w:p w:rsidR="00646375" w:rsidRPr="006042AE" w:rsidRDefault="00646375" w:rsidP="00FB5B1C">
            <w:r w:rsidRPr="006042AE">
              <w:t>Тошко Тодоров, зам.-председател на СП – за</w:t>
            </w:r>
          </w:p>
          <w:p w:rsidR="00646375" w:rsidRPr="006042AE" w:rsidRDefault="00646375" w:rsidP="00FB5B1C">
            <w:r w:rsidRPr="006042AE">
              <w:t>Емил Евлогиев, член на СП – за</w:t>
            </w:r>
          </w:p>
          <w:p w:rsidR="00646375" w:rsidRPr="00980543" w:rsidRDefault="00646375" w:rsidP="00FB5B1C">
            <w:pPr>
              <w:rPr>
                <w:b/>
              </w:rPr>
            </w:pPr>
            <w:r w:rsidRPr="006042AE">
              <w:t>Против - 0</w:t>
            </w:r>
          </w:p>
        </w:tc>
        <w:tc>
          <w:tcPr>
            <w:tcW w:w="3935" w:type="dxa"/>
            <w:vAlign w:val="center"/>
          </w:tcPr>
          <w:p w:rsidR="00646375" w:rsidRPr="00980543" w:rsidRDefault="00646375" w:rsidP="00FB5B1C">
            <w:pPr>
              <w:jc w:val="center"/>
            </w:pPr>
            <w:r w:rsidRPr="00980543">
              <w:t>……………………………………</w:t>
            </w:r>
          </w:p>
        </w:tc>
      </w:tr>
    </w:tbl>
    <w:p w:rsidR="00646375" w:rsidRPr="00646375" w:rsidRDefault="00646375" w:rsidP="00233BC6">
      <w:pPr>
        <w:jc w:val="center"/>
        <w:rPr>
          <w:lang w:val="en-US"/>
        </w:rPr>
      </w:pPr>
    </w:p>
    <w:sectPr w:rsidR="00646375" w:rsidRPr="00646375" w:rsidSect="00ED7B6E">
      <w:headerReference w:type="default" r:id="rId10"/>
      <w:footerReference w:type="default" r:id="rId11"/>
      <w:footerReference w:type="first" r:id="rId12"/>
      <w:pgSz w:w="12240" w:h="15840"/>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7E" w:rsidRDefault="00A9517E" w:rsidP="00FB3DDD">
      <w:r>
        <w:separator/>
      </w:r>
    </w:p>
  </w:endnote>
  <w:endnote w:type="continuationSeparator" w:id="0">
    <w:p w:rsidR="00A9517E" w:rsidRDefault="00A9517E"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260"/>
      <w:docPartObj>
        <w:docPartGallery w:val="Page Numbers (Bottom of Page)"/>
        <w:docPartUnique/>
      </w:docPartObj>
    </w:sdtPr>
    <w:sdtEndPr/>
    <w:sdtContent>
      <w:p w:rsidR="00CE3B8D" w:rsidRDefault="00CE3B8D">
        <w:pPr>
          <w:pStyle w:val="Footer"/>
          <w:jc w:val="right"/>
        </w:pPr>
        <w:r>
          <w:fldChar w:fldCharType="begin"/>
        </w:r>
        <w:r>
          <w:instrText xml:space="preserve"> PAGE   \* MERGEFORMAT </w:instrText>
        </w:r>
        <w:r>
          <w:fldChar w:fldCharType="separate"/>
        </w:r>
        <w:r w:rsidR="0064637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8D" w:rsidRDefault="00CE3B8D">
    <w:pPr>
      <w:pStyle w:val="Footer"/>
    </w:pPr>
    <w:r>
      <w:rPr>
        <w:lang w:val="en-US"/>
      </w:rPr>
      <w:t xml:space="preserve"> </w:t>
    </w:r>
  </w:p>
  <w:p w:rsidR="00CE3B8D" w:rsidRDefault="00CE3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7E" w:rsidRDefault="00A9517E" w:rsidP="00FB3DDD">
      <w:r>
        <w:separator/>
      </w:r>
    </w:p>
  </w:footnote>
  <w:footnote w:type="continuationSeparator" w:id="0">
    <w:p w:rsidR="00A9517E" w:rsidRDefault="00A9517E" w:rsidP="00FB3DDD">
      <w:r>
        <w:continuationSeparator/>
      </w:r>
    </w:p>
  </w:footnote>
  <w:footnote w:id="1">
    <w:p w:rsidR="00CE3B8D" w:rsidRDefault="00CE3B8D" w:rsidP="00D2669B">
      <w:pPr>
        <w:pStyle w:val="FootnoteText"/>
      </w:pPr>
      <w:r>
        <w:rPr>
          <w:rStyle w:val="FootnoteReference"/>
        </w:rPr>
        <w:footnoteRef/>
      </w:r>
      <w:r>
        <w:t xml:space="preserve"> отм. ДВ, бр. 13 от 16.02.2016 г.</w:t>
      </w:r>
    </w:p>
  </w:footnote>
  <w:footnote w:id="2">
    <w:p w:rsidR="00CE3B8D" w:rsidRDefault="00CE3B8D">
      <w:pPr>
        <w:pStyle w:val="FootnoteText"/>
      </w:pPr>
      <w:r>
        <w:rPr>
          <w:rStyle w:val="FootnoteReference"/>
        </w:rPr>
        <w:footnoteRef/>
      </w:r>
      <w:r>
        <w:t xml:space="preserve"> </w:t>
      </w:r>
      <w:r w:rsidRPr="00C860A8">
        <w:t>отменен ДВ, бр. 95 от 2015 г., считано от 01.01.2016 г.</w:t>
      </w:r>
    </w:p>
  </w:footnote>
  <w:footnote w:id="3">
    <w:p w:rsidR="00CE3B8D" w:rsidRDefault="00CE3B8D" w:rsidP="00C860A8">
      <w:pPr>
        <w:pStyle w:val="FootnoteText"/>
      </w:pPr>
      <w:r>
        <w:rPr>
          <w:rStyle w:val="FootnoteReference"/>
        </w:rPr>
        <w:footnoteRef/>
      </w:r>
      <w:r>
        <w:t xml:space="preserve"> </w:t>
      </w:r>
      <w:r w:rsidRPr="009A7325">
        <w:t>отм. ДВ. бр.86 от 17.10.2014 г.</w:t>
      </w:r>
    </w:p>
  </w:footnote>
  <w:footnote w:id="4">
    <w:p w:rsidR="00CE3B8D" w:rsidRDefault="00CE3B8D" w:rsidP="004722E8">
      <w:pPr>
        <w:pStyle w:val="FootnoteText"/>
      </w:pPr>
      <w:r>
        <w:rPr>
          <w:rStyle w:val="FootnoteReference"/>
        </w:rPr>
        <w:footnoteRef/>
      </w:r>
      <w:r>
        <w:t xml:space="preserve"> утвърдени с решение на ВСС по протокол № 34/10.09.2009 г.</w:t>
      </w:r>
    </w:p>
  </w:footnote>
  <w:footnote w:id="5">
    <w:p w:rsidR="00CE3B8D" w:rsidRDefault="00CE3B8D">
      <w:pPr>
        <w:pStyle w:val="FootnoteText"/>
      </w:pPr>
      <w:r>
        <w:rPr>
          <w:rStyle w:val="FootnoteReference"/>
        </w:rPr>
        <w:footnoteRef/>
      </w:r>
      <w:r>
        <w:t xml:space="preserve"> и</w:t>
      </w:r>
      <w:r w:rsidRPr="00C86AA3">
        <w:t>здаден</w:t>
      </w:r>
      <w:r>
        <w:t xml:space="preserve"> от Висшия съдебен съвет, обн. </w:t>
      </w:r>
      <w:r w:rsidRPr="00C86AA3">
        <w:t>ДВ, бр. 8 от 28.01.2014 г.</w:t>
      </w:r>
    </w:p>
  </w:footnote>
  <w:footnote w:id="6">
    <w:p w:rsidR="00CE3B8D" w:rsidRPr="00C13DBF" w:rsidRDefault="00CE3B8D" w:rsidP="00B37EDC">
      <w:pPr>
        <w:pStyle w:val="FootnoteText"/>
      </w:pPr>
      <w:r w:rsidRPr="00C13DBF">
        <w:rPr>
          <w:rStyle w:val="FootnoteReference"/>
        </w:rPr>
        <w:footnoteRef/>
      </w:r>
      <w:r w:rsidRPr="00C13DBF">
        <w:t xml:space="preserve"> чл. чл.63-651 ,165-164 и чл.222-223 от НПК</w:t>
      </w:r>
    </w:p>
  </w:footnote>
  <w:footnote w:id="7">
    <w:p w:rsidR="00CE3B8D" w:rsidRPr="00C13DBF" w:rsidRDefault="00CE3B8D" w:rsidP="00B37EDC">
      <w:pPr>
        <w:shd w:val="clear" w:color="auto" w:fill="FEFEFE"/>
        <w:rPr>
          <w:color w:val="000000"/>
          <w:sz w:val="20"/>
          <w:szCs w:val="20"/>
        </w:rPr>
      </w:pPr>
      <w:r w:rsidRPr="00C13DBF">
        <w:rPr>
          <w:rStyle w:val="FootnoteReference"/>
          <w:sz w:val="20"/>
          <w:szCs w:val="20"/>
        </w:rPr>
        <w:footnoteRef/>
      </w:r>
      <w:r w:rsidRPr="00C13DBF">
        <w:rPr>
          <w:sz w:val="20"/>
          <w:szCs w:val="20"/>
        </w:rPr>
        <w:t xml:space="preserve"> чл. 146 от КТ </w:t>
      </w:r>
      <w:r w:rsidRPr="00C13DBF">
        <w:rPr>
          <w:color w:val="000000"/>
          <w:sz w:val="20"/>
          <w:szCs w:val="20"/>
        </w:rPr>
        <w:t>(1) (Изм. - ДВ, бр. 100 от 1992 г.) Продължителността на извънредния труд през една календарна година за един работник или служител не може да надвишава 150 часа.</w:t>
      </w:r>
    </w:p>
    <w:p w:rsidR="00CE3B8D" w:rsidRPr="00C13DBF" w:rsidRDefault="00CE3B8D" w:rsidP="00B37EDC">
      <w:pPr>
        <w:shd w:val="clear" w:color="auto" w:fill="FEFEFE"/>
        <w:rPr>
          <w:color w:val="000000"/>
          <w:sz w:val="20"/>
          <w:szCs w:val="20"/>
        </w:rPr>
      </w:pPr>
      <w:r w:rsidRPr="00C13DBF">
        <w:rPr>
          <w:color w:val="000000"/>
          <w:sz w:val="20"/>
          <w:szCs w:val="20"/>
        </w:rPr>
        <w:t>(2) Продължителността на извънредния труд не може да надвишава:</w:t>
      </w:r>
    </w:p>
    <w:p w:rsidR="00CE3B8D" w:rsidRPr="00C13DBF" w:rsidRDefault="00CE3B8D" w:rsidP="00B37EDC">
      <w:pPr>
        <w:shd w:val="clear" w:color="auto" w:fill="FEFEFE"/>
        <w:rPr>
          <w:color w:val="000000"/>
          <w:sz w:val="20"/>
          <w:szCs w:val="20"/>
        </w:rPr>
      </w:pPr>
      <w:r w:rsidRPr="00C13DBF">
        <w:rPr>
          <w:color w:val="000000"/>
          <w:sz w:val="20"/>
          <w:szCs w:val="20"/>
        </w:rPr>
        <w:t>1. 30 часа дневен или 20 часа нощен труд през 1 календарен месец;</w:t>
      </w:r>
    </w:p>
    <w:p w:rsidR="00CE3B8D" w:rsidRPr="00C13DBF" w:rsidRDefault="00CE3B8D" w:rsidP="00B37EDC">
      <w:pPr>
        <w:shd w:val="clear" w:color="auto" w:fill="FEFEFE"/>
        <w:rPr>
          <w:color w:val="000000"/>
          <w:sz w:val="20"/>
          <w:szCs w:val="20"/>
        </w:rPr>
      </w:pPr>
      <w:r w:rsidRPr="00C13DBF">
        <w:rPr>
          <w:color w:val="000000"/>
          <w:sz w:val="20"/>
          <w:szCs w:val="20"/>
        </w:rPr>
        <w:t>2. 6 часа дневен или 4 часа нощен труд през 1 календарна седмица;</w:t>
      </w:r>
    </w:p>
    <w:p w:rsidR="00CE3B8D" w:rsidRPr="00C13DBF" w:rsidRDefault="00CE3B8D" w:rsidP="00B37EDC">
      <w:pPr>
        <w:shd w:val="clear" w:color="auto" w:fill="FEFEFE"/>
        <w:rPr>
          <w:color w:val="000000"/>
          <w:sz w:val="20"/>
          <w:szCs w:val="20"/>
        </w:rPr>
      </w:pPr>
      <w:r w:rsidRPr="00C13DBF">
        <w:rPr>
          <w:color w:val="000000"/>
          <w:sz w:val="20"/>
          <w:szCs w:val="20"/>
        </w:rPr>
        <w:t>3. 3 часа дневен или 2 часа нощен труд през 2 последователни работни дни.</w:t>
      </w:r>
    </w:p>
    <w:p w:rsidR="00CE3B8D" w:rsidRPr="00C13DBF" w:rsidRDefault="00CE3B8D" w:rsidP="00B37EDC">
      <w:pPr>
        <w:shd w:val="clear" w:color="auto" w:fill="FEFEFE"/>
        <w:rPr>
          <w:sz w:val="20"/>
          <w:szCs w:val="20"/>
        </w:rPr>
      </w:pPr>
      <w:r w:rsidRPr="00C13DBF">
        <w:rPr>
          <w:color w:val="000000"/>
          <w:sz w:val="20"/>
          <w:szCs w:val="20"/>
        </w:rPr>
        <w:t>(3) Ограниченията по предходните алинеи не се прилагат в случаите на</w:t>
      </w:r>
      <w:r w:rsidRPr="00C13DBF">
        <w:rPr>
          <w:rStyle w:val="apple-converted-space"/>
          <w:color w:val="000000"/>
          <w:sz w:val="20"/>
          <w:szCs w:val="20"/>
        </w:rPr>
        <w:t> </w:t>
      </w:r>
      <w:r w:rsidRPr="00C13DBF">
        <w:rPr>
          <w:rStyle w:val="samedocreference"/>
          <w:color w:val="000000"/>
          <w:sz w:val="20"/>
          <w:szCs w:val="20"/>
        </w:rPr>
        <w:t>чл. 144, т. 1 - 3</w:t>
      </w:r>
      <w:r w:rsidRPr="00C13DBF">
        <w:rPr>
          <w:color w:val="000000"/>
          <w:sz w:val="20"/>
          <w:szCs w:val="20"/>
        </w:rPr>
        <w:t>.</w:t>
      </w:r>
    </w:p>
  </w:footnote>
  <w:footnote w:id="8">
    <w:p w:rsidR="00CE3B8D" w:rsidRPr="00C13DBF" w:rsidRDefault="00CE3B8D" w:rsidP="00B37EDC">
      <w:pPr>
        <w:pStyle w:val="FootnoteText"/>
      </w:pPr>
      <w:r w:rsidRPr="00C13DBF">
        <w:rPr>
          <w:rStyle w:val="FootnoteReference"/>
        </w:rPr>
        <w:footnoteRef/>
      </w:r>
      <w:r w:rsidRPr="00C13DBF">
        <w:t xml:space="preserve"> Одитно доказателство №38  </w:t>
      </w:r>
    </w:p>
  </w:footnote>
  <w:footnote w:id="9">
    <w:p w:rsidR="00CE3B8D" w:rsidRPr="00C13DBF" w:rsidRDefault="00CE3B8D" w:rsidP="00B37EDC">
      <w:pPr>
        <w:pStyle w:val="FootnoteText"/>
      </w:pPr>
      <w:r w:rsidRPr="00C13DBF">
        <w:rPr>
          <w:rStyle w:val="FootnoteReference"/>
        </w:rPr>
        <w:footnoteRef/>
      </w:r>
      <w:r w:rsidRPr="00C13DBF">
        <w:t xml:space="preserve"> Одитно доказателство № 39 </w:t>
      </w:r>
    </w:p>
  </w:footnote>
  <w:footnote w:id="10">
    <w:p w:rsidR="00CE3B8D" w:rsidRPr="00C13DBF" w:rsidRDefault="00CE3B8D" w:rsidP="00B37EDC">
      <w:pPr>
        <w:pStyle w:val="FootnoteText"/>
      </w:pPr>
      <w:r w:rsidRPr="00C13DBF">
        <w:rPr>
          <w:rStyle w:val="FootnoteReference"/>
        </w:rPr>
        <w:footnoteRef/>
      </w:r>
      <w:r w:rsidRPr="00C13DBF">
        <w:t xml:space="preserve"> Одитно доказателство № 40</w:t>
      </w:r>
    </w:p>
  </w:footnote>
  <w:footnote w:id="11">
    <w:p w:rsidR="00CE3B8D" w:rsidRPr="00C13DBF" w:rsidRDefault="00CE3B8D">
      <w:pPr>
        <w:pStyle w:val="FootnoteText"/>
      </w:pPr>
      <w:r w:rsidRPr="00C13DBF">
        <w:rPr>
          <w:rStyle w:val="FootnoteReference"/>
        </w:rPr>
        <w:footnoteRef/>
      </w:r>
      <w:r w:rsidRPr="00C13DBF">
        <w:t xml:space="preserve"> по име на вещото лице</w:t>
      </w:r>
    </w:p>
  </w:footnote>
  <w:footnote w:id="12">
    <w:p w:rsidR="00CE3B8D" w:rsidRDefault="00CE3B8D" w:rsidP="00FB069E">
      <w:pPr>
        <w:pStyle w:val="FootnoteText"/>
      </w:pPr>
      <w:r>
        <w:rPr>
          <w:rStyle w:val="FootnoteReference"/>
        </w:rPr>
        <w:footnoteRef/>
      </w:r>
      <w:r>
        <w:t xml:space="preserve"> Издаден от Висшия съдебен съвет, обн. ДВ. бр.8 от 28.01.2014 г., изм. ДВ. бр.53 от 27 Юни 2014г.,</w:t>
      </w:r>
    </w:p>
  </w:footnote>
  <w:footnote w:id="13">
    <w:p w:rsidR="00CE3B8D" w:rsidRPr="00847EBE" w:rsidRDefault="00CE3B8D" w:rsidP="00B76756">
      <w:pPr>
        <w:pStyle w:val="FootnoteText"/>
        <w:jc w:val="both"/>
      </w:pPr>
      <w:r>
        <w:rPr>
          <w:rStyle w:val="FootnoteReference"/>
        </w:rPr>
        <w:footnoteRef/>
      </w:r>
      <w:r>
        <w:t xml:space="preserve"> </w:t>
      </w:r>
      <w:r w:rsidRPr="00B20299">
        <w:rPr>
          <w:bCs/>
          <w:color w:val="000000"/>
          <w:shd w:val="clear" w:color="auto" w:fill="FFFFFF"/>
          <w:lang w:eastAsia="en-US"/>
        </w:rPr>
        <w:t xml:space="preserve">семейни и трудови дела, дела за издръжка и осиновяване, искове по граждански дела с определана цена на </w:t>
      </w:r>
      <w:r w:rsidRPr="00847EBE">
        <w:rPr>
          <w:bCs/>
          <w:shd w:val="clear" w:color="auto" w:fill="FFFFFF"/>
          <w:lang w:eastAsia="en-US"/>
        </w:rPr>
        <w:t>иска и искове за делба на недвижимо имущество</w:t>
      </w:r>
    </w:p>
  </w:footnote>
  <w:footnote w:id="14">
    <w:p w:rsidR="00CE3B8D" w:rsidRPr="00847EBE" w:rsidRDefault="00CE3B8D">
      <w:pPr>
        <w:pStyle w:val="FootnoteText"/>
      </w:pPr>
      <w:r w:rsidRPr="00847EBE">
        <w:rPr>
          <w:rStyle w:val="FootnoteReference"/>
        </w:rPr>
        <w:footnoteRef/>
      </w:r>
      <w:r w:rsidRPr="00847EBE">
        <w:t xml:space="preserve"> които не сa подсъдни на окръжен съд като първа инстанция</w:t>
      </w:r>
    </w:p>
  </w:footnote>
  <w:footnote w:id="15">
    <w:p w:rsidR="00CE3B8D" w:rsidRPr="00847EBE" w:rsidRDefault="00CE3B8D" w:rsidP="00B76756">
      <w:pPr>
        <w:pStyle w:val="FootnoteText"/>
        <w:jc w:val="both"/>
      </w:pPr>
      <w:r w:rsidRPr="00847EBE">
        <w:rPr>
          <w:rStyle w:val="FootnoteReference"/>
        </w:rPr>
        <w:footnoteRef/>
      </w:r>
      <w:r w:rsidRPr="00847EBE">
        <w:t xml:space="preserve"> за налагане на наказания по чл. 78а от Наказателния кодекс; по Указа за борба с дребното хулиганство, по Закона за опазване на обществения ред при провеждането на спортни мероприятия (ЗООРПСМ) и др.</w:t>
      </w:r>
    </w:p>
  </w:footnote>
  <w:footnote w:id="16">
    <w:p w:rsidR="00CE3B8D" w:rsidRPr="00847EBE" w:rsidRDefault="00CE3B8D" w:rsidP="00B76756">
      <w:pPr>
        <w:pStyle w:val="FootnoteText"/>
        <w:jc w:val="both"/>
      </w:pPr>
      <w:r w:rsidRPr="00847EBE">
        <w:rPr>
          <w:rStyle w:val="FootnoteReference"/>
        </w:rPr>
        <w:footnoteRef/>
      </w:r>
      <w:r w:rsidRPr="00847EBE">
        <w:t xml:space="preserve"> по Закона за собствеността и ползването на земеделски земи, по Закона за възстановяване на собствеността върху горите и земите от горския фонд и по някои текстове от Изборния кодекс.</w:t>
      </w:r>
    </w:p>
  </w:footnote>
  <w:footnote w:id="17">
    <w:p w:rsidR="00CE3B8D" w:rsidRPr="00847EBE" w:rsidRDefault="00CE3B8D">
      <w:pPr>
        <w:pStyle w:val="FootnoteText"/>
      </w:pPr>
      <w:r w:rsidRPr="00847EBE">
        <w:rPr>
          <w:rStyle w:val="FootnoteReference"/>
        </w:rPr>
        <w:footnoteRef/>
      </w:r>
      <w:r w:rsidRPr="00847EBE">
        <w:t xml:space="preserve"> </w:t>
      </w:r>
      <w:r>
        <w:t>н</w:t>
      </w:r>
      <w:r w:rsidRPr="00847EBE">
        <w:t>а 22.11.2012 г. е избран от ВСС за председател на Софийския районен съд.</w:t>
      </w:r>
    </w:p>
  </w:footnote>
  <w:footnote w:id="18">
    <w:p w:rsidR="00CE3B8D" w:rsidRDefault="00CE3B8D" w:rsidP="00EE2D6C">
      <w:pPr>
        <w:pStyle w:val="FootnoteText"/>
      </w:pPr>
      <w:r>
        <w:rPr>
          <w:rStyle w:val="FootnoteReference"/>
        </w:rPr>
        <w:footnoteRef/>
      </w:r>
      <w:r>
        <w:t xml:space="preserve"> и</w:t>
      </w:r>
      <w:r w:rsidRPr="009C69DD">
        <w:t>здаден от Висшия съдебен съвет, обн., ДВ, бр. 8 от 28.01.2014 г.</w:t>
      </w:r>
    </w:p>
  </w:footnote>
  <w:footnote w:id="19">
    <w:p w:rsidR="00CE3B8D" w:rsidRPr="00D74305" w:rsidRDefault="00CE3B8D" w:rsidP="001A34F9">
      <w:pPr>
        <w:pStyle w:val="FootnoteText"/>
      </w:pPr>
      <w:r w:rsidRPr="00D74305">
        <w:rPr>
          <w:rStyle w:val="FootnoteReference"/>
        </w:rPr>
        <w:footnoteRef/>
      </w:r>
      <w:r w:rsidRPr="00D74305">
        <w:t xml:space="preserve"> О</w:t>
      </w:r>
      <w:r>
        <w:t>дитно доказателство</w:t>
      </w:r>
      <w:r w:rsidRPr="00D74305">
        <w:t xml:space="preserve"> № 2  </w:t>
      </w:r>
    </w:p>
  </w:footnote>
  <w:footnote w:id="20">
    <w:p w:rsidR="00CE3B8D" w:rsidRDefault="00CE3B8D">
      <w:pPr>
        <w:pStyle w:val="FootnoteText"/>
      </w:pPr>
      <w:r>
        <w:rPr>
          <w:rStyle w:val="FootnoteReference"/>
        </w:rPr>
        <w:footnoteRef/>
      </w:r>
      <w:r>
        <w:t xml:space="preserve"> </w:t>
      </w:r>
      <w:r w:rsidRPr="00763F6A">
        <w:t>Указания за подготовка на бюджетните прогнози за периода 2014 – 2016 г.</w:t>
      </w:r>
    </w:p>
  </w:footnote>
  <w:footnote w:id="21">
    <w:p w:rsidR="00CE3B8D" w:rsidRDefault="00CE3B8D">
      <w:pPr>
        <w:pStyle w:val="FootnoteText"/>
      </w:pPr>
      <w:r>
        <w:rPr>
          <w:rStyle w:val="FootnoteReference"/>
        </w:rPr>
        <w:footnoteRef/>
      </w:r>
      <w:r>
        <w:t xml:space="preserve"> </w:t>
      </w:r>
      <w:r w:rsidRPr="00763F6A">
        <w:t>Указания за подготовка и представянето на проектобюджетите на първостепенни</w:t>
      </w:r>
      <w:r>
        <w:t xml:space="preserve">те разпоредители с бюджет </w:t>
      </w:r>
      <w:r w:rsidRPr="00763F6A">
        <w:t>за 2014 г.</w:t>
      </w:r>
      <w:r w:rsidRPr="00763F6A">
        <w:rPr>
          <w:rFonts w:eastAsia="Calibri"/>
          <w:spacing w:val="-4"/>
          <w:lang w:eastAsia="en-US"/>
        </w:rPr>
        <w:t xml:space="preserve"> </w:t>
      </w:r>
      <w:r w:rsidRPr="00B25BD1">
        <w:rPr>
          <w:rFonts w:eastAsia="Calibri"/>
          <w:spacing w:val="-4"/>
          <w:lang w:eastAsia="en-US"/>
        </w:rPr>
        <w:t>и на актуализираните им бюджетни прогнози за 2015 г. и 2016 г.</w:t>
      </w:r>
    </w:p>
  </w:footnote>
  <w:footnote w:id="22">
    <w:p w:rsidR="00CE3B8D" w:rsidRDefault="00CE3B8D">
      <w:pPr>
        <w:pStyle w:val="FootnoteText"/>
      </w:pPr>
      <w:r>
        <w:rPr>
          <w:rStyle w:val="FootnoteReference"/>
        </w:rPr>
        <w:footnoteRef/>
      </w:r>
      <w:r>
        <w:t xml:space="preserve"> </w:t>
      </w:r>
      <w:r w:rsidRPr="00B25BD1">
        <w:rPr>
          <w:rFonts w:eastAsia="Calibri"/>
          <w:spacing w:val="-4"/>
          <w:lang w:eastAsia="en-US"/>
        </w:rPr>
        <w:t>промените в Закона за съдебната власт, АПК, НПК и др.</w:t>
      </w:r>
    </w:p>
  </w:footnote>
  <w:footnote w:id="23">
    <w:p w:rsidR="00CE3B8D" w:rsidRPr="00065B47" w:rsidRDefault="00CE3B8D">
      <w:pPr>
        <w:pStyle w:val="FootnoteText"/>
      </w:pPr>
      <w:r w:rsidRPr="00065B47">
        <w:rPr>
          <w:rStyle w:val="FootnoteReference"/>
        </w:rPr>
        <w:footnoteRef/>
      </w:r>
      <w:r w:rsidRPr="00065B47">
        <w:t xml:space="preserve"> О</w:t>
      </w:r>
      <w:r>
        <w:t>дитно даказателство</w:t>
      </w:r>
      <w:r w:rsidRPr="00065B47">
        <w:t xml:space="preserve"> № 2    </w:t>
      </w:r>
    </w:p>
  </w:footnote>
  <w:footnote w:id="24">
    <w:p w:rsidR="00CE3B8D" w:rsidRPr="000E2C19" w:rsidRDefault="00CE3B8D" w:rsidP="00DD3D31">
      <w:pPr>
        <w:pStyle w:val="FootnoteText"/>
      </w:pPr>
      <w:r>
        <w:rPr>
          <w:rStyle w:val="FootnoteReference"/>
        </w:rPr>
        <w:footnoteRef/>
      </w:r>
      <w:r>
        <w:t xml:space="preserve"> Одитно доказателство </w:t>
      </w:r>
      <w:r w:rsidRPr="00DE7F2B">
        <w:t>№</w:t>
      </w:r>
      <w:r>
        <w:t xml:space="preserve"> </w:t>
      </w:r>
      <w:r w:rsidRPr="00DE7F2B">
        <w:t>4</w:t>
      </w:r>
      <w:r>
        <w:t xml:space="preserve">  </w:t>
      </w:r>
    </w:p>
  </w:footnote>
  <w:footnote w:id="25">
    <w:p w:rsidR="00CE3B8D" w:rsidRDefault="00CE3B8D">
      <w:pPr>
        <w:pStyle w:val="FootnoteText"/>
      </w:pPr>
      <w:r>
        <w:rPr>
          <w:rStyle w:val="FootnoteReference"/>
        </w:rPr>
        <w:footnoteRef/>
      </w:r>
      <w:r>
        <w:t xml:space="preserve"> Одитно доказателство № 1</w:t>
      </w:r>
    </w:p>
  </w:footnote>
  <w:footnote w:id="26">
    <w:p w:rsidR="00CE3B8D" w:rsidRPr="00697422" w:rsidRDefault="00CE3B8D" w:rsidP="004951C3">
      <w:pPr>
        <w:pStyle w:val="FootnoteText"/>
      </w:pPr>
      <w:r>
        <w:rPr>
          <w:rStyle w:val="FootnoteReference"/>
        </w:rPr>
        <w:footnoteRef/>
      </w:r>
      <w:r>
        <w:t xml:space="preserve"> </w:t>
      </w:r>
      <w:r w:rsidRPr="00203814">
        <w:t xml:space="preserve">Закона за устройство на </w:t>
      </w:r>
      <w:r>
        <w:t>държавния бюджет</w:t>
      </w:r>
      <w:r w:rsidRPr="00203814">
        <w:t xml:space="preserve"> </w:t>
      </w:r>
      <w:r>
        <w:t>(</w:t>
      </w:r>
      <w:r w:rsidRPr="00203814">
        <w:t>отм</w:t>
      </w:r>
      <w:r>
        <w:t>)</w:t>
      </w:r>
      <w:r w:rsidRPr="00203814">
        <w:t>, старши експерт-юрисконсулт</w:t>
      </w:r>
    </w:p>
  </w:footnote>
  <w:footnote w:id="27">
    <w:p w:rsidR="00CE3B8D" w:rsidRPr="00A90676" w:rsidRDefault="00CE3B8D" w:rsidP="004951C3">
      <w:pPr>
        <w:pStyle w:val="FootnoteText"/>
      </w:pPr>
      <w:r w:rsidRPr="006D7552">
        <w:rPr>
          <w:rStyle w:val="FootnoteReference"/>
        </w:rPr>
        <w:footnoteRef/>
      </w:r>
      <w:r w:rsidRPr="006D7552">
        <w:t xml:space="preserve"> </w:t>
      </w:r>
      <w:r w:rsidRPr="00800A45">
        <w:t>на 01.10.2015 г.</w:t>
      </w:r>
      <w:r>
        <w:t xml:space="preserve">, </w:t>
      </w:r>
      <w:r w:rsidRPr="00A90676">
        <w:t>О</w:t>
      </w:r>
      <w:r>
        <w:t>дитно доказателство</w:t>
      </w:r>
      <w:r w:rsidRPr="00A90676">
        <w:t xml:space="preserve"> № 1а </w:t>
      </w:r>
    </w:p>
  </w:footnote>
  <w:footnote w:id="28">
    <w:p w:rsidR="00CE3B8D" w:rsidRDefault="00CE3B8D" w:rsidP="005C208B">
      <w:pPr>
        <w:pStyle w:val="FootnoteText"/>
        <w:jc w:val="both"/>
      </w:pPr>
      <w:r>
        <w:rPr>
          <w:rStyle w:val="FootnoteReference"/>
        </w:rPr>
        <w:footnoteRef/>
      </w:r>
      <w:r>
        <w:t xml:space="preserve"> </w:t>
      </w:r>
      <w:r w:rsidRPr="00B25BD1">
        <w:t>45 бр</w:t>
      </w:r>
      <w:r>
        <w:t>.</w:t>
      </w:r>
      <w:r w:rsidRPr="00B25BD1">
        <w:t xml:space="preserve"> граждански дела, 30 бр</w:t>
      </w:r>
      <w:r>
        <w:t>.</w:t>
      </w:r>
      <w:r w:rsidRPr="00B25BD1">
        <w:t xml:space="preserve"> изпълнителни дела и 25 бр</w:t>
      </w:r>
      <w:r>
        <w:t>.</w:t>
      </w:r>
      <w:r w:rsidRPr="00B25BD1">
        <w:t xml:space="preserve"> наказателни дела от частен характер</w:t>
      </w:r>
      <w:r>
        <w:t xml:space="preserve"> -. дела, заведени от застрахователни дружества срещу физически лица и други застрахователни дружества, съдебни поръчки, бракоразводни дела, дела, произтичащи от трудови правоотношения, дела за промяна на име, дела за обезпечение на бъдещи искове</w:t>
      </w:r>
    </w:p>
  </w:footnote>
  <w:footnote w:id="29">
    <w:p w:rsidR="00CE3B8D" w:rsidRPr="00CF7699" w:rsidRDefault="00CE3B8D" w:rsidP="006A61B8">
      <w:pPr>
        <w:pStyle w:val="FootnoteText"/>
      </w:pPr>
      <w:r w:rsidRPr="00CF7699">
        <w:rPr>
          <w:rStyle w:val="FootnoteReference"/>
        </w:rPr>
        <w:footnoteRef/>
      </w:r>
      <w:r w:rsidRPr="00CF7699">
        <w:t xml:space="preserve"> </w:t>
      </w:r>
      <w:r w:rsidRPr="00DE7F2B">
        <w:t>О</w:t>
      </w:r>
      <w:r>
        <w:t>дитни доказателства №</w:t>
      </w:r>
      <w:r w:rsidRPr="00DE7F2B">
        <w:t>№ 7</w:t>
      </w:r>
      <w:r w:rsidRPr="00CF7699">
        <w:t xml:space="preserve"> </w:t>
      </w:r>
      <w:r>
        <w:t>и 8</w:t>
      </w:r>
    </w:p>
  </w:footnote>
  <w:footnote w:id="30">
    <w:p w:rsidR="00CE3B8D" w:rsidRPr="00AA7A7A" w:rsidRDefault="00CE3B8D">
      <w:pPr>
        <w:pStyle w:val="FootnoteText"/>
      </w:pPr>
      <w:r w:rsidRPr="00AA7A7A">
        <w:rPr>
          <w:rStyle w:val="FootnoteReference"/>
        </w:rPr>
        <w:footnoteRef/>
      </w:r>
      <w:r w:rsidRPr="00AA7A7A">
        <w:t xml:space="preserve"> </w:t>
      </w:r>
      <w:r>
        <w:t>ч</w:t>
      </w:r>
      <w:r w:rsidRPr="00AA7A7A">
        <w:t>л. 83, ал. 2 от ГПК</w:t>
      </w:r>
    </w:p>
  </w:footnote>
  <w:footnote w:id="31">
    <w:p w:rsidR="00CE3B8D" w:rsidRPr="00CF7699" w:rsidRDefault="00CE3B8D" w:rsidP="00FD3811">
      <w:pPr>
        <w:pStyle w:val="FootnoteText"/>
      </w:pPr>
      <w:r>
        <w:rPr>
          <w:rStyle w:val="FootnoteReference"/>
        </w:rPr>
        <w:footnoteRef/>
      </w:r>
      <w:r>
        <w:rPr>
          <w:rStyle w:val="FootnoteReference"/>
        </w:rPr>
        <w:t xml:space="preserve"> </w:t>
      </w:r>
      <w:r w:rsidRPr="00DE7F2B">
        <w:t>О</w:t>
      </w:r>
      <w:r>
        <w:t xml:space="preserve">дитно доказателство </w:t>
      </w:r>
      <w:r w:rsidRPr="00DE7F2B">
        <w:t>№ 5</w:t>
      </w:r>
      <w:r w:rsidRPr="00CF7699">
        <w:t xml:space="preserve"> </w:t>
      </w:r>
    </w:p>
  </w:footnote>
  <w:footnote w:id="32">
    <w:p w:rsidR="00CE3B8D" w:rsidRPr="00CF7699" w:rsidRDefault="00CE3B8D" w:rsidP="00FD3811">
      <w:pPr>
        <w:pStyle w:val="FootnoteText"/>
      </w:pPr>
      <w:r w:rsidRPr="00CF7699">
        <w:rPr>
          <w:rStyle w:val="FootnoteReference"/>
        </w:rPr>
        <w:footnoteRef/>
      </w:r>
      <w:r w:rsidRPr="00CF7699">
        <w:t xml:space="preserve"> </w:t>
      </w:r>
      <w:r w:rsidRPr="00DE7F2B">
        <w:t>О</w:t>
      </w:r>
      <w:r>
        <w:t>дитно доказателство</w:t>
      </w:r>
      <w:r w:rsidRPr="00DE7F2B">
        <w:t xml:space="preserve"> № 6</w:t>
      </w:r>
      <w:r w:rsidRPr="00CF7699">
        <w:t xml:space="preserve"> </w:t>
      </w:r>
    </w:p>
  </w:footnote>
  <w:footnote w:id="33">
    <w:p w:rsidR="00CE3B8D" w:rsidRPr="00CF7699" w:rsidRDefault="00CE3B8D">
      <w:pPr>
        <w:pStyle w:val="FootnoteText"/>
      </w:pPr>
      <w:r w:rsidRPr="00DE7F2B">
        <w:rPr>
          <w:rStyle w:val="FootnoteReference"/>
        </w:rPr>
        <w:footnoteRef/>
      </w:r>
      <w:r>
        <w:t xml:space="preserve"> </w:t>
      </w:r>
      <w:r w:rsidRPr="00DE7F2B">
        <w:t>О</w:t>
      </w:r>
      <w:r>
        <w:t>дитно доказателство</w:t>
      </w:r>
      <w:r w:rsidRPr="00DE7F2B">
        <w:t xml:space="preserve"> № 9</w:t>
      </w:r>
      <w:r w:rsidRPr="00CF7699">
        <w:t xml:space="preserve"> </w:t>
      </w:r>
    </w:p>
  </w:footnote>
  <w:footnote w:id="34">
    <w:p w:rsidR="00CE3B8D" w:rsidRPr="00CF7699" w:rsidRDefault="00CE3B8D" w:rsidP="00FD3811">
      <w:pPr>
        <w:pStyle w:val="FootnoteText"/>
      </w:pPr>
      <w:r w:rsidRPr="00CF7699">
        <w:rPr>
          <w:rStyle w:val="FootnoteReference"/>
        </w:rPr>
        <w:footnoteRef/>
      </w:r>
      <w:r w:rsidRPr="00CF7699">
        <w:t xml:space="preserve"> </w:t>
      </w:r>
      <w:r w:rsidRPr="00DE7F2B">
        <w:t>О</w:t>
      </w:r>
      <w:r>
        <w:t>дитно доказателство</w:t>
      </w:r>
      <w:r w:rsidRPr="00DE7F2B">
        <w:t xml:space="preserve"> № 10</w:t>
      </w:r>
      <w:r w:rsidRPr="00CF7699">
        <w:t xml:space="preserve"> </w:t>
      </w:r>
    </w:p>
  </w:footnote>
  <w:footnote w:id="35">
    <w:p w:rsidR="00CE3B8D" w:rsidRPr="00CF7699" w:rsidRDefault="00CE3B8D" w:rsidP="00FD3811">
      <w:pPr>
        <w:pStyle w:val="FootnoteText"/>
      </w:pPr>
      <w:r w:rsidRPr="00CF7699">
        <w:rPr>
          <w:rStyle w:val="FootnoteReference"/>
        </w:rPr>
        <w:footnoteRef/>
      </w:r>
      <w:r w:rsidRPr="00CF7699">
        <w:t xml:space="preserve"> </w:t>
      </w:r>
      <w:r w:rsidRPr="00DE7F2B">
        <w:t>О</w:t>
      </w:r>
      <w:r>
        <w:t>дитно доказателство</w:t>
      </w:r>
      <w:r w:rsidRPr="00DE7F2B">
        <w:t xml:space="preserve"> № 11</w:t>
      </w:r>
      <w:r w:rsidRPr="00CF7699">
        <w:t xml:space="preserve"> </w:t>
      </w:r>
    </w:p>
  </w:footnote>
  <w:footnote w:id="36">
    <w:p w:rsidR="00CE3B8D" w:rsidRPr="00CF7699" w:rsidRDefault="00CE3B8D" w:rsidP="00FD3811">
      <w:pPr>
        <w:pStyle w:val="FootnoteText"/>
      </w:pPr>
      <w:r w:rsidRPr="00CF7699">
        <w:rPr>
          <w:rStyle w:val="FootnoteReference"/>
        </w:rPr>
        <w:footnoteRef/>
      </w:r>
      <w:r w:rsidRPr="00CF7699">
        <w:t xml:space="preserve"> </w:t>
      </w:r>
      <w:r w:rsidRPr="00DE7F2B">
        <w:t>О</w:t>
      </w:r>
      <w:r>
        <w:t xml:space="preserve">дитни доказателства №№ </w:t>
      </w:r>
      <w:r w:rsidRPr="00DE7F2B">
        <w:t>12</w:t>
      </w:r>
      <w:r w:rsidRPr="00CF7699">
        <w:t xml:space="preserve"> </w:t>
      </w:r>
      <w:r>
        <w:t>и 13</w:t>
      </w:r>
    </w:p>
  </w:footnote>
  <w:footnote w:id="37">
    <w:p w:rsidR="00CE3B8D" w:rsidRPr="006F48D1" w:rsidRDefault="00CE3B8D" w:rsidP="005F3825">
      <w:pPr>
        <w:pStyle w:val="FootnoteText"/>
      </w:pPr>
      <w:r w:rsidRPr="006F48D1">
        <w:rPr>
          <w:rStyle w:val="FootnoteReference"/>
        </w:rPr>
        <w:footnoteRef/>
      </w:r>
      <w:r>
        <w:t xml:space="preserve"> </w:t>
      </w:r>
      <w:r w:rsidRPr="00DE7F2B">
        <w:t>О</w:t>
      </w:r>
      <w:r>
        <w:t xml:space="preserve">дитно доказателство </w:t>
      </w:r>
      <w:r w:rsidRPr="006F48D1">
        <w:t xml:space="preserve">№ 14 </w:t>
      </w:r>
    </w:p>
  </w:footnote>
  <w:footnote w:id="38">
    <w:p w:rsidR="00CE3B8D" w:rsidRPr="00AA7A7A" w:rsidRDefault="00CE3B8D" w:rsidP="00B76756">
      <w:pPr>
        <w:pStyle w:val="FootnoteText"/>
        <w:jc w:val="both"/>
      </w:pPr>
      <w:r w:rsidRPr="00AA7A7A">
        <w:rPr>
          <w:rStyle w:val="FootnoteReference"/>
        </w:rPr>
        <w:footnoteRef/>
      </w:r>
      <w:r w:rsidRPr="00AA7A7A">
        <w:t xml:space="preserve"> чл. 405, ал</w:t>
      </w:r>
      <w:r>
        <w:t>.</w:t>
      </w:r>
      <w:r w:rsidRPr="00AA7A7A">
        <w:t>1 от ГПК</w:t>
      </w:r>
      <w:r>
        <w:t xml:space="preserve"> -</w:t>
      </w:r>
      <w:r w:rsidRPr="00AA7A7A">
        <w:t xml:space="preserve"> </w:t>
      </w:r>
      <w:r>
        <w:t>„</w:t>
      </w:r>
      <w:r w:rsidRPr="00AA7A7A">
        <w:t>Изпълнителен лист се издава след писмена молба въз основа на влязъл в сила акт по</w:t>
      </w:r>
      <w:r>
        <w:br/>
      </w:r>
      <w:r w:rsidRPr="00AA7A7A">
        <w:t>чл. 404 от ГПК</w:t>
      </w:r>
      <w:r>
        <w:t>“</w:t>
      </w:r>
    </w:p>
  </w:footnote>
  <w:footnote w:id="39">
    <w:p w:rsidR="00CE3B8D" w:rsidRPr="00CF7699" w:rsidRDefault="00CE3B8D" w:rsidP="00FD3811">
      <w:pPr>
        <w:pStyle w:val="FootnoteText"/>
      </w:pPr>
      <w:r w:rsidRPr="00DE7F2B">
        <w:rPr>
          <w:rStyle w:val="FootnoteReference"/>
        </w:rPr>
        <w:footnoteRef/>
      </w:r>
      <w:r>
        <w:t xml:space="preserve"> </w:t>
      </w:r>
      <w:r w:rsidRPr="00DE7F2B">
        <w:t>О</w:t>
      </w:r>
      <w:r>
        <w:t>дитно доказателство</w:t>
      </w:r>
      <w:r w:rsidRPr="00DE7F2B">
        <w:t xml:space="preserve"> № 15</w:t>
      </w:r>
      <w:r w:rsidRPr="00CF7699">
        <w:t xml:space="preserve"> </w:t>
      </w:r>
    </w:p>
  </w:footnote>
  <w:footnote w:id="40">
    <w:p w:rsidR="00CE3B8D" w:rsidRDefault="00CE3B8D">
      <w:pPr>
        <w:pStyle w:val="FootnoteText"/>
      </w:pPr>
      <w:r>
        <w:rPr>
          <w:rStyle w:val="FootnoteReference"/>
        </w:rPr>
        <w:footnoteRef/>
      </w:r>
      <w:r>
        <w:t xml:space="preserve"> в размер 5 лв.</w:t>
      </w:r>
    </w:p>
  </w:footnote>
  <w:footnote w:id="41">
    <w:p w:rsidR="00CE3B8D" w:rsidRPr="00CF7699" w:rsidRDefault="00CE3B8D" w:rsidP="00FD3811">
      <w:pPr>
        <w:pStyle w:val="FootnoteText"/>
      </w:pPr>
      <w:r w:rsidRPr="00DE7F2B">
        <w:rPr>
          <w:rStyle w:val="FootnoteReference"/>
        </w:rPr>
        <w:footnoteRef/>
      </w:r>
      <w:r>
        <w:t xml:space="preserve"> </w:t>
      </w:r>
      <w:r w:rsidRPr="00DE7F2B">
        <w:t>О</w:t>
      </w:r>
      <w:r>
        <w:t xml:space="preserve">дитно доказателство </w:t>
      </w:r>
      <w:r w:rsidRPr="00DE7F2B">
        <w:t>№ 16</w:t>
      </w:r>
      <w:r w:rsidRPr="00CF7699">
        <w:t xml:space="preserve"> </w:t>
      </w:r>
    </w:p>
  </w:footnote>
  <w:footnote w:id="42">
    <w:p w:rsidR="00CE3B8D" w:rsidRPr="00CF7699" w:rsidRDefault="00CE3B8D" w:rsidP="00FD3811">
      <w:pPr>
        <w:pStyle w:val="FootnoteText"/>
      </w:pPr>
      <w:r w:rsidRPr="00CF7699">
        <w:rPr>
          <w:rStyle w:val="FootnoteReference"/>
        </w:rPr>
        <w:footnoteRef/>
      </w:r>
      <w:r w:rsidRPr="00CF7699">
        <w:t xml:space="preserve"> </w:t>
      </w:r>
      <w:r w:rsidRPr="00DE7F2B">
        <w:t>О</w:t>
      </w:r>
      <w:r>
        <w:t>дитно доказателство</w:t>
      </w:r>
      <w:r w:rsidRPr="00DE7F2B">
        <w:t xml:space="preserve"> № 17</w:t>
      </w:r>
      <w:r w:rsidRPr="00CF7699">
        <w:t xml:space="preserve"> </w:t>
      </w:r>
    </w:p>
  </w:footnote>
  <w:footnote w:id="43">
    <w:p w:rsidR="00CE3B8D" w:rsidRPr="00CF7699" w:rsidRDefault="00CE3B8D" w:rsidP="00FD3811">
      <w:pPr>
        <w:pStyle w:val="FootnoteText"/>
      </w:pPr>
      <w:r w:rsidRPr="00CF7699">
        <w:rPr>
          <w:rStyle w:val="FootnoteReference"/>
        </w:rPr>
        <w:footnoteRef/>
      </w:r>
      <w:r w:rsidRPr="00CF7699">
        <w:t xml:space="preserve"> </w:t>
      </w:r>
      <w:r w:rsidRPr="00DE7F2B">
        <w:t>О</w:t>
      </w:r>
      <w:r>
        <w:t>дитно доказателство</w:t>
      </w:r>
      <w:r w:rsidRPr="00DE7F2B">
        <w:t xml:space="preserve"> № 18 </w:t>
      </w:r>
    </w:p>
  </w:footnote>
  <w:footnote w:id="44">
    <w:p w:rsidR="00CE3B8D" w:rsidRPr="00CF7699" w:rsidRDefault="00CE3B8D" w:rsidP="00FD3811">
      <w:pPr>
        <w:pStyle w:val="FootnoteText"/>
      </w:pPr>
      <w:r w:rsidRPr="00CF7699">
        <w:rPr>
          <w:rStyle w:val="FootnoteReference"/>
        </w:rPr>
        <w:footnoteRef/>
      </w:r>
      <w:r w:rsidRPr="00CF7699">
        <w:t xml:space="preserve"> </w:t>
      </w:r>
      <w:r w:rsidRPr="00DE7F2B">
        <w:t>О</w:t>
      </w:r>
      <w:r>
        <w:t>дитни доказателства</w:t>
      </w:r>
      <w:r w:rsidRPr="00DE7F2B">
        <w:t xml:space="preserve"> </w:t>
      </w:r>
      <w:r>
        <w:t>№</w:t>
      </w:r>
      <w:r w:rsidRPr="00DE7F2B">
        <w:t>№</w:t>
      </w:r>
      <w:r>
        <w:t xml:space="preserve"> </w:t>
      </w:r>
      <w:r w:rsidRPr="00DE7F2B">
        <w:t>19</w:t>
      </w:r>
      <w:r>
        <w:t xml:space="preserve"> и 16</w:t>
      </w:r>
    </w:p>
  </w:footnote>
  <w:footnote w:id="45">
    <w:p w:rsidR="00CE3B8D" w:rsidRPr="005F3825" w:rsidRDefault="00CE3B8D" w:rsidP="00FD3811">
      <w:pPr>
        <w:pStyle w:val="FootnoteText"/>
      </w:pPr>
      <w:r w:rsidRPr="005F3825">
        <w:rPr>
          <w:rStyle w:val="FootnoteReference"/>
        </w:rPr>
        <w:footnoteRef/>
      </w:r>
      <w:r w:rsidRPr="005F3825">
        <w:t xml:space="preserve"> </w:t>
      </w:r>
      <w:r>
        <w:t>Одитно доказателство № 80</w:t>
      </w:r>
    </w:p>
  </w:footnote>
  <w:footnote w:id="46">
    <w:p w:rsidR="00CE3B8D" w:rsidRDefault="00CE3B8D">
      <w:pPr>
        <w:pStyle w:val="FootnoteText"/>
      </w:pPr>
      <w:r>
        <w:rPr>
          <w:rStyle w:val="FootnoteReference"/>
        </w:rPr>
        <w:footnoteRef/>
      </w:r>
      <w:r>
        <w:t xml:space="preserve"> </w:t>
      </w:r>
      <w:r w:rsidRPr="00DE7F2B">
        <w:t>О</w:t>
      </w:r>
      <w:r>
        <w:t xml:space="preserve">дитни доказателства </w:t>
      </w:r>
      <w:r w:rsidRPr="00DE7F2B">
        <w:t>№</w:t>
      </w:r>
      <w:r>
        <w:t>№ 8 и</w:t>
      </w:r>
      <w:r w:rsidRPr="00DE7F2B">
        <w:t xml:space="preserve"> 1</w:t>
      </w:r>
      <w:r>
        <w:t>1</w:t>
      </w:r>
    </w:p>
  </w:footnote>
  <w:footnote w:id="47">
    <w:p w:rsidR="00CE3B8D" w:rsidRDefault="00CE3B8D" w:rsidP="00B76756">
      <w:pPr>
        <w:pStyle w:val="FootnoteText"/>
        <w:jc w:val="both"/>
      </w:pPr>
      <w:r>
        <w:rPr>
          <w:rStyle w:val="FootnoteReference"/>
        </w:rPr>
        <w:footnoteRef/>
      </w:r>
      <w:r>
        <w:t xml:space="preserve"> Одитно доказателство № 81</w:t>
      </w:r>
    </w:p>
  </w:footnote>
  <w:footnote w:id="48">
    <w:p w:rsidR="00CE3B8D" w:rsidRDefault="00CE3B8D">
      <w:pPr>
        <w:pStyle w:val="FootnoteText"/>
      </w:pPr>
      <w:r>
        <w:rPr>
          <w:rStyle w:val="FootnoteReference"/>
        </w:rPr>
        <w:footnoteRef/>
      </w:r>
      <w:r>
        <w:t xml:space="preserve"> Одитно доказателство</w:t>
      </w:r>
      <w:r w:rsidRPr="00DE7F2B">
        <w:t xml:space="preserve"> № 1</w:t>
      </w:r>
      <w:r>
        <w:t>5</w:t>
      </w:r>
    </w:p>
  </w:footnote>
  <w:footnote w:id="49">
    <w:p w:rsidR="00CE3B8D" w:rsidRPr="00DE7F2B" w:rsidRDefault="00CE3B8D" w:rsidP="002D4857">
      <w:pPr>
        <w:pStyle w:val="FootnoteText"/>
      </w:pPr>
      <w:r w:rsidRPr="00DE7F2B">
        <w:rPr>
          <w:rStyle w:val="FootnoteReference"/>
        </w:rPr>
        <w:footnoteRef/>
      </w:r>
      <w:r w:rsidRPr="00DE7F2B">
        <w:t xml:space="preserve"> </w:t>
      </w:r>
      <w:r>
        <w:t>Одитно доказателство</w:t>
      </w:r>
      <w:r w:rsidRPr="00DE7F2B">
        <w:t xml:space="preserve"> № 21  </w:t>
      </w:r>
    </w:p>
  </w:footnote>
  <w:footnote w:id="50">
    <w:p w:rsidR="00CE3B8D" w:rsidRPr="005F54B2" w:rsidRDefault="00CE3B8D" w:rsidP="00333666">
      <w:pPr>
        <w:pStyle w:val="FootnoteText"/>
        <w:jc w:val="both"/>
      </w:pPr>
      <w:r w:rsidRPr="005F54B2">
        <w:rPr>
          <w:rStyle w:val="FootnoteReference"/>
        </w:rPr>
        <w:footnoteRef/>
      </w:r>
      <w:r w:rsidRPr="005F54B2">
        <w:t xml:space="preserve"> Ст</w:t>
      </w:r>
      <w:r>
        <w:t>арши</w:t>
      </w:r>
      <w:r w:rsidRPr="005F54B2">
        <w:t xml:space="preserve"> специалист плащания, главен специалист Човешки ресурси, съдебен администратор, младши специалист Човешки ресурси и Началник Служба </w:t>
      </w:r>
    </w:p>
  </w:footnote>
  <w:footnote w:id="51">
    <w:p w:rsidR="00CE3B8D" w:rsidRPr="00CF7699" w:rsidRDefault="00CE3B8D" w:rsidP="002D4857">
      <w:pPr>
        <w:pStyle w:val="FootnoteText"/>
      </w:pPr>
      <w:r w:rsidRPr="009C7E22">
        <w:rPr>
          <w:rStyle w:val="FootnoteReference"/>
        </w:rPr>
        <w:footnoteRef/>
      </w:r>
      <w:r w:rsidRPr="009C7E22">
        <w:t xml:space="preserve"> </w:t>
      </w:r>
      <w:r w:rsidRPr="00DE7F2B">
        <w:t>О</w:t>
      </w:r>
      <w:r>
        <w:t>дитно доказателство</w:t>
      </w:r>
      <w:r w:rsidRPr="00DE7F2B">
        <w:t xml:space="preserve"> № 20</w:t>
      </w:r>
      <w:r w:rsidRPr="00CF7699">
        <w:t xml:space="preserve">  </w:t>
      </w:r>
    </w:p>
  </w:footnote>
  <w:footnote w:id="52">
    <w:p w:rsidR="00CE3B8D" w:rsidRPr="00DE7F2B" w:rsidRDefault="00CE3B8D">
      <w:pPr>
        <w:pStyle w:val="FootnoteText"/>
      </w:pPr>
      <w:r w:rsidRPr="00DE7F2B">
        <w:rPr>
          <w:rStyle w:val="FootnoteReference"/>
        </w:rPr>
        <w:footnoteRef/>
      </w:r>
      <w:r>
        <w:t xml:space="preserve"> </w:t>
      </w:r>
      <w:r w:rsidRPr="00DE7F2B">
        <w:t>О</w:t>
      </w:r>
      <w:r>
        <w:t>дитно доказателство</w:t>
      </w:r>
      <w:r w:rsidRPr="00DE7F2B">
        <w:t xml:space="preserve"> № 22   </w:t>
      </w:r>
    </w:p>
  </w:footnote>
  <w:footnote w:id="53">
    <w:p w:rsidR="00CE3B8D" w:rsidRPr="00DE7F2B" w:rsidRDefault="00CE3B8D">
      <w:pPr>
        <w:pStyle w:val="FootnoteText"/>
      </w:pPr>
      <w:r w:rsidRPr="00DE7F2B">
        <w:rPr>
          <w:rStyle w:val="FootnoteReference"/>
        </w:rPr>
        <w:footnoteRef/>
      </w:r>
      <w:r w:rsidRPr="00DE7F2B">
        <w:t xml:space="preserve"> О</w:t>
      </w:r>
      <w:r>
        <w:t>дитно доказателство</w:t>
      </w:r>
      <w:r w:rsidRPr="00DE7F2B">
        <w:t xml:space="preserve"> № 23  </w:t>
      </w:r>
    </w:p>
  </w:footnote>
  <w:footnote w:id="54">
    <w:p w:rsidR="00CE3B8D" w:rsidRPr="00CF7699" w:rsidRDefault="00CE3B8D" w:rsidP="00956C76">
      <w:pPr>
        <w:pStyle w:val="FootnoteText"/>
      </w:pPr>
      <w:r w:rsidRPr="00DE7F2B">
        <w:rPr>
          <w:rStyle w:val="FootnoteReference"/>
        </w:rPr>
        <w:footnoteRef/>
      </w:r>
      <w:r>
        <w:t xml:space="preserve"> </w:t>
      </w:r>
      <w:r w:rsidRPr="00DE7F2B">
        <w:t>О</w:t>
      </w:r>
      <w:r>
        <w:t>дитно доказателство</w:t>
      </w:r>
      <w:r w:rsidRPr="00DE7F2B">
        <w:t xml:space="preserve"> № 24</w:t>
      </w:r>
      <w:r w:rsidRPr="00CF7699">
        <w:t xml:space="preserve"> </w:t>
      </w:r>
    </w:p>
  </w:footnote>
  <w:footnote w:id="55">
    <w:p w:rsidR="00CE3B8D" w:rsidRPr="00DE7F2B" w:rsidRDefault="00CE3B8D" w:rsidP="00956C76">
      <w:pPr>
        <w:pStyle w:val="FootnoteText"/>
      </w:pPr>
      <w:r w:rsidRPr="00CF7699">
        <w:rPr>
          <w:rStyle w:val="FootnoteReference"/>
        </w:rPr>
        <w:footnoteRef/>
      </w:r>
      <w:r>
        <w:t xml:space="preserve"> </w:t>
      </w:r>
      <w:r w:rsidRPr="00DE7F2B">
        <w:t>О</w:t>
      </w:r>
      <w:r>
        <w:t>дитно доказателство</w:t>
      </w:r>
      <w:r w:rsidRPr="00DE7F2B">
        <w:t xml:space="preserve"> № 25</w:t>
      </w:r>
    </w:p>
  </w:footnote>
  <w:footnote w:id="56">
    <w:p w:rsidR="00CE3B8D" w:rsidRPr="00DE7F2B" w:rsidRDefault="00CE3B8D" w:rsidP="00956C76">
      <w:pPr>
        <w:pStyle w:val="FootnoteText"/>
      </w:pPr>
      <w:r w:rsidRPr="00DE7F2B">
        <w:rPr>
          <w:rStyle w:val="FootnoteReference"/>
        </w:rPr>
        <w:footnoteRef/>
      </w:r>
      <w:r>
        <w:t xml:space="preserve"> </w:t>
      </w:r>
      <w:r w:rsidRPr="00DE7F2B">
        <w:t>О</w:t>
      </w:r>
      <w:r>
        <w:t>дитно доказателство № 26</w:t>
      </w:r>
    </w:p>
  </w:footnote>
  <w:footnote w:id="57">
    <w:p w:rsidR="00CE3B8D" w:rsidRPr="00DE7F2B" w:rsidRDefault="00CE3B8D" w:rsidP="00956C76">
      <w:pPr>
        <w:pStyle w:val="FootnoteText"/>
      </w:pPr>
      <w:r w:rsidRPr="00DE7F2B">
        <w:rPr>
          <w:rStyle w:val="FootnoteReference"/>
        </w:rPr>
        <w:footnoteRef/>
      </w:r>
      <w:r>
        <w:t xml:space="preserve"> </w:t>
      </w:r>
      <w:r w:rsidRPr="00DE7F2B">
        <w:t>О</w:t>
      </w:r>
      <w:r>
        <w:t xml:space="preserve">дитно доказателство </w:t>
      </w:r>
      <w:r w:rsidRPr="00DE7F2B">
        <w:t>№ 27</w:t>
      </w:r>
    </w:p>
  </w:footnote>
  <w:footnote w:id="58">
    <w:p w:rsidR="00CE3B8D" w:rsidRPr="00DE7F2B" w:rsidRDefault="00CE3B8D" w:rsidP="00956C76">
      <w:pPr>
        <w:pStyle w:val="FootnoteText"/>
      </w:pPr>
      <w:r w:rsidRPr="00CF7699">
        <w:rPr>
          <w:rStyle w:val="FootnoteReference"/>
        </w:rPr>
        <w:footnoteRef/>
      </w:r>
      <w:r w:rsidRPr="00CF7699">
        <w:t xml:space="preserve"> </w:t>
      </w:r>
      <w:r w:rsidRPr="00DE7F2B">
        <w:t>О</w:t>
      </w:r>
      <w:r>
        <w:t>дитно доказателство</w:t>
      </w:r>
      <w:r w:rsidRPr="00DE7F2B">
        <w:t xml:space="preserve"> № 28</w:t>
      </w:r>
    </w:p>
  </w:footnote>
  <w:footnote w:id="59">
    <w:p w:rsidR="00CE3B8D" w:rsidRPr="005F3825" w:rsidRDefault="00CE3B8D" w:rsidP="002748B2">
      <w:pPr>
        <w:pStyle w:val="FootnoteText"/>
        <w:jc w:val="both"/>
      </w:pPr>
      <w:r w:rsidRPr="00CF7699">
        <w:rPr>
          <w:rStyle w:val="FootnoteReference"/>
        </w:rPr>
        <w:footnoteRef/>
      </w:r>
      <w:r>
        <w:t xml:space="preserve"> ч</w:t>
      </w:r>
      <w:r w:rsidRPr="00CF7699">
        <w:t>л.</w:t>
      </w:r>
      <w:r>
        <w:t xml:space="preserve"> </w:t>
      </w:r>
      <w:r w:rsidRPr="00CF7699">
        <w:t xml:space="preserve">221 от ЗСВ </w:t>
      </w:r>
      <w:r>
        <w:t>„</w:t>
      </w:r>
      <w:r w:rsidRPr="00CF7699">
        <w:t>На съдиите, прокурорите и следователите се изплащат всяка година средства за тога или облекло в размер на две средно месечни заплати на заетите лица в бюджетната сфера.</w:t>
      </w:r>
      <w:r>
        <w:t>“; ч</w:t>
      </w:r>
      <w:r w:rsidRPr="005F3825">
        <w:t>л.</w:t>
      </w:r>
      <w:r>
        <w:t xml:space="preserve"> </w:t>
      </w:r>
      <w:r w:rsidRPr="005F3825">
        <w:t xml:space="preserve">352 от ЗСВ </w:t>
      </w:r>
      <w:r>
        <w:t>„</w:t>
      </w:r>
      <w:r w:rsidRPr="005F3825">
        <w:t>На съдебния служител се изплаща всяка година сума за облекло в размер до две средно месечни заплати на заетите лица в бюджетната сфера.</w:t>
      </w:r>
      <w:r>
        <w:t>“</w:t>
      </w:r>
    </w:p>
  </w:footnote>
  <w:footnote w:id="60">
    <w:p w:rsidR="00CE3B8D" w:rsidRPr="00DE7F2B" w:rsidRDefault="00CE3B8D" w:rsidP="00AC391E">
      <w:pPr>
        <w:pStyle w:val="FootnoteText"/>
      </w:pPr>
      <w:r w:rsidRPr="005F3825">
        <w:rPr>
          <w:rStyle w:val="FootnoteReference"/>
        </w:rPr>
        <w:footnoteRef/>
      </w:r>
      <w:r w:rsidRPr="002A29A2">
        <w:t xml:space="preserve"> </w:t>
      </w:r>
      <w:r w:rsidRPr="00DE7F2B">
        <w:t>О</w:t>
      </w:r>
      <w:r>
        <w:t>дитно доказателство № 29</w:t>
      </w:r>
    </w:p>
  </w:footnote>
  <w:footnote w:id="61">
    <w:p w:rsidR="00CE3B8D" w:rsidRPr="00C732FA" w:rsidRDefault="00CE3B8D" w:rsidP="00771EF2">
      <w:pPr>
        <w:pStyle w:val="FootnoteText"/>
      </w:pPr>
      <w:r w:rsidRPr="00C732FA">
        <w:rPr>
          <w:rStyle w:val="FootnoteReference"/>
        </w:rPr>
        <w:footnoteRef/>
      </w:r>
      <w:r>
        <w:t xml:space="preserve"> </w:t>
      </w:r>
      <w:r w:rsidRPr="00DE7F2B">
        <w:t>О</w:t>
      </w:r>
      <w:r>
        <w:t>дитно доказателство № 30</w:t>
      </w:r>
    </w:p>
  </w:footnote>
  <w:footnote w:id="62">
    <w:p w:rsidR="00CE3B8D" w:rsidRPr="00DE7F2B" w:rsidRDefault="00CE3B8D" w:rsidP="00956C76">
      <w:pPr>
        <w:pStyle w:val="FootnoteText"/>
      </w:pPr>
      <w:r w:rsidRPr="00CF7699">
        <w:rPr>
          <w:rStyle w:val="FootnoteReference"/>
        </w:rPr>
        <w:footnoteRef/>
      </w:r>
      <w:r w:rsidRPr="005F3825">
        <w:t xml:space="preserve"> </w:t>
      </w:r>
      <w:r w:rsidRPr="00DE7F2B">
        <w:t>О</w:t>
      </w:r>
      <w:r>
        <w:t>дитно доказателство</w:t>
      </w:r>
      <w:r w:rsidRPr="00DE7F2B">
        <w:t xml:space="preserve"> № 31  </w:t>
      </w:r>
    </w:p>
  </w:footnote>
  <w:footnote w:id="63">
    <w:p w:rsidR="00CE3B8D" w:rsidRDefault="00CE3B8D">
      <w:pPr>
        <w:pStyle w:val="FootnoteText"/>
      </w:pPr>
      <w:r>
        <w:rPr>
          <w:rStyle w:val="FootnoteReference"/>
        </w:rPr>
        <w:footnoteRef/>
      </w:r>
      <w:r>
        <w:t xml:space="preserve"> </w:t>
      </w:r>
      <w:r w:rsidRPr="00DE7F2B">
        <w:t>О</w:t>
      </w:r>
      <w:r>
        <w:t>дитно доказателство № 80</w:t>
      </w:r>
    </w:p>
  </w:footnote>
  <w:footnote w:id="64">
    <w:p w:rsidR="00CE3B8D" w:rsidRPr="00DE7F2B" w:rsidRDefault="00CE3B8D" w:rsidP="00956C76">
      <w:pPr>
        <w:pStyle w:val="FootnoteText"/>
      </w:pPr>
      <w:r w:rsidRPr="00CF7699">
        <w:rPr>
          <w:rStyle w:val="FootnoteReference"/>
        </w:rPr>
        <w:footnoteRef/>
      </w:r>
      <w:r w:rsidRPr="005F3825">
        <w:t xml:space="preserve"> </w:t>
      </w:r>
      <w:r w:rsidRPr="00DE7F2B">
        <w:t>О</w:t>
      </w:r>
      <w:r>
        <w:t xml:space="preserve">дитно доказателство </w:t>
      </w:r>
      <w:r w:rsidRPr="00DE7F2B">
        <w:t xml:space="preserve">№ 32  </w:t>
      </w:r>
    </w:p>
  </w:footnote>
  <w:footnote w:id="65">
    <w:p w:rsidR="00CE3B8D" w:rsidRPr="00DE7F2B" w:rsidRDefault="00CE3B8D" w:rsidP="00912F69">
      <w:pPr>
        <w:pStyle w:val="FootnoteText"/>
      </w:pPr>
      <w:r w:rsidRPr="00CF7699">
        <w:rPr>
          <w:rStyle w:val="FootnoteReference"/>
        </w:rPr>
        <w:footnoteRef/>
      </w:r>
      <w:r w:rsidRPr="005F3825">
        <w:t xml:space="preserve"> </w:t>
      </w:r>
      <w:r w:rsidRPr="00DE7F2B">
        <w:t>О</w:t>
      </w:r>
      <w:r>
        <w:t xml:space="preserve">дитно доказателство </w:t>
      </w:r>
      <w:r w:rsidRPr="00DE7F2B">
        <w:t xml:space="preserve">№ 33   </w:t>
      </w:r>
    </w:p>
  </w:footnote>
  <w:footnote w:id="66">
    <w:p w:rsidR="00CE3B8D" w:rsidRPr="00DE7F2B" w:rsidRDefault="00CE3B8D" w:rsidP="00956C76">
      <w:pPr>
        <w:pStyle w:val="FootnoteText"/>
      </w:pPr>
      <w:r w:rsidRPr="00DE7F2B">
        <w:rPr>
          <w:rStyle w:val="FootnoteReference"/>
        </w:rPr>
        <w:footnoteRef/>
      </w:r>
      <w:r>
        <w:t xml:space="preserve"> </w:t>
      </w:r>
      <w:r w:rsidRPr="00DE7F2B">
        <w:t>О</w:t>
      </w:r>
      <w:r>
        <w:t xml:space="preserve">дитно доказателство </w:t>
      </w:r>
      <w:r w:rsidRPr="00DE7F2B">
        <w:t xml:space="preserve">№ 34   </w:t>
      </w:r>
    </w:p>
  </w:footnote>
  <w:footnote w:id="67">
    <w:p w:rsidR="00CE3B8D" w:rsidRPr="00DE7F2B" w:rsidRDefault="00CE3B8D" w:rsidP="00956C76">
      <w:pPr>
        <w:pStyle w:val="FootnoteText"/>
      </w:pPr>
      <w:r w:rsidRPr="00DE7F2B">
        <w:rPr>
          <w:rStyle w:val="FootnoteReference"/>
        </w:rPr>
        <w:footnoteRef/>
      </w:r>
      <w:r>
        <w:t xml:space="preserve"> </w:t>
      </w:r>
      <w:r w:rsidRPr="00DE7F2B">
        <w:t>О</w:t>
      </w:r>
      <w:r>
        <w:t xml:space="preserve">дитно доказателство </w:t>
      </w:r>
      <w:r w:rsidRPr="00DE7F2B">
        <w:t xml:space="preserve">№ 35    </w:t>
      </w:r>
    </w:p>
  </w:footnote>
  <w:footnote w:id="68">
    <w:p w:rsidR="00CE3B8D" w:rsidRPr="00CF7699" w:rsidRDefault="00CE3B8D">
      <w:pPr>
        <w:pStyle w:val="FootnoteText"/>
      </w:pPr>
      <w:r w:rsidRPr="00DE7F2B">
        <w:rPr>
          <w:rStyle w:val="FootnoteReference"/>
        </w:rPr>
        <w:footnoteRef/>
      </w:r>
      <w:r>
        <w:t xml:space="preserve"> </w:t>
      </w:r>
      <w:r w:rsidRPr="00DE7F2B">
        <w:t>О</w:t>
      </w:r>
      <w:r>
        <w:t xml:space="preserve">дитно доказателство </w:t>
      </w:r>
      <w:r w:rsidRPr="00DE7F2B">
        <w:t>№ 36</w:t>
      </w:r>
      <w:r w:rsidRPr="00CF7699">
        <w:t xml:space="preserve">    </w:t>
      </w:r>
    </w:p>
  </w:footnote>
  <w:footnote w:id="69">
    <w:p w:rsidR="00CE3B8D" w:rsidRPr="005F3825" w:rsidRDefault="00CE3B8D" w:rsidP="002748B2">
      <w:pPr>
        <w:pStyle w:val="FootnoteText"/>
        <w:jc w:val="both"/>
      </w:pPr>
      <w:r w:rsidRPr="005F3825">
        <w:rPr>
          <w:rStyle w:val="FootnoteReference"/>
        </w:rPr>
        <w:footnoteRef/>
      </w:r>
      <w:r>
        <w:t xml:space="preserve"> ч</w:t>
      </w:r>
      <w:r w:rsidRPr="005F3825">
        <w:t xml:space="preserve">л.149, ал.2 от КТ </w:t>
      </w:r>
      <w:r>
        <w:t xml:space="preserve">- </w:t>
      </w:r>
      <w:r w:rsidRPr="005F3825">
        <w:t>положеният изв</w:t>
      </w:r>
      <w:r>
        <w:t xml:space="preserve">ънреден </w:t>
      </w:r>
      <w:r w:rsidRPr="005F3825">
        <w:t>труд се отчита пред ИТ до 31.01. на следващата календарна година</w:t>
      </w:r>
    </w:p>
  </w:footnote>
  <w:footnote w:id="70">
    <w:p w:rsidR="00CE3B8D" w:rsidRPr="00DE7F2B" w:rsidRDefault="00CE3B8D" w:rsidP="00956C76">
      <w:pPr>
        <w:pStyle w:val="FootnoteText"/>
      </w:pPr>
      <w:r w:rsidRPr="002A29A2">
        <w:rPr>
          <w:rStyle w:val="FootnoteReference"/>
        </w:rPr>
        <w:footnoteRef/>
      </w:r>
      <w:r w:rsidRPr="002A29A2">
        <w:t xml:space="preserve"> </w:t>
      </w:r>
      <w:r w:rsidRPr="00DE7F2B">
        <w:t>О</w:t>
      </w:r>
      <w:r>
        <w:t xml:space="preserve">дитно доказателство </w:t>
      </w:r>
      <w:r w:rsidRPr="00DE7F2B">
        <w:t xml:space="preserve">№ 37   </w:t>
      </w:r>
    </w:p>
  </w:footnote>
  <w:footnote w:id="71">
    <w:p w:rsidR="00CE3B8D" w:rsidRPr="00806AA9" w:rsidRDefault="00CE3B8D">
      <w:pPr>
        <w:pStyle w:val="FootnoteText"/>
      </w:pPr>
      <w:r w:rsidRPr="00806AA9">
        <w:rPr>
          <w:rStyle w:val="FootnoteReference"/>
        </w:rPr>
        <w:footnoteRef/>
      </w:r>
      <w:r w:rsidRPr="00806AA9">
        <w:t xml:space="preserve"> чл. чл.63-651 ,165-164 и чл.222-223 от НПК</w:t>
      </w:r>
    </w:p>
  </w:footnote>
  <w:footnote w:id="72">
    <w:p w:rsidR="00CE3B8D" w:rsidRPr="00806AA9" w:rsidRDefault="00CE3B8D" w:rsidP="0028640E">
      <w:pPr>
        <w:shd w:val="clear" w:color="auto" w:fill="FEFEFE"/>
        <w:rPr>
          <w:color w:val="000000"/>
          <w:sz w:val="20"/>
          <w:szCs w:val="20"/>
        </w:rPr>
      </w:pPr>
      <w:r w:rsidRPr="00806AA9">
        <w:rPr>
          <w:rStyle w:val="FootnoteReference"/>
          <w:sz w:val="20"/>
          <w:szCs w:val="20"/>
        </w:rPr>
        <w:footnoteRef/>
      </w:r>
      <w:r w:rsidRPr="00806AA9">
        <w:rPr>
          <w:sz w:val="20"/>
          <w:szCs w:val="20"/>
        </w:rPr>
        <w:t xml:space="preserve"> чл. 146 от КТ </w:t>
      </w:r>
      <w:r w:rsidRPr="00806AA9">
        <w:rPr>
          <w:color w:val="000000"/>
          <w:sz w:val="20"/>
          <w:szCs w:val="20"/>
        </w:rPr>
        <w:t>(1) (Изм. - ДВ, бр. 100 от 1992 г.) Продължителността на извънредния труд през една календарна година за един работник или служител не може да надвишава 150 часа.</w:t>
      </w:r>
    </w:p>
    <w:p w:rsidR="00CE3B8D" w:rsidRPr="00806AA9" w:rsidRDefault="00CE3B8D" w:rsidP="0028640E">
      <w:pPr>
        <w:shd w:val="clear" w:color="auto" w:fill="FEFEFE"/>
        <w:rPr>
          <w:color w:val="000000"/>
          <w:sz w:val="20"/>
          <w:szCs w:val="20"/>
        </w:rPr>
      </w:pPr>
      <w:r w:rsidRPr="00806AA9">
        <w:rPr>
          <w:color w:val="000000"/>
          <w:sz w:val="20"/>
          <w:szCs w:val="20"/>
        </w:rPr>
        <w:t>(2) Продължителността на извънредния труд не може да надвишава:</w:t>
      </w:r>
    </w:p>
    <w:p w:rsidR="00CE3B8D" w:rsidRPr="00806AA9" w:rsidRDefault="00CE3B8D" w:rsidP="0028640E">
      <w:pPr>
        <w:shd w:val="clear" w:color="auto" w:fill="FEFEFE"/>
        <w:rPr>
          <w:color w:val="000000"/>
          <w:sz w:val="20"/>
          <w:szCs w:val="20"/>
        </w:rPr>
      </w:pPr>
      <w:r w:rsidRPr="00806AA9">
        <w:rPr>
          <w:color w:val="000000"/>
          <w:sz w:val="20"/>
          <w:szCs w:val="20"/>
        </w:rPr>
        <w:t>1. 30 часа дневен или 20 часа нощен труд през 1 календарен месец;</w:t>
      </w:r>
    </w:p>
    <w:p w:rsidR="00CE3B8D" w:rsidRPr="00806AA9" w:rsidRDefault="00CE3B8D" w:rsidP="0028640E">
      <w:pPr>
        <w:shd w:val="clear" w:color="auto" w:fill="FEFEFE"/>
        <w:rPr>
          <w:color w:val="000000"/>
          <w:sz w:val="20"/>
          <w:szCs w:val="20"/>
        </w:rPr>
      </w:pPr>
      <w:r w:rsidRPr="00806AA9">
        <w:rPr>
          <w:color w:val="000000"/>
          <w:sz w:val="20"/>
          <w:szCs w:val="20"/>
        </w:rPr>
        <w:t>2. 6 часа дневен или 4 часа нощен труд през 1 календарна седмица;</w:t>
      </w:r>
    </w:p>
    <w:p w:rsidR="00CE3B8D" w:rsidRPr="00806AA9" w:rsidRDefault="00CE3B8D" w:rsidP="0028640E">
      <w:pPr>
        <w:shd w:val="clear" w:color="auto" w:fill="FEFEFE"/>
        <w:rPr>
          <w:color w:val="000000"/>
          <w:sz w:val="20"/>
          <w:szCs w:val="20"/>
        </w:rPr>
      </w:pPr>
      <w:r w:rsidRPr="00806AA9">
        <w:rPr>
          <w:color w:val="000000"/>
          <w:sz w:val="20"/>
          <w:szCs w:val="20"/>
        </w:rPr>
        <w:t>3. 3 часа дневен или 2 часа нощен труд през 2 последователни работни дни.</w:t>
      </w:r>
    </w:p>
    <w:p w:rsidR="00CE3B8D" w:rsidRPr="00806AA9" w:rsidRDefault="00CE3B8D" w:rsidP="0028640E">
      <w:pPr>
        <w:shd w:val="clear" w:color="auto" w:fill="FEFEFE"/>
        <w:rPr>
          <w:sz w:val="20"/>
          <w:szCs w:val="20"/>
        </w:rPr>
      </w:pPr>
      <w:r w:rsidRPr="00806AA9">
        <w:rPr>
          <w:color w:val="000000"/>
          <w:sz w:val="20"/>
          <w:szCs w:val="20"/>
        </w:rPr>
        <w:t>(3) Ограниченията по предходните алинеи не се прилагат в случаите на</w:t>
      </w:r>
      <w:r w:rsidRPr="00806AA9">
        <w:rPr>
          <w:rStyle w:val="apple-converted-space"/>
          <w:color w:val="000000"/>
          <w:sz w:val="20"/>
          <w:szCs w:val="20"/>
        </w:rPr>
        <w:t> </w:t>
      </w:r>
      <w:r w:rsidRPr="00806AA9">
        <w:rPr>
          <w:rStyle w:val="samedocreference"/>
          <w:color w:val="000000"/>
          <w:sz w:val="20"/>
          <w:szCs w:val="20"/>
        </w:rPr>
        <w:t>чл. 144, т. 1 - 3</w:t>
      </w:r>
      <w:r w:rsidRPr="00806AA9">
        <w:rPr>
          <w:color w:val="000000"/>
          <w:sz w:val="20"/>
          <w:szCs w:val="20"/>
        </w:rPr>
        <w:t>.</w:t>
      </w:r>
    </w:p>
  </w:footnote>
  <w:footnote w:id="73">
    <w:p w:rsidR="00CE3B8D" w:rsidRPr="00806AA9" w:rsidRDefault="00CE3B8D">
      <w:pPr>
        <w:pStyle w:val="FootnoteText"/>
      </w:pPr>
      <w:r w:rsidRPr="00806AA9">
        <w:rPr>
          <w:rStyle w:val="FootnoteReference"/>
        </w:rPr>
        <w:footnoteRef/>
      </w:r>
      <w:r w:rsidRPr="00806AA9">
        <w:t xml:space="preserve"> Одитно доказателство №</w:t>
      </w:r>
      <w:r>
        <w:t xml:space="preserve"> </w:t>
      </w:r>
      <w:r w:rsidRPr="00806AA9">
        <w:t xml:space="preserve">38  </w:t>
      </w:r>
    </w:p>
  </w:footnote>
  <w:footnote w:id="74">
    <w:p w:rsidR="00CE3B8D" w:rsidRPr="00D26358" w:rsidRDefault="00CE3B8D">
      <w:pPr>
        <w:pStyle w:val="FootnoteText"/>
      </w:pPr>
      <w:r w:rsidRPr="00D26358">
        <w:rPr>
          <w:rStyle w:val="FootnoteReference"/>
        </w:rPr>
        <w:footnoteRef/>
      </w:r>
      <w:r w:rsidRPr="00D26358">
        <w:t xml:space="preserve"> О</w:t>
      </w:r>
      <w:r>
        <w:t>дитно доказателство</w:t>
      </w:r>
      <w:r w:rsidRPr="00D26358">
        <w:t xml:space="preserve"> № 39 </w:t>
      </w:r>
    </w:p>
  </w:footnote>
  <w:footnote w:id="75">
    <w:p w:rsidR="00CE3B8D" w:rsidRPr="00D26358" w:rsidRDefault="00CE3B8D">
      <w:pPr>
        <w:pStyle w:val="FootnoteText"/>
      </w:pPr>
      <w:r w:rsidRPr="00D26358">
        <w:rPr>
          <w:rStyle w:val="FootnoteReference"/>
        </w:rPr>
        <w:footnoteRef/>
      </w:r>
      <w:r>
        <w:t xml:space="preserve"> Одитно доказателство № 40</w:t>
      </w:r>
    </w:p>
  </w:footnote>
  <w:footnote w:id="76">
    <w:p w:rsidR="00CE3B8D" w:rsidRPr="00D26358" w:rsidRDefault="00CE3B8D" w:rsidP="00956C76">
      <w:pPr>
        <w:pStyle w:val="FootnoteText"/>
      </w:pPr>
      <w:r w:rsidRPr="00D26358">
        <w:rPr>
          <w:rStyle w:val="FootnoteReference"/>
        </w:rPr>
        <w:footnoteRef/>
      </w:r>
      <w:r>
        <w:t xml:space="preserve"> Одитно доказателство № 41</w:t>
      </w:r>
    </w:p>
  </w:footnote>
  <w:footnote w:id="77">
    <w:p w:rsidR="00CE3B8D" w:rsidRPr="00944B79" w:rsidRDefault="00CE3B8D" w:rsidP="00E946FF">
      <w:pPr>
        <w:pStyle w:val="FootnoteText"/>
      </w:pPr>
      <w:r>
        <w:rPr>
          <w:rStyle w:val="FootnoteReference"/>
        </w:rPr>
        <w:footnoteRef/>
      </w:r>
      <w:r>
        <w:t xml:space="preserve"> заглавието е допълнено „Вещи лица и преводачи“ – ДВ, бр. 21 от 2014 г.</w:t>
      </w:r>
    </w:p>
  </w:footnote>
  <w:footnote w:id="78">
    <w:p w:rsidR="00CE3B8D" w:rsidRDefault="00CE3B8D">
      <w:pPr>
        <w:pStyle w:val="FootnoteText"/>
      </w:pPr>
      <w:r>
        <w:rPr>
          <w:rStyle w:val="FootnoteReference"/>
        </w:rPr>
        <w:footnoteRef/>
      </w:r>
      <w:r>
        <w:t xml:space="preserve"> ч</w:t>
      </w:r>
      <w:r w:rsidRPr="003E48DA">
        <w:t>л. 403а.</w:t>
      </w:r>
      <w:r>
        <w:t xml:space="preserve"> от ЗСВ</w:t>
      </w:r>
    </w:p>
  </w:footnote>
  <w:footnote w:id="79">
    <w:p w:rsidR="00CE3B8D" w:rsidRDefault="00CE3B8D">
      <w:pPr>
        <w:pStyle w:val="FootnoteText"/>
      </w:pPr>
      <w:r>
        <w:rPr>
          <w:rStyle w:val="FootnoteReference"/>
        </w:rPr>
        <w:footnoteRef/>
      </w:r>
      <w:r>
        <w:t xml:space="preserve"> следващият нормативен акт, който регламентира процеса е </w:t>
      </w:r>
      <w:r w:rsidRPr="00E0498C">
        <w:t>Н</w:t>
      </w:r>
      <w:r>
        <w:t>аредба</w:t>
      </w:r>
      <w:r w:rsidRPr="00E0498C">
        <w:t xml:space="preserve"> № 2 от 29 юни 2015 г.</w:t>
      </w:r>
      <w:r>
        <w:t xml:space="preserve"> за вписването</w:t>
      </w:r>
      <w:r w:rsidRPr="00E0498C">
        <w:t>,</w:t>
      </w:r>
      <w:r>
        <w:t xml:space="preserve"> квалификацията и възнагражденията на вещите лица</w:t>
      </w:r>
    </w:p>
  </w:footnote>
  <w:footnote w:id="80">
    <w:p w:rsidR="00CE3B8D" w:rsidRDefault="00CE3B8D">
      <w:pPr>
        <w:pStyle w:val="FootnoteText"/>
      </w:pPr>
      <w:r>
        <w:rPr>
          <w:rStyle w:val="FootnoteReference"/>
        </w:rPr>
        <w:footnoteRef/>
      </w:r>
      <w:r>
        <w:t xml:space="preserve"> ЗСВ, чл. 396, ал. 1</w:t>
      </w:r>
    </w:p>
  </w:footnote>
  <w:footnote w:id="81">
    <w:p w:rsidR="00CE3B8D" w:rsidRPr="00D34957" w:rsidRDefault="00CE3B8D" w:rsidP="005729DD">
      <w:pPr>
        <w:pStyle w:val="FootnoteText"/>
      </w:pPr>
      <w:r w:rsidRPr="00A81690">
        <w:rPr>
          <w:rStyle w:val="FootnoteReference"/>
        </w:rPr>
        <w:footnoteRef/>
      </w:r>
      <w:r w:rsidRPr="00A81690">
        <w:t xml:space="preserve"> </w:t>
      </w:r>
      <w:r>
        <w:t xml:space="preserve">Одитно доказателство </w:t>
      </w:r>
      <w:r w:rsidRPr="001B6C75">
        <w:t>№ 42</w:t>
      </w:r>
      <w:r w:rsidRPr="00D34957">
        <w:t xml:space="preserve">   </w:t>
      </w:r>
    </w:p>
  </w:footnote>
  <w:footnote w:id="82">
    <w:p w:rsidR="00CE3B8D" w:rsidRDefault="00CE3B8D" w:rsidP="001A2C8E">
      <w:pPr>
        <w:pStyle w:val="FootnoteText"/>
        <w:jc w:val="both"/>
      </w:pPr>
      <w:r>
        <w:rPr>
          <w:rStyle w:val="FootnoteReference"/>
        </w:rPr>
        <w:footnoteRef/>
      </w:r>
      <w:r>
        <w:t xml:space="preserve"> Извън одитирания период, с</w:t>
      </w:r>
      <w:r w:rsidRPr="00E0498C">
        <w:t>лед приемането на НВКВВЛ № 2 от 29 юни 2015 г., председателят на съда е утвърдил на 10.09.2015 г. „Вътрешни правила за определяне и изплащане на възнагражденията на вещите лица в СРС“. В правилата са разписани условията и реда за определяне и изплащане на възнагражденията и разходите за командировка на вещите лица.</w:t>
      </w:r>
    </w:p>
  </w:footnote>
  <w:footnote w:id="83">
    <w:p w:rsidR="00CE3B8D" w:rsidRPr="00D34957" w:rsidRDefault="00CE3B8D" w:rsidP="005729DD">
      <w:pPr>
        <w:pStyle w:val="FootnoteText"/>
        <w:jc w:val="both"/>
      </w:pPr>
      <w:r w:rsidRPr="00866D61">
        <w:rPr>
          <w:rStyle w:val="FootnoteReference"/>
        </w:rPr>
        <w:footnoteRef/>
      </w:r>
      <w:r w:rsidRPr="00866D61">
        <w:t xml:space="preserve"> </w:t>
      </w:r>
      <w:r>
        <w:rPr>
          <w:b/>
        </w:rPr>
        <w:t xml:space="preserve"> </w:t>
      </w:r>
      <w:r>
        <w:t xml:space="preserve">Одитно доказателство </w:t>
      </w:r>
      <w:r w:rsidRPr="001B6C75">
        <w:t>№ 43</w:t>
      </w:r>
    </w:p>
  </w:footnote>
  <w:footnote w:id="84">
    <w:p w:rsidR="00CE3B8D" w:rsidRDefault="00CE3B8D">
      <w:pPr>
        <w:pStyle w:val="FootnoteText"/>
      </w:pPr>
      <w:r>
        <w:rPr>
          <w:rStyle w:val="FootnoteReference"/>
        </w:rPr>
        <w:footnoteRef/>
      </w:r>
      <w:r>
        <w:t xml:space="preserve"> Одитно доказателство № 42</w:t>
      </w:r>
    </w:p>
  </w:footnote>
  <w:footnote w:id="85">
    <w:p w:rsidR="00CE3B8D" w:rsidRPr="00AA06A8" w:rsidRDefault="00CE3B8D">
      <w:pPr>
        <w:pStyle w:val="FootnoteText"/>
      </w:pPr>
      <w:r w:rsidRPr="00AA06A8">
        <w:rPr>
          <w:rStyle w:val="FootnoteReference"/>
        </w:rPr>
        <w:footnoteRef/>
      </w:r>
      <w:r>
        <w:t xml:space="preserve"> Одитно доказателство </w:t>
      </w:r>
      <w:r w:rsidRPr="001B6C75">
        <w:t>№ 52</w:t>
      </w:r>
    </w:p>
  </w:footnote>
  <w:footnote w:id="86">
    <w:p w:rsidR="00CE3B8D" w:rsidRPr="00B814F7" w:rsidRDefault="00CE3B8D">
      <w:pPr>
        <w:pStyle w:val="FootnoteText"/>
      </w:pPr>
      <w:r w:rsidRPr="00B814F7">
        <w:rPr>
          <w:rStyle w:val="FootnoteReference"/>
        </w:rPr>
        <w:footnoteRef/>
      </w:r>
      <w:r w:rsidRPr="00B814F7">
        <w:t xml:space="preserve"> </w:t>
      </w:r>
      <w:r>
        <w:t>Одитно доказателство</w:t>
      </w:r>
      <w:r w:rsidRPr="00B814F7">
        <w:t xml:space="preserve"> № 52</w:t>
      </w:r>
    </w:p>
  </w:footnote>
  <w:footnote w:id="87">
    <w:p w:rsidR="00CE3B8D" w:rsidRPr="00B814F7" w:rsidRDefault="00CE3B8D" w:rsidP="005729DD">
      <w:pPr>
        <w:pStyle w:val="FootnoteText"/>
      </w:pPr>
      <w:r w:rsidRPr="00B814F7">
        <w:rPr>
          <w:rStyle w:val="FootnoteReference"/>
        </w:rPr>
        <w:footnoteRef/>
      </w:r>
      <w:r w:rsidRPr="00B814F7">
        <w:t xml:space="preserve"> </w:t>
      </w:r>
      <w:r>
        <w:t>Одитно доказателство</w:t>
      </w:r>
      <w:r w:rsidRPr="00B814F7">
        <w:t xml:space="preserve"> № 44</w:t>
      </w:r>
    </w:p>
  </w:footnote>
  <w:footnote w:id="88">
    <w:p w:rsidR="00CE3B8D" w:rsidRPr="00B814F7" w:rsidRDefault="00CE3B8D">
      <w:pPr>
        <w:pStyle w:val="FootnoteText"/>
      </w:pPr>
      <w:r w:rsidRPr="00B814F7">
        <w:rPr>
          <w:rStyle w:val="FootnoteReference"/>
        </w:rPr>
        <w:footnoteRef/>
      </w:r>
      <w:r w:rsidRPr="00B814F7">
        <w:t xml:space="preserve"> О</w:t>
      </w:r>
      <w:r>
        <w:t>дитно доказателство</w:t>
      </w:r>
      <w:r w:rsidRPr="00B814F7">
        <w:t xml:space="preserve"> № 45</w:t>
      </w:r>
    </w:p>
  </w:footnote>
  <w:footnote w:id="89">
    <w:p w:rsidR="00CE3B8D" w:rsidRPr="00877C42" w:rsidRDefault="00CE3B8D" w:rsidP="00872425">
      <w:pPr>
        <w:pStyle w:val="FootnoteText"/>
      </w:pPr>
      <w:r w:rsidRPr="00877C42">
        <w:rPr>
          <w:rStyle w:val="FootnoteReference"/>
        </w:rPr>
        <w:footnoteRef/>
      </w:r>
      <w:r w:rsidRPr="00877C42">
        <w:t xml:space="preserve"> Одитно доказателство № </w:t>
      </w:r>
      <w:r w:rsidRPr="00877C42">
        <w:rPr>
          <w:lang w:val="en-US"/>
        </w:rPr>
        <w:t xml:space="preserve">46 </w:t>
      </w:r>
    </w:p>
  </w:footnote>
  <w:footnote w:id="90">
    <w:p w:rsidR="00CE3B8D" w:rsidRPr="00676DEB" w:rsidRDefault="00CE3B8D" w:rsidP="00872425">
      <w:pPr>
        <w:pStyle w:val="FootnoteText"/>
      </w:pPr>
      <w:r w:rsidRPr="00676DEB">
        <w:rPr>
          <w:rStyle w:val="FootnoteReference"/>
        </w:rPr>
        <w:footnoteRef/>
      </w:r>
      <w:r w:rsidRPr="00676DEB">
        <w:t xml:space="preserve"> </w:t>
      </w:r>
      <w:r>
        <w:t xml:space="preserve">Одитно доказателство </w:t>
      </w:r>
      <w:r w:rsidRPr="00A90676">
        <w:t>№</w:t>
      </w:r>
      <w:r w:rsidRPr="00A90676">
        <w:rPr>
          <w:lang w:val="en-US"/>
        </w:rPr>
        <w:t xml:space="preserve"> 47</w:t>
      </w:r>
      <w:r w:rsidRPr="00676DEB">
        <w:rPr>
          <w:lang w:val="en-US"/>
        </w:rPr>
        <w:t xml:space="preserve"> </w:t>
      </w:r>
      <w:r w:rsidRPr="00676DEB">
        <w:t xml:space="preserve">  </w:t>
      </w:r>
    </w:p>
  </w:footnote>
  <w:footnote w:id="91">
    <w:p w:rsidR="00CE3B8D" w:rsidRPr="00676DEB" w:rsidRDefault="00CE3B8D" w:rsidP="005729DD">
      <w:pPr>
        <w:pStyle w:val="FootnoteText"/>
      </w:pPr>
      <w:r w:rsidRPr="00676DEB">
        <w:rPr>
          <w:rStyle w:val="FootnoteReference"/>
        </w:rPr>
        <w:footnoteRef/>
      </w:r>
      <w:r w:rsidRPr="00676DEB">
        <w:t xml:space="preserve"> </w:t>
      </w:r>
      <w:r>
        <w:t xml:space="preserve">Одитно доказателство </w:t>
      </w:r>
      <w:r w:rsidRPr="00A90676">
        <w:t>№ 48</w:t>
      </w:r>
      <w:r w:rsidRPr="00676DEB">
        <w:t xml:space="preserve"> </w:t>
      </w:r>
    </w:p>
  </w:footnote>
  <w:footnote w:id="92">
    <w:p w:rsidR="00CE3B8D" w:rsidRPr="005102B3" w:rsidRDefault="00CE3B8D" w:rsidP="005729DD">
      <w:pPr>
        <w:pStyle w:val="FootnoteText"/>
        <w:jc w:val="both"/>
      </w:pPr>
      <w:r w:rsidRPr="005102B3">
        <w:rPr>
          <w:rStyle w:val="FootnoteReference"/>
        </w:rPr>
        <w:footnoteRef/>
      </w:r>
      <w:r>
        <w:t xml:space="preserve"> </w:t>
      </w:r>
      <w:r w:rsidRPr="005102B3">
        <w:t>О</w:t>
      </w:r>
      <w:r>
        <w:t>дитно доказателство</w:t>
      </w:r>
      <w:r w:rsidRPr="005102B3">
        <w:t xml:space="preserve"> № 44 </w:t>
      </w:r>
    </w:p>
  </w:footnote>
  <w:footnote w:id="93">
    <w:p w:rsidR="00CE3B8D" w:rsidRPr="005102B3" w:rsidRDefault="00CE3B8D" w:rsidP="005729DD">
      <w:pPr>
        <w:pStyle w:val="FootnoteText"/>
        <w:jc w:val="both"/>
      </w:pPr>
      <w:r w:rsidRPr="005102B3">
        <w:rPr>
          <w:rStyle w:val="FootnoteReference"/>
        </w:rPr>
        <w:footnoteRef/>
      </w:r>
      <w:r w:rsidRPr="005102B3">
        <w:t xml:space="preserve"> О</w:t>
      </w:r>
      <w:r>
        <w:t>дитно доказателство</w:t>
      </w:r>
      <w:r w:rsidRPr="005102B3">
        <w:t xml:space="preserve"> № 49  </w:t>
      </w:r>
    </w:p>
  </w:footnote>
  <w:footnote w:id="94">
    <w:p w:rsidR="00CE3B8D" w:rsidRPr="005102B3" w:rsidRDefault="00CE3B8D" w:rsidP="005729DD">
      <w:pPr>
        <w:pStyle w:val="FootnoteText"/>
      </w:pPr>
      <w:r w:rsidRPr="005102B3">
        <w:rPr>
          <w:rStyle w:val="FootnoteReference"/>
        </w:rPr>
        <w:footnoteRef/>
      </w:r>
      <w:r w:rsidRPr="005102B3">
        <w:t xml:space="preserve"> О</w:t>
      </w:r>
      <w:r>
        <w:t>дитно доказателство</w:t>
      </w:r>
      <w:r w:rsidRPr="005102B3">
        <w:t xml:space="preserve"> № 46</w:t>
      </w:r>
    </w:p>
  </w:footnote>
  <w:footnote w:id="95">
    <w:p w:rsidR="00CE3B8D" w:rsidRPr="005102B3" w:rsidRDefault="00CE3B8D" w:rsidP="005729DD">
      <w:pPr>
        <w:pStyle w:val="FootnoteText"/>
        <w:jc w:val="both"/>
      </w:pPr>
      <w:r w:rsidRPr="005102B3">
        <w:rPr>
          <w:rStyle w:val="FootnoteReference"/>
        </w:rPr>
        <w:footnoteRef/>
      </w:r>
      <w:r w:rsidRPr="005102B3">
        <w:t xml:space="preserve"> Одитно доказателство № 1  </w:t>
      </w:r>
    </w:p>
  </w:footnote>
  <w:footnote w:id="96">
    <w:p w:rsidR="00CE3B8D" w:rsidRDefault="00CE3B8D" w:rsidP="00276434">
      <w:pPr>
        <w:pStyle w:val="FootnoteText"/>
        <w:jc w:val="both"/>
      </w:pPr>
      <w:r>
        <w:rPr>
          <w:rStyle w:val="FootnoteReference"/>
        </w:rPr>
        <w:footnoteRef/>
      </w:r>
      <w:r>
        <w:t xml:space="preserve"> към датата на утвърждаване на длъжностната характеристика, финансовата и счетоводна дейност е изпълнявана от звено „Финансова дейност и снабдяване“, а през одитирания период – от отдел „Финанси, имущество и човешки ресурси“, който се ръководи от началник на отдела, а главният счетоводител е самостоятелна ръководна длъжност в длъжностното разписание</w:t>
      </w:r>
    </w:p>
  </w:footnote>
  <w:footnote w:id="97">
    <w:p w:rsidR="00CE3B8D" w:rsidRPr="005102B3" w:rsidRDefault="00CE3B8D" w:rsidP="005729DD">
      <w:pPr>
        <w:pStyle w:val="FootnoteText"/>
        <w:jc w:val="both"/>
      </w:pPr>
      <w:r w:rsidRPr="005102B3">
        <w:rPr>
          <w:rStyle w:val="FootnoteReference"/>
        </w:rPr>
        <w:footnoteRef/>
      </w:r>
      <w:r w:rsidRPr="005102B3">
        <w:t xml:space="preserve"> Одитн</w:t>
      </w:r>
      <w:r>
        <w:t>и</w:t>
      </w:r>
      <w:r w:rsidRPr="005102B3">
        <w:t xml:space="preserve"> доказателств</w:t>
      </w:r>
      <w:r>
        <w:t>а</w:t>
      </w:r>
      <w:r w:rsidRPr="005102B3">
        <w:t xml:space="preserve"> №</w:t>
      </w:r>
      <w:r>
        <w:t>№</w:t>
      </w:r>
      <w:r w:rsidRPr="005102B3">
        <w:t xml:space="preserve"> </w:t>
      </w:r>
      <w:r>
        <w:t xml:space="preserve">20 и </w:t>
      </w:r>
      <w:r w:rsidRPr="005102B3">
        <w:t>50</w:t>
      </w:r>
    </w:p>
  </w:footnote>
  <w:footnote w:id="98">
    <w:p w:rsidR="00CE3B8D" w:rsidRPr="005102B3" w:rsidRDefault="00CE3B8D">
      <w:pPr>
        <w:pStyle w:val="FootnoteText"/>
      </w:pPr>
      <w:r w:rsidRPr="005102B3">
        <w:rPr>
          <w:rStyle w:val="FootnoteReference"/>
        </w:rPr>
        <w:footnoteRef/>
      </w:r>
      <w:r w:rsidRPr="005102B3">
        <w:t xml:space="preserve"> Одитн</w:t>
      </w:r>
      <w:r>
        <w:t>и доказателства</w:t>
      </w:r>
      <w:r w:rsidRPr="005102B3">
        <w:t xml:space="preserve"> </w:t>
      </w:r>
      <w:r>
        <w:t>№</w:t>
      </w:r>
      <w:r w:rsidRPr="005102B3">
        <w:t xml:space="preserve">№ </w:t>
      </w:r>
      <w:r>
        <w:t xml:space="preserve">51 и </w:t>
      </w:r>
      <w:r w:rsidRPr="005102B3">
        <w:t>52</w:t>
      </w:r>
    </w:p>
  </w:footnote>
  <w:footnote w:id="99">
    <w:p w:rsidR="00CE3B8D" w:rsidRPr="00786C38" w:rsidRDefault="00CE3B8D" w:rsidP="005729DD">
      <w:pPr>
        <w:pStyle w:val="FootnoteText"/>
      </w:pPr>
      <w:r>
        <w:rPr>
          <w:rStyle w:val="FootnoteReference"/>
        </w:rPr>
        <w:footnoteRef/>
      </w:r>
      <w:r>
        <w:t xml:space="preserve"> </w:t>
      </w:r>
      <w:r w:rsidRPr="005102B3">
        <w:t xml:space="preserve">Одитно доказателство </w:t>
      </w:r>
      <w:r w:rsidRPr="00786C38">
        <w:rPr>
          <w:rStyle w:val="FootnoteReference"/>
        </w:rPr>
        <w:t xml:space="preserve"> </w:t>
      </w:r>
      <w:r w:rsidRPr="00786C38">
        <w:t>№</w:t>
      </w:r>
      <w:r>
        <w:t xml:space="preserve"> 1а </w:t>
      </w:r>
    </w:p>
  </w:footnote>
  <w:footnote w:id="100">
    <w:p w:rsidR="00CE3B8D" w:rsidRPr="004D4532" w:rsidRDefault="00CE3B8D" w:rsidP="005729DD">
      <w:pPr>
        <w:pStyle w:val="FootnoteText"/>
        <w:rPr>
          <w:i/>
          <w:lang w:val="en-US"/>
        </w:rPr>
      </w:pPr>
      <w:r w:rsidRPr="00786C38">
        <w:rPr>
          <w:rStyle w:val="FootnoteReference"/>
        </w:rPr>
        <w:footnoteRef/>
      </w:r>
      <w:r w:rsidRPr="00786C38">
        <w:t xml:space="preserve"> </w:t>
      </w:r>
      <w:r w:rsidRPr="00436D6E">
        <w:t xml:space="preserve"> </w:t>
      </w:r>
      <w:r w:rsidRPr="005102B3">
        <w:t xml:space="preserve">Одитно доказателство </w:t>
      </w:r>
      <w:r w:rsidRPr="00786C38">
        <w:t>№</w:t>
      </w:r>
      <w:r w:rsidRPr="00786C38">
        <w:rPr>
          <w:lang w:val="en-US"/>
        </w:rPr>
        <w:t xml:space="preserve"> </w:t>
      </w:r>
      <w:r>
        <w:t>52</w:t>
      </w:r>
    </w:p>
  </w:footnote>
  <w:footnote w:id="101">
    <w:p w:rsidR="00CE3B8D" w:rsidRPr="004D4532" w:rsidRDefault="00CE3B8D" w:rsidP="004D4532">
      <w:pPr>
        <w:pStyle w:val="FootnoteText"/>
        <w:jc w:val="both"/>
        <w:rPr>
          <w:i/>
        </w:rPr>
      </w:pPr>
      <w:r w:rsidRPr="000F7BC1">
        <w:rPr>
          <w:rStyle w:val="FootnoteReference"/>
        </w:rPr>
        <w:footnoteRef/>
      </w:r>
      <w:r w:rsidRPr="000F7BC1">
        <w:t xml:space="preserve"> </w:t>
      </w:r>
      <w:r w:rsidRPr="005102B3">
        <w:t xml:space="preserve">Одитно доказателство </w:t>
      </w:r>
      <w:r w:rsidRPr="000F7BC1">
        <w:t>№  53</w:t>
      </w:r>
    </w:p>
  </w:footnote>
  <w:footnote w:id="102">
    <w:p w:rsidR="00CE3B8D" w:rsidRPr="000F7BC1" w:rsidRDefault="00CE3B8D" w:rsidP="00AD0BA6">
      <w:pPr>
        <w:pStyle w:val="FootnoteText"/>
      </w:pPr>
      <w:r w:rsidRPr="000F7BC1">
        <w:rPr>
          <w:rStyle w:val="FootnoteReference"/>
        </w:rPr>
        <w:footnoteRef/>
      </w:r>
      <w:r w:rsidRPr="000F7BC1">
        <w:t xml:space="preserve"> </w:t>
      </w:r>
      <w:r w:rsidRPr="005102B3">
        <w:t xml:space="preserve">Одитно доказателство </w:t>
      </w:r>
      <w:r w:rsidRPr="000F7BC1">
        <w:t xml:space="preserve">№ 54  </w:t>
      </w:r>
    </w:p>
  </w:footnote>
  <w:footnote w:id="103">
    <w:p w:rsidR="00CE3B8D" w:rsidRPr="000F7BC1" w:rsidRDefault="00CE3B8D" w:rsidP="00AD0BA6">
      <w:pPr>
        <w:pStyle w:val="FootnoteText"/>
      </w:pPr>
      <w:r w:rsidRPr="000F7BC1">
        <w:rPr>
          <w:rStyle w:val="FootnoteReference"/>
        </w:rPr>
        <w:footnoteRef/>
      </w:r>
      <w:r w:rsidRPr="000F7BC1">
        <w:t xml:space="preserve"> </w:t>
      </w:r>
      <w:r w:rsidRPr="005102B3">
        <w:t xml:space="preserve">Одитно доказателство </w:t>
      </w:r>
      <w:r w:rsidRPr="000F7BC1">
        <w:t xml:space="preserve">№ 55   </w:t>
      </w:r>
    </w:p>
  </w:footnote>
  <w:footnote w:id="104">
    <w:p w:rsidR="00CE3B8D" w:rsidRPr="000F7BC1" w:rsidRDefault="00CE3B8D" w:rsidP="00AD0BA6">
      <w:pPr>
        <w:pStyle w:val="FootnoteText"/>
      </w:pPr>
      <w:r w:rsidRPr="000F7BC1">
        <w:rPr>
          <w:rStyle w:val="FootnoteReference"/>
        </w:rPr>
        <w:footnoteRef/>
      </w:r>
      <w:r w:rsidRPr="000F7BC1">
        <w:t xml:space="preserve"> </w:t>
      </w:r>
      <w:r w:rsidRPr="005102B3">
        <w:t xml:space="preserve">Одитно доказателство </w:t>
      </w:r>
      <w:r w:rsidRPr="000F7BC1">
        <w:t xml:space="preserve">№ 56   </w:t>
      </w:r>
    </w:p>
  </w:footnote>
  <w:footnote w:id="105">
    <w:p w:rsidR="00CE3B8D" w:rsidRPr="00652D69" w:rsidRDefault="00CE3B8D" w:rsidP="004D4532">
      <w:pPr>
        <w:pStyle w:val="FootnoteText"/>
        <w:jc w:val="both"/>
      </w:pPr>
      <w:r w:rsidRPr="00652D69">
        <w:rPr>
          <w:rStyle w:val="FootnoteReference"/>
        </w:rPr>
        <w:footnoteRef/>
      </w:r>
      <w:r w:rsidRPr="00652D69">
        <w:t xml:space="preserve"> </w:t>
      </w:r>
      <w:r w:rsidRPr="00652D69">
        <w:rPr>
          <w:color w:val="000000"/>
        </w:rPr>
        <w:t>Доставка на компютърно оборудване, комуникационно оборудване и софтуерни лицензи за сградата на Софийския районен съд на бул. „Цар Борис III” № 54”, ІІ-ра обособена позиция „Доставка и монтаж на комуникационно оборудване</w:t>
      </w:r>
      <w:r>
        <w:rPr>
          <w:color w:val="000000"/>
        </w:rPr>
        <w:t>“</w:t>
      </w:r>
    </w:p>
  </w:footnote>
  <w:footnote w:id="106">
    <w:p w:rsidR="00CE3B8D" w:rsidRPr="00617826" w:rsidRDefault="00CE3B8D" w:rsidP="00AD0BA6">
      <w:pPr>
        <w:pStyle w:val="FootnoteText"/>
        <w:rPr>
          <w:sz w:val="18"/>
          <w:szCs w:val="18"/>
        </w:rPr>
      </w:pPr>
      <w:r w:rsidRPr="00617826">
        <w:rPr>
          <w:rStyle w:val="FootnoteReference"/>
        </w:rPr>
        <w:footnoteRef/>
      </w:r>
      <w:r>
        <w:t xml:space="preserve"> </w:t>
      </w:r>
      <w:r w:rsidRPr="005102B3">
        <w:t>Одитно доказателство</w:t>
      </w:r>
      <w:r w:rsidRPr="00617826">
        <w:t xml:space="preserve"> </w:t>
      </w:r>
      <w:r w:rsidRPr="00A90676">
        <w:t xml:space="preserve">№ 57 </w:t>
      </w:r>
      <w:r w:rsidRPr="00617826">
        <w:t xml:space="preserve">   </w:t>
      </w:r>
    </w:p>
  </w:footnote>
  <w:footnote w:id="107">
    <w:p w:rsidR="00CE3B8D" w:rsidRPr="00943308" w:rsidRDefault="00CE3B8D" w:rsidP="00AD0BA6">
      <w:pPr>
        <w:pStyle w:val="FootnoteText"/>
        <w:rPr>
          <w:lang w:val="en-US"/>
        </w:rPr>
      </w:pPr>
      <w:r w:rsidRPr="001F656E">
        <w:rPr>
          <w:rStyle w:val="FootnoteReference"/>
        </w:rPr>
        <w:footnoteRef/>
      </w:r>
      <w:r w:rsidRPr="001F656E">
        <w:t xml:space="preserve"> </w:t>
      </w:r>
      <w:r w:rsidRPr="005102B3">
        <w:t xml:space="preserve">Одитно доказателство </w:t>
      </w:r>
      <w:r w:rsidRPr="001F656E">
        <w:t xml:space="preserve">№ </w:t>
      </w:r>
      <w:r w:rsidRPr="00943308">
        <w:t>58</w:t>
      </w:r>
    </w:p>
  </w:footnote>
  <w:footnote w:id="108">
    <w:p w:rsidR="00CE3B8D" w:rsidRPr="001F656E" w:rsidRDefault="00CE3B8D" w:rsidP="00AD0BA6">
      <w:pPr>
        <w:pStyle w:val="FootnoteText"/>
      </w:pPr>
      <w:r w:rsidRPr="001F656E">
        <w:rPr>
          <w:rStyle w:val="FootnoteReference"/>
        </w:rPr>
        <w:footnoteRef/>
      </w:r>
      <w:r w:rsidRPr="001F656E">
        <w:t xml:space="preserve"> </w:t>
      </w:r>
      <w:r w:rsidRPr="005102B3">
        <w:t xml:space="preserve">Одитно доказателство </w:t>
      </w:r>
      <w:r w:rsidRPr="001F656E">
        <w:t xml:space="preserve">№ 59  </w:t>
      </w:r>
    </w:p>
  </w:footnote>
  <w:footnote w:id="109">
    <w:p w:rsidR="00CE3B8D" w:rsidRPr="00773775" w:rsidRDefault="00CE3B8D" w:rsidP="00773775">
      <w:pPr>
        <w:pStyle w:val="FootnoteText"/>
        <w:jc w:val="both"/>
      </w:pPr>
      <w:r w:rsidRPr="00773775">
        <w:rPr>
          <w:rStyle w:val="FootnoteReference"/>
        </w:rPr>
        <w:footnoteRef/>
      </w:r>
      <w:r w:rsidRPr="00773775">
        <w:t xml:space="preserve"> </w:t>
      </w:r>
      <w:r w:rsidRPr="00773775">
        <w:rPr>
          <w:i/>
        </w:rPr>
        <w:t>Договор от 29.05.2014 г. за ОП</w:t>
      </w:r>
      <w:r w:rsidRPr="00773775">
        <w:rPr>
          <w:i/>
          <w:sz w:val="24"/>
          <w:szCs w:val="24"/>
        </w:rPr>
        <w:t xml:space="preserve"> „</w:t>
      </w:r>
      <w:r w:rsidRPr="00773775">
        <w:rPr>
          <w:i/>
        </w:rPr>
        <w:t>Озвучителна и информационна система за съдебните зали за сградата на СРС, ОП Доставка на многофункционални устройства за копиране, сканиране и принтиране и предоставяне на услуги по управление на печата в сградата на Софийския районен съд“, ОП “Доставка на компютърно оборудване, комуникационно оборудване и софтуерни лицензии за сградата на СРС“</w:t>
      </w:r>
      <w:r w:rsidRPr="00773775">
        <w:rPr>
          <w:i/>
          <w:color w:val="000000"/>
          <w:shd w:val="clear" w:color="auto" w:fill="E9FCE9"/>
        </w:rPr>
        <w:t xml:space="preserve"> </w:t>
      </w:r>
    </w:p>
  </w:footnote>
  <w:footnote w:id="110">
    <w:p w:rsidR="00CE3B8D" w:rsidRPr="00773775" w:rsidRDefault="00CE3B8D" w:rsidP="00773775">
      <w:pPr>
        <w:pStyle w:val="FootnoteText"/>
        <w:jc w:val="both"/>
      </w:pPr>
      <w:r w:rsidRPr="00773775">
        <w:rPr>
          <w:rStyle w:val="FootnoteReference"/>
        </w:rPr>
        <w:footnoteRef/>
      </w:r>
      <w:r w:rsidRPr="00773775">
        <w:t xml:space="preserve"> Договор от 30.05.2014 г.за ОП</w:t>
      </w:r>
      <w:r w:rsidRPr="00773775">
        <w:rPr>
          <w:i/>
        </w:rPr>
        <w:t xml:space="preserve"> „Доставка на многофункционални устройства за копиране, сканиране и принтиране и предоставяне на услуги по управление на печата в сградата на Софийския районен съд“</w:t>
      </w:r>
    </w:p>
  </w:footnote>
  <w:footnote w:id="111">
    <w:p w:rsidR="00CE3B8D" w:rsidRPr="00894C29" w:rsidRDefault="00CE3B8D" w:rsidP="00AD0BA6">
      <w:pPr>
        <w:pStyle w:val="FootnoteText"/>
      </w:pPr>
      <w:r>
        <w:rPr>
          <w:rStyle w:val="FootnoteReference"/>
        </w:rPr>
        <w:footnoteRef/>
      </w:r>
      <w:r>
        <w:t xml:space="preserve"> </w:t>
      </w:r>
      <w:r w:rsidRPr="005102B3">
        <w:t xml:space="preserve">Одитно доказателство </w:t>
      </w:r>
      <w:r w:rsidRPr="004D4532">
        <w:t>№ 61</w:t>
      </w:r>
      <w:r>
        <w:t xml:space="preserve"> </w:t>
      </w:r>
      <w:r w:rsidRPr="00894C29">
        <w:t xml:space="preserve"> </w:t>
      </w:r>
      <w:r>
        <w:t xml:space="preserve"> </w:t>
      </w:r>
    </w:p>
  </w:footnote>
  <w:footnote w:id="112">
    <w:p w:rsidR="00CE3B8D" w:rsidRDefault="00CE3B8D" w:rsidP="004D4532">
      <w:pPr>
        <w:pStyle w:val="FootnoteText"/>
        <w:jc w:val="both"/>
      </w:pPr>
      <w:r>
        <w:rPr>
          <w:rStyle w:val="FootnoteReference"/>
        </w:rPr>
        <w:footnoteRef/>
      </w:r>
      <w:r>
        <w:t xml:space="preserve"> Договор от 05.08.2014 г. с Мултико 92- стойност 87 494.80 лв. без ДДС по позиция №1за хартия;</w:t>
      </w:r>
    </w:p>
    <w:p w:rsidR="00CE3B8D" w:rsidRDefault="00CE3B8D" w:rsidP="004D4532">
      <w:pPr>
        <w:pStyle w:val="FootnoteText"/>
        <w:jc w:val="both"/>
      </w:pPr>
      <w:r>
        <w:t>Договор от 05.08.2014 г. с Роел-98 ООД по позиция №2 на стойност 37 944.78 лв. без ДДС;</w:t>
      </w:r>
    </w:p>
    <w:p w:rsidR="00CE3B8D" w:rsidRDefault="00CE3B8D" w:rsidP="004D4532">
      <w:pPr>
        <w:pStyle w:val="FootnoteText"/>
        <w:jc w:val="both"/>
      </w:pPr>
      <w:r>
        <w:t>Договор от 05.08.2014 г. с Роел -98 ООД по позиция № 3 на стойност 28 853.60 лв. без ДДС;</w:t>
      </w:r>
    </w:p>
    <w:p w:rsidR="00CE3B8D" w:rsidRDefault="00CE3B8D" w:rsidP="004D4532">
      <w:pPr>
        <w:pStyle w:val="FootnoteText"/>
        <w:jc w:val="both"/>
      </w:pPr>
      <w:r>
        <w:t>Договор от 05.08.2014 г. с Диджитекс  ООД по позиция № 4 на стойност 235 930 лв. без ДДС;</w:t>
      </w:r>
    </w:p>
    <w:p w:rsidR="00CE3B8D" w:rsidRDefault="00CE3B8D" w:rsidP="004D4532">
      <w:pPr>
        <w:pStyle w:val="FootnoteText"/>
        <w:jc w:val="both"/>
      </w:pPr>
      <w:r>
        <w:t>Договор от 05.08.2014 г. с Ронос ООД по позиция № 5 на стойност 142 655 лв. без ДДС;</w:t>
      </w:r>
    </w:p>
    <w:p w:rsidR="00CE3B8D" w:rsidRDefault="00CE3B8D" w:rsidP="004D4532">
      <w:pPr>
        <w:pStyle w:val="FootnoteText"/>
        <w:jc w:val="both"/>
      </w:pPr>
      <w:r>
        <w:t>Договор от 05.08.2014 г. с Инфо-АДЛ ЕООД по позиция № 6 на стойност 343 900,75 лв. без ДДС;</w:t>
      </w:r>
    </w:p>
    <w:p w:rsidR="00CE3B8D" w:rsidRDefault="00CE3B8D" w:rsidP="004D4532">
      <w:pPr>
        <w:pStyle w:val="FootnoteText"/>
        <w:jc w:val="both"/>
      </w:pPr>
      <w:r>
        <w:t>Договор от 05.08.2014 г. с Роел 98 ООД по позиция № 7 на стойност 55 961.32 без ДДС;</w:t>
      </w:r>
    </w:p>
    <w:p w:rsidR="00CE3B8D" w:rsidRDefault="00CE3B8D" w:rsidP="004D4532">
      <w:pPr>
        <w:pStyle w:val="FootnoteText"/>
        <w:jc w:val="both"/>
      </w:pPr>
      <w:r>
        <w:t>Договор 05.08.2014 г. с МКД-96 ООД по позиция № 8 на стойност 181 520.50 лв. без ДДС</w:t>
      </w:r>
    </w:p>
  </w:footnote>
  <w:footnote w:id="113">
    <w:p w:rsidR="00CE3B8D" w:rsidRPr="00B30B21" w:rsidRDefault="00CE3B8D" w:rsidP="00AD0BA6">
      <w:pPr>
        <w:pStyle w:val="FootnoteText"/>
      </w:pPr>
      <w:r w:rsidRPr="00B30B21">
        <w:rPr>
          <w:rStyle w:val="FootnoteReference"/>
        </w:rPr>
        <w:footnoteRef/>
      </w:r>
      <w:r w:rsidRPr="00B30B21">
        <w:t xml:space="preserve"> </w:t>
      </w:r>
      <w:r w:rsidRPr="005102B3">
        <w:t xml:space="preserve">Одитно доказателство </w:t>
      </w:r>
      <w:r>
        <w:t>№ 62</w:t>
      </w:r>
      <w:r w:rsidRPr="00B30B21">
        <w:t xml:space="preserve"> </w:t>
      </w:r>
    </w:p>
  </w:footnote>
  <w:footnote w:id="114">
    <w:p w:rsidR="00CE3B8D" w:rsidRPr="00FB25AC" w:rsidRDefault="00CE3B8D" w:rsidP="00AD0BA6">
      <w:pPr>
        <w:pStyle w:val="FootnoteText"/>
      </w:pPr>
      <w:r w:rsidRPr="00FB25AC">
        <w:rPr>
          <w:rStyle w:val="FootnoteReference"/>
        </w:rPr>
        <w:footnoteRef/>
      </w:r>
      <w:r w:rsidRPr="00FB25AC">
        <w:t xml:space="preserve"> </w:t>
      </w:r>
      <w:r w:rsidRPr="005102B3">
        <w:t>Одитно доказателство</w:t>
      </w:r>
      <w:r w:rsidRPr="00FB25AC">
        <w:t xml:space="preserve"> № 63  </w:t>
      </w:r>
    </w:p>
  </w:footnote>
  <w:footnote w:id="115">
    <w:p w:rsidR="00CE3B8D" w:rsidRDefault="00CE3B8D">
      <w:pPr>
        <w:pStyle w:val="FootnoteText"/>
      </w:pPr>
      <w:r>
        <w:rPr>
          <w:rStyle w:val="FootnoteReference"/>
        </w:rPr>
        <w:footnoteRef/>
      </w:r>
      <w:r>
        <w:t xml:space="preserve"> Одитно доказателство № 82</w:t>
      </w:r>
    </w:p>
  </w:footnote>
  <w:footnote w:id="116">
    <w:p w:rsidR="00CE3B8D" w:rsidRPr="007C13C7" w:rsidRDefault="00CE3B8D" w:rsidP="00AD0BA6">
      <w:pPr>
        <w:pStyle w:val="FootnoteText"/>
      </w:pPr>
      <w:r w:rsidRPr="007C13C7">
        <w:rPr>
          <w:rStyle w:val="FootnoteReference"/>
        </w:rPr>
        <w:footnoteRef/>
      </w:r>
      <w:r w:rsidRPr="007C13C7">
        <w:t xml:space="preserve"> </w:t>
      </w:r>
      <w:r w:rsidRPr="005102B3">
        <w:t xml:space="preserve">Одитно доказателство </w:t>
      </w:r>
      <w:r w:rsidRPr="007C13C7">
        <w:t xml:space="preserve">№ 64    </w:t>
      </w:r>
    </w:p>
  </w:footnote>
  <w:footnote w:id="117">
    <w:p w:rsidR="00CE3B8D" w:rsidRPr="007C13C7" w:rsidRDefault="00CE3B8D" w:rsidP="00AD0BA6">
      <w:pPr>
        <w:pStyle w:val="FootnoteText"/>
      </w:pPr>
      <w:r w:rsidRPr="007C13C7">
        <w:rPr>
          <w:rStyle w:val="FootnoteReference"/>
        </w:rPr>
        <w:footnoteRef/>
      </w:r>
      <w:r w:rsidRPr="007C13C7">
        <w:t xml:space="preserve"> </w:t>
      </w:r>
      <w:r w:rsidRPr="005102B3">
        <w:t>Одитно доказателство</w:t>
      </w:r>
      <w:r w:rsidRPr="007C13C7">
        <w:t xml:space="preserve"> № 65  </w:t>
      </w:r>
    </w:p>
  </w:footnote>
  <w:footnote w:id="118">
    <w:p w:rsidR="00CE3B8D" w:rsidRPr="007C13C7" w:rsidRDefault="00CE3B8D" w:rsidP="00AD0BA6">
      <w:pPr>
        <w:pStyle w:val="FootnoteText"/>
      </w:pPr>
      <w:r w:rsidRPr="007C13C7">
        <w:rPr>
          <w:rStyle w:val="FootnoteReference"/>
        </w:rPr>
        <w:footnoteRef/>
      </w:r>
      <w:r w:rsidRPr="007C13C7">
        <w:t xml:space="preserve"> </w:t>
      </w:r>
      <w:r w:rsidRPr="005102B3">
        <w:t>Одитно доказателство</w:t>
      </w:r>
      <w:r w:rsidRPr="007C13C7">
        <w:t xml:space="preserve"> № 66</w:t>
      </w:r>
    </w:p>
  </w:footnote>
  <w:footnote w:id="119">
    <w:p w:rsidR="00CE3B8D" w:rsidRDefault="00CE3B8D" w:rsidP="004D4532">
      <w:pPr>
        <w:pStyle w:val="FootnoteText"/>
        <w:jc w:val="both"/>
      </w:pPr>
      <w:r>
        <w:rPr>
          <w:rStyle w:val="FootnoteReference"/>
        </w:rPr>
        <w:footnoteRef/>
      </w:r>
      <w:r>
        <w:t xml:space="preserve"> „</w:t>
      </w:r>
      <w:r w:rsidRPr="00513050">
        <w:t>Перфект Плюс</w:t>
      </w:r>
      <w:r>
        <w:t>“</w:t>
      </w:r>
      <w:r w:rsidRPr="00513050">
        <w:t xml:space="preserve"> с договор от 13.10. 2014 г.</w:t>
      </w:r>
      <w:r>
        <w:t xml:space="preserve"> -</w:t>
      </w:r>
      <w:r w:rsidRPr="00513050">
        <w:t xml:space="preserve"> гаранцията не е възстановена на следващия ден от сключването му</w:t>
      </w:r>
      <w:r>
        <w:t>, както изисква</w:t>
      </w:r>
      <w:r w:rsidRPr="00513050">
        <w:t xml:space="preserve"> чл.</w:t>
      </w:r>
      <w:r>
        <w:t xml:space="preserve"> </w:t>
      </w:r>
      <w:r w:rsidRPr="00513050">
        <w:t>62,ал.</w:t>
      </w:r>
      <w:r>
        <w:t xml:space="preserve"> </w:t>
      </w:r>
      <w:r w:rsidRPr="00513050">
        <w:t>1, т.</w:t>
      </w:r>
      <w:r>
        <w:t xml:space="preserve"> </w:t>
      </w:r>
      <w:r w:rsidRPr="00513050">
        <w:t>2  от ЗОП (отм.)</w:t>
      </w:r>
      <w:r>
        <w:t>, а</w:t>
      </w:r>
      <w:r w:rsidRPr="00513050">
        <w:t xml:space="preserve"> на 21.10.2014 г., </w:t>
      </w:r>
      <w:r>
        <w:t>„</w:t>
      </w:r>
      <w:r w:rsidRPr="00513050">
        <w:t>Диджитекс</w:t>
      </w:r>
      <w:r>
        <w:t>“</w:t>
      </w:r>
      <w:r w:rsidRPr="00513050">
        <w:t xml:space="preserve"> ООД с договор</w:t>
      </w:r>
      <w:r>
        <w:t xml:space="preserve"> от </w:t>
      </w:r>
      <w:r w:rsidRPr="00513050">
        <w:t>13.10.2014 г. гаранцията</w:t>
      </w:r>
      <w:r>
        <w:t xml:space="preserve"> също</w:t>
      </w:r>
      <w:r w:rsidRPr="00513050">
        <w:t xml:space="preserve"> не е възстановена на следващия ден след сключването му</w:t>
      </w:r>
    </w:p>
  </w:footnote>
  <w:footnote w:id="120">
    <w:p w:rsidR="00CE3B8D" w:rsidRPr="00344136" w:rsidRDefault="00CE3B8D" w:rsidP="00AD0BA6">
      <w:pPr>
        <w:pStyle w:val="FootnoteText"/>
      </w:pPr>
      <w:r w:rsidRPr="00344136">
        <w:rPr>
          <w:rStyle w:val="FootnoteReference"/>
        </w:rPr>
        <w:footnoteRef/>
      </w:r>
      <w:r w:rsidRPr="00344136">
        <w:t xml:space="preserve"> </w:t>
      </w:r>
      <w:r w:rsidRPr="005102B3">
        <w:t>Одитно доказателство</w:t>
      </w:r>
      <w:r w:rsidRPr="00344136">
        <w:t xml:space="preserve"> № 67   </w:t>
      </w:r>
    </w:p>
  </w:footnote>
  <w:footnote w:id="121">
    <w:p w:rsidR="00CE3B8D" w:rsidRPr="00344136" w:rsidRDefault="00CE3B8D" w:rsidP="00AD0BA6">
      <w:pPr>
        <w:pStyle w:val="FootnoteText"/>
      </w:pPr>
      <w:r w:rsidRPr="00344136">
        <w:rPr>
          <w:rStyle w:val="FootnoteReference"/>
        </w:rPr>
        <w:footnoteRef/>
      </w:r>
      <w:r>
        <w:t xml:space="preserve"> </w:t>
      </w:r>
      <w:r w:rsidRPr="00344136">
        <w:t>№АС-42 от 04.04.2014 г.</w:t>
      </w:r>
    </w:p>
  </w:footnote>
  <w:footnote w:id="122">
    <w:p w:rsidR="00CE3B8D" w:rsidRPr="00344136" w:rsidRDefault="00CE3B8D" w:rsidP="00AD0BA6">
      <w:pPr>
        <w:pStyle w:val="FootnoteText"/>
      </w:pPr>
      <w:r w:rsidRPr="00344136">
        <w:rPr>
          <w:rStyle w:val="FootnoteReference"/>
        </w:rPr>
        <w:footnoteRef/>
      </w:r>
      <w:r w:rsidRPr="00344136">
        <w:t xml:space="preserve"> </w:t>
      </w:r>
      <w:r>
        <w:t>„</w:t>
      </w:r>
      <w:r w:rsidRPr="00344136">
        <w:rPr>
          <w:bCs/>
        </w:rPr>
        <w:t>Леопард ММ</w:t>
      </w:r>
      <w:r>
        <w:rPr>
          <w:bCs/>
        </w:rPr>
        <w:t>“</w:t>
      </w:r>
      <w:r w:rsidRPr="00344136">
        <w:rPr>
          <w:bCs/>
        </w:rPr>
        <w:t xml:space="preserve"> ЕООД, </w:t>
      </w:r>
      <w:r>
        <w:rPr>
          <w:bCs/>
        </w:rPr>
        <w:t>„</w:t>
      </w:r>
      <w:r w:rsidRPr="00344136">
        <w:rPr>
          <w:bCs/>
        </w:rPr>
        <w:t>Ниведа</w:t>
      </w:r>
      <w:r>
        <w:rPr>
          <w:bCs/>
        </w:rPr>
        <w:t>“</w:t>
      </w:r>
      <w:r w:rsidRPr="00344136">
        <w:rPr>
          <w:bCs/>
        </w:rPr>
        <w:t xml:space="preserve"> ЕООД, </w:t>
      </w:r>
      <w:r>
        <w:rPr>
          <w:bCs/>
        </w:rPr>
        <w:t>„</w:t>
      </w:r>
      <w:r w:rsidRPr="00344136">
        <w:rPr>
          <w:bCs/>
        </w:rPr>
        <w:t>Диалог плюс</w:t>
      </w:r>
      <w:r>
        <w:rPr>
          <w:bCs/>
        </w:rPr>
        <w:t>“</w:t>
      </w:r>
      <w:r w:rsidRPr="00344136">
        <w:rPr>
          <w:bCs/>
        </w:rPr>
        <w:t xml:space="preserve"> ООД, ЕТ </w:t>
      </w:r>
      <w:r>
        <w:rPr>
          <w:bCs/>
        </w:rPr>
        <w:t>„</w:t>
      </w:r>
      <w:r w:rsidRPr="00344136">
        <w:rPr>
          <w:bCs/>
        </w:rPr>
        <w:t>Престиж 21</w:t>
      </w:r>
      <w:r>
        <w:rPr>
          <w:bCs/>
        </w:rPr>
        <w:t>“</w:t>
      </w:r>
      <w:r w:rsidRPr="00344136">
        <w:rPr>
          <w:bCs/>
        </w:rPr>
        <w:t xml:space="preserve">, </w:t>
      </w:r>
      <w:r>
        <w:rPr>
          <w:bCs/>
        </w:rPr>
        <w:t>„</w:t>
      </w:r>
      <w:r w:rsidRPr="00344136">
        <w:rPr>
          <w:bCs/>
        </w:rPr>
        <w:t>Артел 22</w:t>
      </w:r>
      <w:r>
        <w:rPr>
          <w:bCs/>
        </w:rPr>
        <w:t>“</w:t>
      </w:r>
      <w:r w:rsidRPr="00344136">
        <w:rPr>
          <w:bCs/>
        </w:rPr>
        <w:t xml:space="preserve"> ЕООД, ЕТ </w:t>
      </w:r>
      <w:r>
        <w:rPr>
          <w:bCs/>
        </w:rPr>
        <w:t>„</w:t>
      </w:r>
      <w:r w:rsidRPr="00344136">
        <w:rPr>
          <w:bCs/>
        </w:rPr>
        <w:t>Жарава БТ</w:t>
      </w:r>
      <w:r>
        <w:rPr>
          <w:bCs/>
        </w:rPr>
        <w:t>“</w:t>
      </w:r>
      <w:r w:rsidRPr="00344136">
        <w:rPr>
          <w:bCs/>
        </w:rPr>
        <w:t xml:space="preserve">, </w:t>
      </w:r>
      <w:r>
        <w:rPr>
          <w:bCs/>
        </w:rPr>
        <w:t>„</w:t>
      </w:r>
      <w:r w:rsidRPr="00344136">
        <w:rPr>
          <w:bCs/>
        </w:rPr>
        <w:t>Интерланг</w:t>
      </w:r>
      <w:r>
        <w:rPr>
          <w:bCs/>
        </w:rPr>
        <w:t>“</w:t>
      </w:r>
      <w:r w:rsidRPr="00344136">
        <w:rPr>
          <w:bCs/>
        </w:rPr>
        <w:t xml:space="preserve"> ЕООД, </w:t>
      </w:r>
      <w:r>
        <w:rPr>
          <w:bCs/>
        </w:rPr>
        <w:t>„</w:t>
      </w:r>
      <w:r w:rsidRPr="00344136">
        <w:rPr>
          <w:bCs/>
        </w:rPr>
        <w:t>Алма консулт</w:t>
      </w:r>
      <w:r>
        <w:rPr>
          <w:bCs/>
        </w:rPr>
        <w:t>“</w:t>
      </w:r>
      <w:r w:rsidRPr="00344136">
        <w:rPr>
          <w:bCs/>
        </w:rPr>
        <w:t xml:space="preserve"> ООД  </w:t>
      </w:r>
    </w:p>
  </w:footnote>
  <w:footnote w:id="123">
    <w:p w:rsidR="00CE3B8D" w:rsidRPr="00344136" w:rsidRDefault="00CE3B8D" w:rsidP="00AD0BA6">
      <w:pPr>
        <w:pStyle w:val="FootnoteText"/>
      </w:pPr>
      <w:r w:rsidRPr="00344136">
        <w:rPr>
          <w:rStyle w:val="FootnoteReference"/>
        </w:rPr>
        <w:footnoteRef/>
      </w:r>
      <w:r w:rsidRPr="00344136">
        <w:t xml:space="preserve"> </w:t>
      </w:r>
      <w:r w:rsidRPr="005102B3">
        <w:t>Одитно доказателство</w:t>
      </w:r>
      <w:r w:rsidRPr="00344136">
        <w:t xml:space="preserve"> № 68  </w:t>
      </w:r>
    </w:p>
  </w:footnote>
  <w:footnote w:id="124">
    <w:p w:rsidR="00CE3B8D" w:rsidRPr="00344136" w:rsidRDefault="00CE3B8D" w:rsidP="00AD0BA6">
      <w:pPr>
        <w:pStyle w:val="FootnoteText"/>
      </w:pPr>
      <w:r w:rsidRPr="00344136">
        <w:rPr>
          <w:rStyle w:val="FootnoteReference"/>
        </w:rPr>
        <w:footnoteRef/>
      </w:r>
      <w:r>
        <w:t xml:space="preserve"> З</w:t>
      </w:r>
      <w:r w:rsidRPr="00344136">
        <w:t>аповед № АС-208 от 13.12.2014 г.</w:t>
      </w:r>
      <w:r w:rsidRPr="00344136">
        <w:rPr>
          <w:rStyle w:val="FootnoteReference"/>
        </w:rPr>
        <w:t xml:space="preserve"> </w:t>
      </w:r>
      <w:r w:rsidRPr="00344136">
        <w:t xml:space="preserve">  </w:t>
      </w:r>
    </w:p>
  </w:footnote>
  <w:footnote w:id="125">
    <w:p w:rsidR="00CE3B8D" w:rsidRPr="00344136" w:rsidRDefault="00CE3B8D" w:rsidP="00AD0BA6">
      <w:pPr>
        <w:pStyle w:val="FootnoteText"/>
      </w:pPr>
      <w:r w:rsidRPr="00344136">
        <w:rPr>
          <w:rStyle w:val="FootnoteReference"/>
        </w:rPr>
        <w:footnoteRef/>
      </w:r>
      <w:r w:rsidRPr="00344136">
        <w:t xml:space="preserve"> </w:t>
      </w:r>
      <w:r w:rsidRPr="005102B3">
        <w:t>Одитно доказателство</w:t>
      </w:r>
      <w:r w:rsidRPr="00344136">
        <w:t xml:space="preserve"> № 69   </w:t>
      </w:r>
    </w:p>
  </w:footnote>
  <w:footnote w:id="126">
    <w:p w:rsidR="00CE3B8D" w:rsidRPr="00344136" w:rsidRDefault="00CE3B8D" w:rsidP="00AD0BA6">
      <w:pPr>
        <w:pStyle w:val="FootnoteText"/>
      </w:pPr>
      <w:r w:rsidRPr="00344136">
        <w:rPr>
          <w:rStyle w:val="FootnoteReference"/>
        </w:rPr>
        <w:footnoteRef/>
      </w:r>
      <w:r w:rsidRPr="00344136">
        <w:t xml:space="preserve">  Писмо по електронна поща от 30.10.2014 г.</w:t>
      </w:r>
    </w:p>
  </w:footnote>
  <w:footnote w:id="127">
    <w:p w:rsidR="00CE3B8D" w:rsidRPr="00344136" w:rsidRDefault="00CE3B8D" w:rsidP="00AD0BA6">
      <w:pPr>
        <w:pStyle w:val="FootnoteText"/>
      </w:pPr>
      <w:r w:rsidRPr="00344136">
        <w:rPr>
          <w:rStyle w:val="FootnoteReference"/>
        </w:rPr>
        <w:footnoteRef/>
      </w:r>
      <w:r w:rsidRPr="00344136">
        <w:t xml:space="preserve"> № АС-170 от 11.11.2014 г.</w:t>
      </w:r>
    </w:p>
  </w:footnote>
  <w:footnote w:id="128">
    <w:p w:rsidR="00CE3B8D" w:rsidRPr="00344136" w:rsidRDefault="00CE3B8D" w:rsidP="00AD0BA6">
      <w:pPr>
        <w:pStyle w:val="FootnoteText"/>
      </w:pPr>
      <w:r w:rsidRPr="00344136">
        <w:rPr>
          <w:rStyle w:val="FootnoteReference"/>
        </w:rPr>
        <w:footnoteRef/>
      </w:r>
      <w:r w:rsidRPr="00344136">
        <w:t xml:space="preserve"> Писмо №1974 от 17.11.2014 г.</w:t>
      </w:r>
    </w:p>
  </w:footnote>
  <w:footnote w:id="129">
    <w:p w:rsidR="00CE3B8D" w:rsidRPr="00344136" w:rsidRDefault="00CE3B8D" w:rsidP="00AD0BA6">
      <w:pPr>
        <w:pStyle w:val="FootnoteText"/>
      </w:pPr>
      <w:r w:rsidRPr="00344136">
        <w:rPr>
          <w:rStyle w:val="FootnoteReference"/>
        </w:rPr>
        <w:footnoteRef/>
      </w:r>
      <w:r w:rsidRPr="00344136">
        <w:t xml:space="preserve"> </w:t>
      </w:r>
      <w:r w:rsidRPr="005102B3">
        <w:t xml:space="preserve">Одитно доказателство </w:t>
      </w:r>
      <w:r w:rsidRPr="00344136">
        <w:t xml:space="preserve">№ 70  </w:t>
      </w:r>
    </w:p>
  </w:footnote>
  <w:footnote w:id="130">
    <w:p w:rsidR="00CE3B8D" w:rsidRPr="00417D40" w:rsidRDefault="00CE3B8D" w:rsidP="00E20F75">
      <w:pPr>
        <w:pStyle w:val="FootnoteText"/>
      </w:pPr>
      <w:r w:rsidRPr="00417D40">
        <w:rPr>
          <w:rStyle w:val="FootnoteReference"/>
        </w:rPr>
        <w:footnoteRef/>
      </w:r>
      <w:r w:rsidRPr="00417D40">
        <w:rPr>
          <w:color w:val="FF0000"/>
        </w:rPr>
        <w:t xml:space="preserve"> </w:t>
      </w:r>
      <w:r w:rsidRPr="005102B3">
        <w:t>Одитно доказателство</w:t>
      </w:r>
      <w:r w:rsidRPr="00417D40">
        <w:t xml:space="preserve"> № 71   </w:t>
      </w:r>
    </w:p>
  </w:footnote>
  <w:footnote w:id="131">
    <w:p w:rsidR="00CE3B8D" w:rsidRPr="00344136" w:rsidRDefault="00CE3B8D" w:rsidP="007439BC">
      <w:pPr>
        <w:pStyle w:val="FootnoteText"/>
      </w:pPr>
      <w:r w:rsidRPr="00344136">
        <w:rPr>
          <w:rStyle w:val="FootnoteReference"/>
        </w:rPr>
        <w:footnoteRef/>
      </w:r>
      <w:r w:rsidRPr="00344136">
        <w:t xml:space="preserve"> </w:t>
      </w:r>
      <w:r w:rsidRPr="005102B3">
        <w:t>Одитно доказателство</w:t>
      </w:r>
      <w:r w:rsidRPr="00344136">
        <w:rPr>
          <w:lang w:val="en-US"/>
        </w:rPr>
        <w:t xml:space="preserve"> </w:t>
      </w:r>
      <w:r w:rsidRPr="00344136">
        <w:t>№ 7</w:t>
      </w:r>
      <w:r>
        <w:t>2</w:t>
      </w:r>
      <w:r w:rsidRPr="00344136">
        <w:t xml:space="preserve">    </w:t>
      </w:r>
    </w:p>
  </w:footnote>
  <w:footnote w:id="132">
    <w:p w:rsidR="00CE3B8D" w:rsidRPr="00344136" w:rsidRDefault="00CE3B8D" w:rsidP="007439BC">
      <w:pPr>
        <w:pStyle w:val="FootnoteText"/>
      </w:pPr>
      <w:r w:rsidRPr="00344136">
        <w:rPr>
          <w:rStyle w:val="FootnoteReference"/>
        </w:rPr>
        <w:footnoteRef/>
      </w:r>
      <w:r w:rsidRPr="00344136">
        <w:t xml:space="preserve"> </w:t>
      </w:r>
      <w:r w:rsidRPr="005102B3">
        <w:t>Одитно доказателство</w:t>
      </w:r>
      <w:r w:rsidRPr="00344136">
        <w:t xml:space="preserve"> № 7</w:t>
      </w:r>
      <w:r>
        <w:t>3</w:t>
      </w:r>
      <w:r w:rsidRPr="00344136">
        <w:t xml:space="preserve">   . </w:t>
      </w:r>
    </w:p>
  </w:footnote>
  <w:footnote w:id="133">
    <w:p w:rsidR="00CE3B8D" w:rsidRPr="00344136" w:rsidRDefault="00CE3B8D" w:rsidP="00A403F8">
      <w:pPr>
        <w:pStyle w:val="FootnoteText"/>
      </w:pPr>
      <w:r w:rsidRPr="00344136">
        <w:rPr>
          <w:rStyle w:val="FootnoteReference"/>
        </w:rPr>
        <w:footnoteRef/>
      </w:r>
      <w:r w:rsidRPr="00344136">
        <w:t xml:space="preserve"> </w:t>
      </w:r>
      <w:r w:rsidRPr="005102B3">
        <w:t>Одитно доказателство</w:t>
      </w:r>
      <w:r w:rsidRPr="00344136">
        <w:t xml:space="preserve"> № 7</w:t>
      </w:r>
      <w:r>
        <w:t>4</w:t>
      </w:r>
      <w:r w:rsidRPr="00344136">
        <w:t xml:space="preserve">  </w:t>
      </w:r>
    </w:p>
  </w:footnote>
  <w:footnote w:id="134">
    <w:p w:rsidR="00CE3B8D" w:rsidRDefault="00CE3B8D" w:rsidP="007B2283">
      <w:pPr>
        <w:pStyle w:val="FootnoteText"/>
        <w:jc w:val="both"/>
      </w:pPr>
      <w:r>
        <w:rPr>
          <w:rStyle w:val="FootnoteReference"/>
        </w:rPr>
        <w:footnoteRef/>
      </w:r>
      <w:r>
        <w:t xml:space="preserve"> Което включва доставка на оборудване и софтуер, изграждане на необходимата комуникационна инфраструктура, както и тестове на системата и обучение на персонала за работа с нея</w:t>
      </w:r>
    </w:p>
  </w:footnote>
  <w:footnote w:id="135">
    <w:p w:rsidR="00CE3B8D" w:rsidRPr="00344136" w:rsidRDefault="00CE3B8D" w:rsidP="00FB5D89">
      <w:pPr>
        <w:pStyle w:val="FootnoteText"/>
      </w:pPr>
      <w:r w:rsidRPr="00344136">
        <w:rPr>
          <w:rStyle w:val="FootnoteReference"/>
        </w:rPr>
        <w:footnoteRef/>
      </w:r>
      <w:r w:rsidRPr="00344136">
        <w:t xml:space="preserve"> </w:t>
      </w:r>
      <w:r w:rsidRPr="005102B3">
        <w:t>Одитно доказателство</w:t>
      </w:r>
      <w:r w:rsidRPr="00344136">
        <w:t xml:space="preserve"> № 76    </w:t>
      </w:r>
    </w:p>
  </w:footnote>
  <w:footnote w:id="136">
    <w:p w:rsidR="00CE3B8D" w:rsidRPr="00344136" w:rsidRDefault="00CE3B8D" w:rsidP="00CD0EC4">
      <w:pPr>
        <w:pStyle w:val="FootnoteText"/>
      </w:pPr>
      <w:r w:rsidRPr="00344136">
        <w:rPr>
          <w:rStyle w:val="FootnoteReference"/>
        </w:rPr>
        <w:footnoteRef/>
      </w:r>
      <w:r w:rsidRPr="00344136">
        <w:t xml:space="preserve"> </w:t>
      </w:r>
      <w:r w:rsidRPr="005102B3">
        <w:t>Одитно доказателство</w:t>
      </w:r>
      <w:r w:rsidRPr="00344136">
        <w:t xml:space="preserve"> № 7</w:t>
      </w:r>
      <w:r>
        <w:t>6</w:t>
      </w:r>
      <w:r w:rsidRPr="00344136">
        <w:t xml:space="preserve"> </w:t>
      </w:r>
    </w:p>
  </w:footnote>
  <w:footnote w:id="137">
    <w:p w:rsidR="00CE3B8D" w:rsidRPr="00344136" w:rsidRDefault="00CE3B8D" w:rsidP="00CD0EC4">
      <w:pPr>
        <w:pStyle w:val="FootnoteText"/>
      </w:pPr>
      <w:r w:rsidRPr="00344136">
        <w:rPr>
          <w:rStyle w:val="FootnoteReference"/>
        </w:rPr>
        <w:footnoteRef/>
      </w:r>
      <w:r w:rsidRPr="00344136">
        <w:t xml:space="preserve"> </w:t>
      </w:r>
      <w:r w:rsidRPr="005102B3">
        <w:t>Одитно доказателство</w:t>
      </w:r>
      <w:r>
        <w:t xml:space="preserve"> № 77</w:t>
      </w:r>
      <w:r w:rsidRPr="00344136">
        <w:t xml:space="preserve">  </w:t>
      </w:r>
    </w:p>
  </w:footnote>
  <w:footnote w:id="138">
    <w:p w:rsidR="00CE3B8D" w:rsidRDefault="00CE3B8D">
      <w:pPr>
        <w:pStyle w:val="FootnoteText"/>
      </w:pPr>
      <w:r>
        <w:rPr>
          <w:rStyle w:val="FootnoteReference"/>
        </w:rPr>
        <w:footnoteRef/>
      </w:r>
      <w:r>
        <w:t xml:space="preserve"> </w:t>
      </w:r>
      <w:r w:rsidRPr="00FE22D2">
        <w:t>доклад от 19.12.2014 г.</w:t>
      </w:r>
    </w:p>
  </w:footnote>
  <w:footnote w:id="139">
    <w:p w:rsidR="00CE3B8D" w:rsidRPr="00344136" w:rsidRDefault="00CE3B8D" w:rsidP="00FE22D2">
      <w:pPr>
        <w:pStyle w:val="FootnoteText"/>
      </w:pPr>
      <w:r w:rsidRPr="00344136">
        <w:rPr>
          <w:rStyle w:val="FootnoteReference"/>
        </w:rPr>
        <w:footnoteRef/>
      </w:r>
      <w:r w:rsidRPr="00344136">
        <w:t xml:space="preserve"> </w:t>
      </w:r>
      <w:r w:rsidRPr="005102B3">
        <w:t>Одитно доказателство</w:t>
      </w:r>
      <w:r w:rsidRPr="00344136">
        <w:t xml:space="preserve"> № 79    </w:t>
      </w:r>
    </w:p>
  </w:footnote>
  <w:footnote w:id="140">
    <w:p w:rsidR="00CE3B8D" w:rsidRPr="00344136" w:rsidRDefault="00CE3B8D" w:rsidP="00A65453">
      <w:pPr>
        <w:pStyle w:val="FootnoteText"/>
      </w:pPr>
      <w:r w:rsidRPr="00344136">
        <w:rPr>
          <w:rStyle w:val="FootnoteReference"/>
        </w:rPr>
        <w:footnoteRef/>
      </w:r>
      <w:r w:rsidRPr="00344136">
        <w:t xml:space="preserve"> </w:t>
      </w:r>
      <w:r w:rsidRPr="005102B3">
        <w:t>Одитно доказателство</w:t>
      </w:r>
      <w:r w:rsidRPr="00344136">
        <w:t xml:space="preserve"> № 80     </w:t>
      </w:r>
    </w:p>
  </w:footnote>
  <w:footnote w:id="141">
    <w:p w:rsidR="00CE3B8D" w:rsidRPr="00F06B4A" w:rsidRDefault="00CE3B8D">
      <w:pPr>
        <w:pStyle w:val="FootnoteText"/>
      </w:pPr>
      <w:r w:rsidRPr="00F06B4A">
        <w:rPr>
          <w:rStyle w:val="FootnoteReference"/>
        </w:rPr>
        <w:footnoteRef/>
      </w:r>
      <w:r w:rsidRPr="00F06B4A">
        <w:t xml:space="preserve"> Част ІІІ Костатации, раздел І, т.5, раздел ІІ, т. 4 и раздел ІV, т. 1, 3, 4 и 5</w:t>
      </w:r>
    </w:p>
  </w:footnote>
  <w:footnote w:id="142">
    <w:p w:rsidR="00CE3B8D" w:rsidRPr="00F06B4A" w:rsidRDefault="00CE3B8D" w:rsidP="00FA5085">
      <w:pPr>
        <w:pStyle w:val="FootnoteText"/>
      </w:pPr>
      <w:r w:rsidRPr="00F06B4A">
        <w:rPr>
          <w:rStyle w:val="FootnoteReference"/>
        </w:rPr>
        <w:footnoteRef/>
      </w:r>
      <w:r w:rsidRPr="00F06B4A">
        <w:t xml:space="preserve"> Част ІІІ Костатации, раздел І, т.5</w:t>
      </w:r>
    </w:p>
  </w:footnote>
  <w:footnote w:id="143">
    <w:p w:rsidR="00CE3B8D" w:rsidRPr="00F06B4A" w:rsidRDefault="00CE3B8D" w:rsidP="00FA5085">
      <w:pPr>
        <w:pStyle w:val="FootnoteText"/>
      </w:pPr>
      <w:r w:rsidRPr="00F06B4A">
        <w:rPr>
          <w:rStyle w:val="FootnoteReference"/>
        </w:rPr>
        <w:footnoteRef/>
      </w:r>
      <w:r w:rsidRPr="00F06B4A">
        <w:t xml:space="preserve"> Част ІІІ Костатации, раздел ІV, т.3</w:t>
      </w:r>
    </w:p>
  </w:footnote>
  <w:footnote w:id="144">
    <w:p w:rsidR="00CE3B8D" w:rsidRPr="00F06B4A" w:rsidRDefault="00CE3B8D" w:rsidP="00FA5085">
      <w:pPr>
        <w:pStyle w:val="FootnoteText"/>
      </w:pPr>
      <w:r w:rsidRPr="00F06B4A">
        <w:rPr>
          <w:rStyle w:val="FootnoteReference"/>
        </w:rPr>
        <w:footnoteRef/>
      </w:r>
      <w:r w:rsidRPr="00F06B4A">
        <w:t xml:space="preserve"> Част ІІІ, , раздел І, т.5, раздел ІV, т.4 и т. 5, раздел V, т. 2 </w:t>
      </w:r>
    </w:p>
  </w:footnote>
  <w:footnote w:id="145">
    <w:p w:rsidR="00CE3B8D" w:rsidRPr="00F06B4A" w:rsidRDefault="00CE3B8D" w:rsidP="00FA5085">
      <w:pPr>
        <w:pStyle w:val="FootnoteText"/>
      </w:pPr>
      <w:r w:rsidRPr="00F06B4A">
        <w:rPr>
          <w:rStyle w:val="FootnoteReference"/>
        </w:rPr>
        <w:footnoteRef/>
      </w:r>
      <w:r w:rsidRPr="00F06B4A">
        <w:t xml:space="preserve"> Част ІІІ Костатации, раздел ІV,т.5</w:t>
      </w:r>
    </w:p>
  </w:footnote>
  <w:footnote w:id="146">
    <w:p w:rsidR="00CE3B8D" w:rsidRDefault="00CE3B8D">
      <w:pPr>
        <w:pStyle w:val="FootnoteText"/>
      </w:pPr>
      <w:r w:rsidRPr="00F06B4A">
        <w:rPr>
          <w:rStyle w:val="FootnoteReference"/>
        </w:rPr>
        <w:footnoteRef/>
      </w:r>
      <w:r w:rsidRPr="00F06B4A">
        <w:t xml:space="preserve"> Част ІІІ Костатации, раздел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8D" w:rsidRPr="009F2DE1" w:rsidRDefault="00CE3B8D" w:rsidP="00FB3DDD">
    <w:pPr>
      <w:pStyle w:val="Header"/>
      <w:jc w:val="right"/>
      <w:rPr>
        <w:b/>
        <w:i/>
        <w:lang w:val="en-US"/>
      </w:rPr>
    </w:pP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4DD"/>
    <w:multiLevelType w:val="hybridMultilevel"/>
    <w:tmpl w:val="07603D44"/>
    <w:lvl w:ilvl="0" w:tplc="06B4A3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B25139A"/>
    <w:multiLevelType w:val="hybridMultilevel"/>
    <w:tmpl w:val="DA5A364C"/>
    <w:lvl w:ilvl="0" w:tplc="39083E2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21A7A73"/>
    <w:multiLevelType w:val="hybridMultilevel"/>
    <w:tmpl w:val="0168368C"/>
    <w:lvl w:ilvl="0" w:tplc="D0A853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C1BA3"/>
    <w:multiLevelType w:val="multilevel"/>
    <w:tmpl w:val="F6E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F30D5"/>
    <w:multiLevelType w:val="hybridMultilevel"/>
    <w:tmpl w:val="FECA26EE"/>
    <w:lvl w:ilvl="0" w:tplc="BD3AF19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48A5E33"/>
    <w:multiLevelType w:val="hybridMultilevel"/>
    <w:tmpl w:val="783E4F16"/>
    <w:lvl w:ilvl="0" w:tplc="9766CB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52879D8"/>
    <w:multiLevelType w:val="multilevel"/>
    <w:tmpl w:val="AF165F5E"/>
    <w:lvl w:ilvl="0">
      <w:start w:val="1"/>
      <w:numFmt w:val="decimal"/>
      <w:lvlText w:val="%1."/>
      <w:lvlJc w:val="left"/>
      <w:pPr>
        <w:ind w:left="1080" w:hanging="360"/>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E64534E"/>
    <w:multiLevelType w:val="hybridMultilevel"/>
    <w:tmpl w:val="C5F259BE"/>
    <w:lvl w:ilvl="0" w:tplc="7A5803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F1557C6"/>
    <w:multiLevelType w:val="hybridMultilevel"/>
    <w:tmpl w:val="6BEA7EE2"/>
    <w:lvl w:ilvl="0" w:tplc="CFB4B8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5B2F7306"/>
    <w:multiLevelType w:val="hybridMultilevel"/>
    <w:tmpl w:val="C8808808"/>
    <w:lvl w:ilvl="0" w:tplc="EC0063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5E9956B4"/>
    <w:multiLevelType w:val="hybridMultilevel"/>
    <w:tmpl w:val="A84C0E7C"/>
    <w:lvl w:ilvl="0" w:tplc="AA86559C">
      <w:start w:val="1"/>
      <w:numFmt w:val="decimal"/>
      <w:lvlText w:val="%1."/>
      <w:lvlJc w:val="left"/>
      <w:pPr>
        <w:ind w:left="1856" w:hanging="1005"/>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876B78"/>
    <w:multiLevelType w:val="multilevel"/>
    <w:tmpl w:val="A2FE98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66506A5"/>
    <w:multiLevelType w:val="hybridMultilevel"/>
    <w:tmpl w:val="E4D44C34"/>
    <w:lvl w:ilvl="0" w:tplc="5602117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6B7137E"/>
    <w:multiLevelType w:val="multilevel"/>
    <w:tmpl w:val="0EE01C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BBD5E35"/>
    <w:multiLevelType w:val="multilevel"/>
    <w:tmpl w:val="BCA6A5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2"/>
  </w:num>
  <w:num w:numId="3">
    <w:abstractNumId w:val="5"/>
  </w:num>
  <w:num w:numId="4">
    <w:abstractNumId w:val="8"/>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9"/>
  </w:num>
  <w:num w:numId="12">
    <w:abstractNumId w:val="0"/>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3AF"/>
    <w:rsid w:val="0000120B"/>
    <w:rsid w:val="0000163D"/>
    <w:rsid w:val="00001833"/>
    <w:rsid w:val="000019BA"/>
    <w:rsid w:val="00002204"/>
    <w:rsid w:val="000024CE"/>
    <w:rsid w:val="000026BB"/>
    <w:rsid w:val="000033D1"/>
    <w:rsid w:val="00003A86"/>
    <w:rsid w:val="000059FC"/>
    <w:rsid w:val="00005E1C"/>
    <w:rsid w:val="00005FF3"/>
    <w:rsid w:val="000068E4"/>
    <w:rsid w:val="00006A41"/>
    <w:rsid w:val="00006D7E"/>
    <w:rsid w:val="00010AE3"/>
    <w:rsid w:val="00012180"/>
    <w:rsid w:val="0001288B"/>
    <w:rsid w:val="00014E08"/>
    <w:rsid w:val="00015BD2"/>
    <w:rsid w:val="0001626C"/>
    <w:rsid w:val="00016572"/>
    <w:rsid w:val="000166DF"/>
    <w:rsid w:val="0001724B"/>
    <w:rsid w:val="0002098E"/>
    <w:rsid w:val="0002158A"/>
    <w:rsid w:val="0002166D"/>
    <w:rsid w:val="00021695"/>
    <w:rsid w:val="00021704"/>
    <w:rsid w:val="00022BFC"/>
    <w:rsid w:val="000241C8"/>
    <w:rsid w:val="00025DA6"/>
    <w:rsid w:val="00026269"/>
    <w:rsid w:val="000277A8"/>
    <w:rsid w:val="00027873"/>
    <w:rsid w:val="00027F64"/>
    <w:rsid w:val="0003043E"/>
    <w:rsid w:val="00030772"/>
    <w:rsid w:val="0003103B"/>
    <w:rsid w:val="000331A0"/>
    <w:rsid w:val="000345AD"/>
    <w:rsid w:val="00036C02"/>
    <w:rsid w:val="00037DC5"/>
    <w:rsid w:val="00037DDE"/>
    <w:rsid w:val="0004155C"/>
    <w:rsid w:val="000416AE"/>
    <w:rsid w:val="0004190F"/>
    <w:rsid w:val="000433AE"/>
    <w:rsid w:val="000449F4"/>
    <w:rsid w:val="000457D5"/>
    <w:rsid w:val="00046A4E"/>
    <w:rsid w:val="00047230"/>
    <w:rsid w:val="000510B7"/>
    <w:rsid w:val="000510D6"/>
    <w:rsid w:val="000514FF"/>
    <w:rsid w:val="00051560"/>
    <w:rsid w:val="00051669"/>
    <w:rsid w:val="00051F16"/>
    <w:rsid w:val="000526FA"/>
    <w:rsid w:val="00055355"/>
    <w:rsid w:val="00056698"/>
    <w:rsid w:val="00056F4B"/>
    <w:rsid w:val="00057585"/>
    <w:rsid w:val="00061AA3"/>
    <w:rsid w:val="00062349"/>
    <w:rsid w:val="00062D41"/>
    <w:rsid w:val="000649E6"/>
    <w:rsid w:val="0006526C"/>
    <w:rsid w:val="000657F1"/>
    <w:rsid w:val="00065B47"/>
    <w:rsid w:val="00066ADE"/>
    <w:rsid w:val="00070005"/>
    <w:rsid w:val="0007014D"/>
    <w:rsid w:val="00070DC7"/>
    <w:rsid w:val="0007111B"/>
    <w:rsid w:val="00071818"/>
    <w:rsid w:val="000719C7"/>
    <w:rsid w:val="00074749"/>
    <w:rsid w:val="00074E68"/>
    <w:rsid w:val="00075031"/>
    <w:rsid w:val="000750F5"/>
    <w:rsid w:val="00075E4B"/>
    <w:rsid w:val="000768DE"/>
    <w:rsid w:val="000773DA"/>
    <w:rsid w:val="00077959"/>
    <w:rsid w:val="00077C5D"/>
    <w:rsid w:val="00080230"/>
    <w:rsid w:val="00080D97"/>
    <w:rsid w:val="000816EC"/>
    <w:rsid w:val="0008179F"/>
    <w:rsid w:val="000821CC"/>
    <w:rsid w:val="00083D6D"/>
    <w:rsid w:val="00085761"/>
    <w:rsid w:val="00085D70"/>
    <w:rsid w:val="00091CE4"/>
    <w:rsid w:val="000927C3"/>
    <w:rsid w:val="00093E7F"/>
    <w:rsid w:val="00094518"/>
    <w:rsid w:val="00094830"/>
    <w:rsid w:val="000949B1"/>
    <w:rsid w:val="00095958"/>
    <w:rsid w:val="00095990"/>
    <w:rsid w:val="00096E80"/>
    <w:rsid w:val="00097A05"/>
    <w:rsid w:val="000A05B8"/>
    <w:rsid w:val="000A10F6"/>
    <w:rsid w:val="000A1B03"/>
    <w:rsid w:val="000A20BD"/>
    <w:rsid w:val="000A224E"/>
    <w:rsid w:val="000A32F5"/>
    <w:rsid w:val="000A41A1"/>
    <w:rsid w:val="000A55F7"/>
    <w:rsid w:val="000A58B0"/>
    <w:rsid w:val="000A7C62"/>
    <w:rsid w:val="000A7CDB"/>
    <w:rsid w:val="000B0F77"/>
    <w:rsid w:val="000B1272"/>
    <w:rsid w:val="000B1945"/>
    <w:rsid w:val="000B1DBE"/>
    <w:rsid w:val="000B281B"/>
    <w:rsid w:val="000B4075"/>
    <w:rsid w:val="000B483B"/>
    <w:rsid w:val="000B4914"/>
    <w:rsid w:val="000B5150"/>
    <w:rsid w:val="000B57D2"/>
    <w:rsid w:val="000B60C8"/>
    <w:rsid w:val="000B6194"/>
    <w:rsid w:val="000B75D7"/>
    <w:rsid w:val="000B7B5F"/>
    <w:rsid w:val="000B7BEE"/>
    <w:rsid w:val="000C0148"/>
    <w:rsid w:val="000C0DA2"/>
    <w:rsid w:val="000C0EFB"/>
    <w:rsid w:val="000C173D"/>
    <w:rsid w:val="000C30B1"/>
    <w:rsid w:val="000C3CEE"/>
    <w:rsid w:val="000C3F83"/>
    <w:rsid w:val="000C44D4"/>
    <w:rsid w:val="000C6E57"/>
    <w:rsid w:val="000D0659"/>
    <w:rsid w:val="000D074F"/>
    <w:rsid w:val="000D083A"/>
    <w:rsid w:val="000D2D54"/>
    <w:rsid w:val="000D374C"/>
    <w:rsid w:val="000D37AD"/>
    <w:rsid w:val="000D3AF4"/>
    <w:rsid w:val="000D3C59"/>
    <w:rsid w:val="000D6E0A"/>
    <w:rsid w:val="000E19B9"/>
    <w:rsid w:val="000E1A88"/>
    <w:rsid w:val="000E6915"/>
    <w:rsid w:val="000E755A"/>
    <w:rsid w:val="000E777E"/>
    <w:rsid w:val="000F117E"/>
    <w:rsid w:val="000F1448"/>
    <w:rsid w:val="000F30F3"/>
    <w:rsid w:val="000F4D76"/>
    <w:rsid w:val="000F7BC1"/>
    <w:rsid w:val="00106061"/>
    <w:rsid w:val="001060A9"/>
    <w:rsid w:val="00106156"/>
    <w:rsid w:val="00106C49"/>
    <w:rsid w:val="001079BF"/>
    <w:rsid w:val="0011438E"/>
    <w:rsid w:val="00114D02"/>
    <w:rsid w:val="00115039"/>
    <w:rsid w:val="00116056"/>
    <w:rsid w:val="00117403"/>
    <w:rsid w:val="00117414"/>
    <w:rsid w:val="001207BF"/>
    <w:rsid w:val="00120DC7"/>
    <w:rsid w:val="001210C9"/>
    <w:rsid w:val="00123349"/>
    <w:rsid w:val="0012358D"/>
    <w:rsid w:val="001238A9"/>
    <w:rsid w:val="0012474E"/>
    <w:rsid w:val="001265F7"/>
    <w:rsid w:val="001267BB"/>
    <w:rsid w:val="001305A3"/>
    <w:rsid w:val="001314F5"/>
    <w:rsid w:val="001340FE"/>
    <w:rsid w:val="00134BE0"/>
    <w:rsid w:val="00135899"/>
    <w:rsid w:val="00135B07"/>
    <w:rsid w:val="00136FEE"/>
    <w:rsid w:val="00137D6B"/>
    <w:rsid w:val="001421CE"/>
    <w:rsid w:val="00143372"/>
    <w:rsid w:val="001436B2"/>
    <w:rsid w:val="001448F1"/>
    <w:rsid w:val="00144CF8"/>
    <w:rsid w:val="00147D30"/>
    <w:rsid w:val="001527EB"/>
    <w:rsid w:val="0015312E"/>
    <w:rsid w:val="001549F7"/>
    <w:rsid w:val="00155BC7"/>
    <w:rsid w:val="001564F2"/>
    <w:rsid w:val="001576E8"/>
    <w:rsid w:val="001607AB"/>
    <w:rsid w:val="00160B33"/>
    <w:rsid w:val="00162547"/>
    <w:rsid w:val="001641DC"/>
    <w:rsid w:val="001643EE"/>
    <w:rsid w:val="001649CD"/>
    <w:rsid w:val="00164B08"/>
    <w:rsid w:val="001655F2"/>
    <w:rsid w:val="00165E69"/>
    <w:rsid w:val="00166325"/>
    <w:rsid w:val="00172292"/>
    <w:rsid w:val="00172301"/>
    <w:rsid w:val="00172656"/>
    <w:rsid w:val="00172953"/>
    <w:rsid w:val="00172B5F"/>
    <w:rsid w:val="00175864"/>
    <w:rsid w:val="00175BC0"/>
    <w:rsid w:val="00176787"/>
    <w:rsid w:val="00176EFF"/>
    <w:rsid w:val="00177900"/>
    <w:rsid w:val="001802EA"/>
    <w:rsid w:val="00180C2D"/>
    <w:rsid w:val="00181151"/>
    <w:rsid w:val="001813D2"/>
    <w:rsid w:val="0018364F"/>
    <w:rsid w:val="0018402A"/>
    <w:rsid w:val="001846B0"/>
    <w:rsid w:val="0018537A"/>
    <w:rsid w:val="001871F5"/>
    <w:rsid w:val="0018781F"/>
    <w:rsid w:val="001879B1"/>
    <w:rsid w:val="001919D1"/>
    <w:rsid w:val="00192B37"/>
    <w:rsid w:val="00192BE4"/>
    <w:rsid w:val="001953CF"/>
    <w:rsid w:val="0019691F"/>
    <w:rsid w:val="001A0B7B"/>
    <w:rsid w:val="001A180A"/>
    <w:rsid w:val="001A1B53"/>
    <w:rsid w:val="001A24AB"/>
    <w:rsid w:val="001A2C8E"/>
    <w:rsid w:val="001A2E7F"/>
    <w:rsid w:val="001A34F9"/>
    <w:rsid w:val="001A4421"/>
    <w:rsid w:val="001A493B"/>
    <w:rsid w:val="001A4B3A"/>
    <w:rsid w:val="001A4EF2"/>
    <w:rsid w:val="001A5104"/>
    <w:rsid w:val="001A590C"/>
    <w:rsid w:val="001A7779"/>
    <w:rsid w:val="001B1176"/>
    <w:rsid w:val="001B21FF"/>
    <w:rsid w:val="001B226E"/>
    <w:rsid w:val="001B279C"/>
    <w:rsid w:val="001B4DFF"/>
    <w:rsid w:val="001B5898"/>
    <w:rsid w:val="001B6C1D"/>
    <w:rsid w:val="001B6C75"/>
    <w:rsid w:val="001B6F5A"/>
    <w:rsid w:val="001B79A1"/>
    <w:rsid w:val="001C108A"/>
    <w:rsid w:val="001C157C"/>
    <w:rsid w:val="001C22E6"/>
    <w:rsid w:val="001C3E22"/>
    <w:rsid w:val="001C4B7D"/>
    <w:rsid w:val="001C6443"/>
    <w:rsid w:val="001C751D"/>
    <w:rsid w:val="001C776D"/>
    <w:rsid w:val="001C7E73"/>
    <w:rsid w:val="001D03E8"/>
    <w:rsid w:val="001D19B1"/>
    <w:rsid w:val="001D1CBE"/>
    <w:rsid w:val="001D2479"/>
    <w:rsid w:val="001D3AD0"/>
    <w:rsid w:val="001D3B9D"/>
    <w:rsid w:val="001D3E46"/>
    <w:rsid w:val="001D4608"/>
    <w:rsid w:val="001D58AE"/>
    <w:rsid w:val="001D6A44"/>
    <w:rsid w:val="001D74C9"/>
    <w:rsid w:val="001D7E05"/>
    <w:rsid w:val="001E02AF"/>
    <w:rsid w:val="001E096B"/>
    <w:rsid w:val="001E1060"/>
    <w:rsid w:val="001E1BD2"/>
    <w:rsid w:val="001E20C7"/>
    <w:rsid w:val="001E228C"/>
    <w:rsid w:val="001E27D3"/>
    <w:rsid w:val="001E3707"/>
    <w:rsid w:val="001E5DD1"/>
    <w:rsid w:val="001E680C"/>
    <w:rsid w:val="001E6924"/>
    <w:rsid w:val="001E7FA8"/>
    <w:rsid w:val="001F0F45"/>
    <w:rsid w:val="001F11A0"/>
    <w:rsid w:val="001F16F7"/>
    <w:rsid w:val="001F1D61"/>
    <w:rsid w:val="001F1DD8"/>
    <w:rsid w:val="001F3153"/>
    <w:rsid w:val="001F3734"/>
    <w:rsid w:val="001F3B9B"/>
    <w:rsid w:val="001F6318"/>
    <w:rsid w:val="001F656E"/>
    <w:rsid w:val="001F6B03"/>
    <w:rsid w:val="001F6F26"/>
    <w:rsid w:val="001F7044"/>
    <w:rsid w:val="001F7BF3"/>
    <w:rsid w:val="001F7EF5"/>
    <w:rsid w:val="00200596"/>
    <w:rsid w:val="00201AC2"/>
    <w:rsid w:val="00202FC9"/>
    <w:rsid w:val="00203582"/>
    <w:rsid w:val="00203814"/>
    <w:rsid w:val="00203AC5"/>
    <w:rsid w:val="00204244"/>
    <w:rsid w:val="00204641"/>
    <w:rsid w:val="002048DD"/>
    <w:rsid w:val="00205DEB"/>
    <w:rsid w:val="002061DF"/>
    <w:rsid w:val="00206889"/>
    <w:rsid w:val="00206D9C"/>
    <w:rsid w:val="00210044"/>
    <w:rsid w:val="00210677"/>
    <w:rsid w:val="002108BD"/>
    <w:rsid w:val="00210F3E"/>
    <w:rsid w:val="00212489"/>
    <w:rsid w:val="00212583"/>
    <w:rsid w:val="002126A3"/>
    <w:rsid w:val="0021314D"/>
    <w:rsid w:val="00214E70"/>
    <w:rsid w:val="00220856"/>
    <w:rsid w:val="002211BA"/>
    <w:rsid w:val="00223C61"/>
    <w:rsid w:val="0022473D"/>
    <w:rsid w:val="00224F96"/>
    <w:rsid w:val="002250B9"/>
    <w:rsid w:val="00226433"/>
    <w:rsid w:val="00230001"/>
    <w:rsid w:val="00230A0D"/>
    <w:rsid w:val="00231637"/>
    <w:rsid w:val="00231692"/>
    <w:rsid w:val="002318C5"/>
    <w:rsid w:val="0023270D"/>
    <w:rsid w:val="00232B77"/>
    <w:rsid w:val="00233BC6"/>
    <w:rsid w:val="00233D27"/>
    <w:rsid w:val="00235214"/>
    <w:rsid w:val="00235BED"/>
    <w:rsid w:val="002363C0"/>
    <w:rsid w:val="00237A8B"/>
    <w:rsid w:val="00237C8C"/>
    <w:rsid w:val="00237DE3"/>
    <w:rsid w:val="00240378"/>
    <w:rsid w:val="00241485"/>
    <w:rsid w:val="00241BB5"/>
    <w:rsid w:val="00242654"/>
    <w:rsid w:val="00243298"/>
    <w:rsid w:val="0024353A"/>
    <w:rsid w:val="00243621"/>
    <w:rsid w:val="00244282"/>
    <w:rsid w:val="00244AE4"/>
    <w:rsid w:val="00245664"/>
    <w:rsid w:val="00246565"/>
    <w:rsid w:val="002468C6"/>
    <w:rsid w:val="00250EB3"/>
    <w:rsid w:val="00251A06"/>
    <w:rsid w:val="00251D54"/>
    <w:rsid w:val="00255B37"/>
    <w:rsid w:val="002566FB"/>
    <w:rsid w:val="00256F7D"/>
    <w:rsid w:val="0025736D"/>
    <w:rsid w:val="00257AC3"/>
    <w:rsid w:val="00260438"/>
    <w:rsid w:val="0026234B"/>
    <w:rsid w:val="00262481"/>
    <w:rsid w:val="00263585"/>
    <w:rsid w:val="002649BD"/>
    <w:rsid w:val="00264B82"/>
    <w:rsid w:val="00266EC3"/>
    <w:rsid w:val="00266F2D"/>
    <w:rsid w:val="00267599"/>
    <w:rsid w:val="002675D2"/>
    <w:rsid w:val="00270A6C"/>
    <w:rsid w:val="0027118C"/>
    <w:rsid w:val="00271924"/>
    <w:rsid w:val="00273408"/>
    <w:rsid w:val="00273705"/>
    <w:rsid w:val="002748B2"/>
    <w:rsid w:val="00276434"/>
    <w:rsid w:val="002766CE"/>
    <w:rsid w:val="00276A2A"/>
    <w:rsid w:val="0027719F"/>
    <w:rsid w:val="00277681"/>
    <w:rsid w:val="00282BE8"/>
    <w:rsid w:val="00285ECB"/>
    <w:rsid w:val="00286091"/>
    <w:rsid w:val="0028609A"/>
    <w:rsid w:val="0028640E"/>
    <w:rsid w:val="002921DA"/>
    <w:rsid w:val="0029445D"/>
    <w:rsid w:val="002947F9"/>
    <w:rsid w:val="00294A97"/>
    <w:rsid w:val="002964B8"/>
    <w:rsid w:val="002968D5"/>
    <w:rsid w:val="002A1146"/>
    <w:rsid w:val="002A135B"/>
    <w:rsid w:val="002A24D1"/>
    <w:rsid w:val="002A2762"/>
    <w:rsid w:val="002A29A2"/>
    <w:rsid w:val="002A2CF3"/>
    <w:rsid w:val="002A4D1D"/>
    <w:rsid w:val="002A5551"/>
    <w:rsid w:val="002A777E"/>
    <w:rsid w:val="002A7D60"/>
    <w:rsid w:val="002B0182"/>
    <w:rsid w:val="002B15E2"/>
    <w:rsid w:val="002B1ECC"/>
    <w:rsid w:val="002B2A73"/>
    <w:rsid w:val="002B2AAB"/>
    <w:rsid w:val="002B3A56"/>
    <w:rsid w:val="002B3D99"/>
    <w:rsid w:val="002B44F0"/>
    <w:rsid w:val="002B489F"/>
    <w:rsid w:val="002B552E"/>
    <w:rsid w:val="002B751B"/>
    <w:rsid w:val="002B7732"/>
    <w:rsid w:val="002B7B66"/>
    <w:rsid w:val="002C0DB3"/>
    <w:rsid w:val="002C2182"/>
    <w:rsid w:val="002C2D1A"/>
    <w:rsid w:val="002C3CB0"/>
    <w:rsid w:val="002C5AC6"/>
    <w:rsid w:val="002C7821"/>
    <w:rsid w:val="002D1484"/>
    <w:rsid w:val="002D1F1F"/>
    <w:rsid w:val="002D2282"/>
    <w:rsid w:val="002D2C5C"/>
    <w:rsid w:val="002D2E14"/>
    <w:rsid w:val="002D31F8"/>
    <w:rsid w:val="002D3C1A"/>
    <w:rsid w:val="002D446E"/>
    <w:rsid w:val="002D4857"/>
    <w:rsid w:val="002D4E57"/>
    <w:rsid w:val="002D5EC9"/>
    <w:rsid w:val="002D64BA"/>
    <w:rsid w:val="002D6E17"/>
    <w:rsid w:val="002E0A36"/>
    <w:rsid w:val="002E0E2A"/>
    <w:rsid w:val="002E2623"/>
    <w:rsid w:val="002E30DE"/>
    <w:rsid w:val="002E3DCC"/>
    <w:rsid w:val="002E4E8D"/>
    <w:rsid w:val="002E53EE"/>
    <w:rsid w:val="002E761D"/>
    <w:rsid w:val="002E7A36"/>
    <w:rsid w:val="002F0787"/>
    <w:rsid w:val="002F07B1"/>
    <w:rsid w:val="002F38D2"/>
    <w:rsid w:val="002F44FE"/>
    <w:rsid w:val="002F5A9A"/>
    <w:rsid w:val="002F6414"/>
    <w:rsid w:val="00300B36"/>
    <w:rsid w:val="00300FA3"/>
    <w:rsid w:val="00302C8D"/>
    <w:rsid w:val="0030363D"/>
    <w:rsid w:val="003048A3"/>
    <w:rsid w:val="0030578C"/>
    <w:rsid w:val="0030645D"/>
    <w:rsid w:val="00306D30"/>
    <w:rsid w:val="00311113"/>
    <w:rsid w:val="0031323D"/>
    <w:rsid w:val="00313CB9"/>
    <w:rsid w:val="00314924"/>
    <w:rsid w:val="00314B52"/>
    <w:rsid w:val="00316695"/>
    <w:rsid w:val="00316707"/>
    <w:rsid w:val="00317EEF"/>
    <w:rsid w:val="00321236"/>
    <w:rsid w:val="003221E7"/>
    <w:rsid w:val="00323371"/>
    <w:rsid w:val="00324304"/>
    <w:rsid w:val="003249F7"/>
    <w:rsid w:val="00325038"/>
    <w:rsid w:val="003251F1"/>
    <w:rsid w:val="00326C50"/>
    <w:rsid w:val="003321EC"/>
    <w:rsid w:val="0033226B"/>
    <w:rsid w:val="00332CAF"/>
    <w:rsid w:val="003332C8"/>
    <w:rsid w:val="00333666"/>
    <w:rsid w:val="0033455A"/>
    <w:rsid w:val="003352AD"/>
    <w:rsid w:val="00336489"/>
    <w:rsid w:val="003365E6"/>
    <w:rsid w:val="0034120B"/>
    <w:rsid w:val="00341556"/>
    <w:rsid w:val="003417F9"/>
    <w:rsid w:val="0034284E"/>
    <w:rsid w:val="00343312"/>
    <w:rsid w:val="00344136"/>
    <w:rsid w:val="003444B7"/>
    <w:rsid w:val="003447EB"/>
    <w:rsid w:val="00344A4D"/>
    <w:rsid w:val="00344BE1"/>
    <w:rsid w:val="0034514F"/>
    <w:rsid w:val="0034564E"/>
    <w:rsid w:val="00345962"/>
    <w:rsid w:val="003464BE"/>
    <w:rsid w:val="00347CB1"/>
    <w:rsid w:val="00350587"/>
    <w:rsid w:val="00350D1F"/>
    <w:rsid w:val="00351090"/>
    <w:rsid w:val="003515AA"/>
    <w:rsid w:val="00352F6F"/>
    <w:rsid w:val="00353539"/>
    <w:rsid w:val="00353A77"/>
    <w:rsid w:val="00354862"/>
    <w:rsid w:val="0035742C"/>
    <w:rsid w:val="00357B23"/>
    <w:rsid w:val="00360A23"/>
    <w:rsid w:val="00360DBD"/>
    <w:rsid w:val="00361C79"/>
    <w:rsid w:val="00361C90"/>
    <w:rsid w:val="00362F89"/>
    <w:rsid w:val="003639C3"/>
    <w:rsid w:val="0036429C"/>
    <w:rsid w:val="0036491D"/>
    <w:rsid w:val="00365CBB"/>
    <w:rsid w:val="00372AEF"/>
    <w:rsid w:val="0037424F"/>
    <w:rsid w:val="00374934"/>
    <w:rsid w:val="00374E2A"/>
    <w:rsid w:val="003806C1"/>
    <w:rsid w:val="00381297"/>
    <w:rsid w:val="00381862"/>
    <w:rsid w:val="00381BD7"/>
    <w:rsid w:val="003851A1"/>
    <w:rsid w:val="0038528E"/>
    <w:rsid w:val="00385EDD"/>
    <w:rsid w:val="00386D84"/>
    <w:rsid w:val="00386FB1"/>
    <w:rsid w:val="0039027E"/>
    <w:rsid w:val="0039058F"/>
    <w:rsid w:val="00390632"/>
    <w:rsid w:val="00391535"/>
    <w:rsid w:val="00391C77"/>
    <w:rsid w:val="003928A4"/>
    <w:rsid w:val="00392CD0"/>
    <w:rsid w:val="00394160"/>
    <w:rsid w:val="00394481"/>
    <w:rsid w:val="00396B83"/>
    <w:rsid w:val="00396D6B"/>
    <w:rsid w:val="00397688"/>
    <w:rsid w:val="0039770A"/>
    <w:rsid w:val="0039796D"/>
    <w:rsid w:val="003A0D1E"/>
    <w:rsid w:val="003A1916"/>
    <w:rsid w:val="003A1EFD"/>
    <w:rsid w:val="003A3711"/>
    <w:rsid w:val="003A3943"/>
    <w:rsid w:val="003A4694"/>
    <w:rsid w:val="003A4AE1"/>
    <w:rsid w:val="003A4F2B"/>
    <w:rsid w:val="003A511C"/>
    <w:rsid w:val="003A6660"/>
    <w:rsid w:val="003A703D"/>
    <w:rsid w:val="003A7113"/>
    <w:rsid w:val="003A7F8B"/>
    <w:rsid w:val="003B169A"/>
    <w:rsid w:val="003B17DD"/>
    <w:rsid w:val="003B1D1C"/>
    <w:rsid w:val="003B34BE"/>
    <w:rsid w:val="003B505C"/>
    <w:rsid w:val="003B5599"/>
    <w:rsid w:val="003B6500"/>
    <w:rsid w:val="003B68F0"/>
    <w:rsid w:val="003B6A8F"/>
    <w:rsid w:val="003C0160"/>
    <w:rsid w:val="003C0219"/>
    <w:rsid w:val="003C3850"/>
    <w:rsid w:val="003C3A77"/>
    <w:rsid w:val="003C4571"/>
    <w:rsid w:val="003C726F"/>
    <w:rsid w:val="003D0784"/>
    <w:rsid w:val="003D1553"/>
    <w:rsid w:val="003D26CE"/>
    <w:rsid w:val="003D46A3"/>
    <w:rsid w:val="003D46AA"/>
    <w:rsid w:val="003D48AF"/>
    <w:rsid w:val="003D6BD4"/>
    <w:rsid w:val="003E296C"/>
    <w:rsid w:val="003E3746"/>
    <w:rsid w:val="003E48DA"/>
    <w:rsid w:val="003E5C9B"/>
    <w:rsid w:val="003E6605"/>
    <w:rsid w:val="003E6793"/>
    <w:rsid w:val="003E6975"/>
    <w:rsid w:val="003F1EAC"/>
    <w:rsid w:val="003F1F9B"/>
    <w:rsid w:val="003F2D3E"/>
    <w:rsid w:val="003F3841"/>
    <w:rsid w:val="003F3D44"/>
    <w:rsid w:val="003F57F3"/>
    <w:rsid w:val="003F5964"/>
    <w:rsid w:val="003F6ACA"/>
    <w:rsid w:val="003F7D6E"/>
    <w:rsid w:val="00402547"/>
    <w:rsid w:val="00402B23"/>
    <w:rsid w:val="00403C8B"/>
    <w:rsid w:val="0040541A"/>
    <w:rsid w:val="004066DE"/>
    <w:rsid w:val="004076C1"/>
    <w:rsid w:val="004079BA"/>
    <w:rsid w:val="00407B6E"/>
    <w:rsid w:val="004135FA"/>
    <w:rsid w:val="004143D3"/>
    <w:rsid w:val="00414E67"/>
    <w:rsid w:val="00415875"/>
    <w:rsid w:val="004178B7"/>
    <w:rsid w:val="00417D40"/>
    <w:rsid w:val="00420B95"/>
    <w:rsid w:val="00420E23"/>
    <w:rsid w:val="00420FD2"/>
    <w:rsid w:val="0042188E"/>
    <w:rsid w:val="00421E7E"/>
    <w:rsid w:val="0042496A"/>
    <w:rsid w:val="0042669B"/>
    <w:rsid w:val="00430BB5"/>
    <w:rsid w:val="00430D35"/>
    <w:rsid w:val="0043117A"/>
    <w:rsid w:val="00431DD6"/>
    <w:rsid w:val="00432372"/>
    <w:rsid w:val="00432BD5"/>
    <w:rsid w:val="004331B8"/>
    <w:rsid w:val="004339A8"/>
    <w:rsid w:val="004339C7"/>
    <w:rsid w:val="004342EF"/>
    <w:rsid w:val="00434757"/>
    <w:rsid w:val="004360C2"/>
    <w:rsid w:val="004365D2"/>
    <w:rsid w:val="004367C8"/>
    <w:rsid w:val="00436D6E"/>
    <w:rsid w:val="00440533"/>
    <w:rsid w:val="004432A4"/>
    <w:rsid w:val="00443D80"/>
    <w:rsid w:val="00445786"/>
    <w:rsid w:val="00446D37"/>
    <w:rsid w:val="00446ED5"/>
    <w:rsid w:val="00447093"/>
    <w:rsid w:val="004472AF"/>
    <w:rsid w:val="00447A78"/>
    <w:rsid w:val="00447F26"/>
    <w:rsid w:val="004508B6"/>
    <w:rsid w:val="00450B91"/>
    <w:rsid w:val="00450EB3"/>
    <w:rsid w:val="00452CEC"/>
    <w:rsid w:val="00453241"/>
    <w:rsid w:val="00453662"/>
    <w:rsid w:val="004541DE"/>
    <w:rsid w:val="00454868"/>
    <w:rsid w:val="00456627"/>
    <w:rsid w:val="004606F8"/>
    <w:rsid w:val="00460931"/>
    <w:rsid w:val="00463694"/>
    <w:rsid w:val="00463776"/>
    <w:rsid w:val="00464F15"/>
    <w:rsid w:val="00465006"/>
    <w:rsid w:val="0046588C"/>
    <w:rsid w:val="00466441"/>
    <w:rsid w:val="00466670"/>
    <w:rsid w:val="0046759A"/>
    <w:rsid w:val="004676CE"/>
    <w:rsid w:val="004722E8"/>
    <w:rsid w:val="004732B4"/>
    <w:rsid w:val="00476143"/>
    <w:rsid w:val="00476CFE"/>
    <w:rsid w:val="00481F81"/>
    <w:rsid w:val="0048325F"/>
    <w:rsid w:val="00485EA4"/>
    <w:rsid w:val="0048641B"/>
    <w:rsid w:val="00486A23"/>
    <w:rsid w:val="00490C4C"/>
    <w:rsid w:val="00491680"/>
    <w:rsid w:val="004917D0"/>
    <w:rsid w:val="004938D3"/>
    <w:rsid w:val="00494EC3"/>
    <w:rsid w:val="00494F90"/>
    <w:rsid w:val="004951C3"/>
    <w:rsid w:val="00495314"/>
    <w:rsid w:val="00495B58"/>
    <w:rsid w:val="00495E72"/>
    <w:rsid w:val="00497676"/>
    <w:rsid w:val="004A0008"/>
    <w:rsid w:val="004A07CE"/>
    <w:rsid w:val="004A2B75"/>
    <w:rsid w:val="004A3897"/>
    <w:rsid w:val="004A3DAD"/>
    <w:rsid w:val="004A3E18"/>
    <w:rsid w:val="004A4855"/>
    <w:rsid w:val="004A69BC"/>
    <w:rsid w:val="004A73F5"/>
    <w:rsid w:val="004A7D88"/>
    <w:rsid w:val="004B03A3"/>
    <w:rsid w:val="004B0823"/>
    <w:rsid w:val="004B2051"/>
    <w:rsid w:val="004B26FA"/>
    <w:rsid w:val="004B2F68"/>
    <w:rsid w:val="004B4475"/>
    <w:rsid w:val="004B4D10"/>
    <w:rsid w:val="004B4FD2"/>
    <w:rsid w:val="004B5F18"/>
    <w:rsid w:val="004B6CDE"/>
    <w:rsid w:val="004C0A4A"/>
    <w:rsid w:val="004C0E20"/>
    <w:rsid w:val="004C1195"/>
    <w:rsid w:val="004C27F3"/>
    <w:rsid w:val="004C3170"/>
    <w:rsid w:val="004C3601"/>
    <w:rsid w:val="004C3683"/>
    <w:rsid w:val="004C3A9F"/>
    <w:rsid w:val="004C4887"/>
    <w:rsid w:val="004C4A3E"/>
    <w:rsid w:val="004C577E"/>
    <w:rsid w:val="004C5BCD"/>
    <w:rsid w:val="004C6935"/>
    <w:rsid w:val="004C7017"/>
    <w:rsid w:val="004D0B2B"/>
    <w:rsid w:val="004D2135"/>
    <w:rsid w:val="004D2F85"/>
    <w:rsid w:val="004D386E"/>
    <w:rsid w:val="004D41D6"/>
    <w:rsid w:val="004D4532"/>
    <w:rsid w:val="004D6721"/>
    <w:rsid w:val="004D7E82"/>
    <w:rsid w:val="004E05C8"/>
    <w:rsid w:val="004E14D3"/>
    <w:rsid w:val="004E164E"/>
    <w:rsid w:val="004E4F6B"/>
    <w:rsid w:val="004E6FD0"/>
    <w:rsid w:val="004F0774"/>
    <w:rsid w:val="004F0ECD"/>
    <w:rsid w:val="004F1127"/>
    <w:rsid w:val="004F15EF"/>
    <w:rsid w:val="004F2AC3"/>
    <w:rsid w:val="004F3099"/>
    <w:rsid w:val="004F4B29"/>
    <w:rsid w:val="004F506D"/>
    <w:rsid w:val="004F66F6"/>
    <w:rsid w:val="004F6C3C"/>
    <w:rsid w:val="00500B3C"/>
    <w:rsid w:val="00500F30"/>
    <w:rsid w:val="005022CB"/>
    <w:rsid w:val="00502C51"/>
    <w:rsid w:val="00503A36"/>
    <w:rsid w:val="005057A3"/>
    <w:rsid w:val="00506162"/>
    <w:rsid w:val="005067FA"/>
    <w:rsid w:val="00506C02"/>
    <w:rsid w:val="00510116"/>
    <w:rsid w:val="00510141"/>
    <w:rsid w:val="005102B3"/>
    <w:rsid w:val="005112DD"/>
    <w:rsid w:val="005126D7"/>
    <w:rsid w:val="00513050"/>
    <w:rsid w:val="0051344C"/>
    <w:rsid w:val="00513E01"/>
    <w:rsid w:val="0051514D"/>
    <w:rsid w:val="00515D39"/>
    <w:rsid w:val="00516616"/>
    <w:rsid w:val="00517192"/>
    <w:rsid w:val="00520F5F"/>
    <w:rsid w:val="00521DD5"/>
    <w:rsid w:val="005221B1"/>
    <w:rsid w:val="00522AFA"/>
    <w:rsid w:val="005235D3"/>
    <w:rsid w:val="00525B5E"/>
    <w:rsid w:val="0052704A"/>
    <w:rsid w:val="00527157"/>
    <w:rsid w:val="00530E1A"/>
    <w:rsid w:val="00531082"/>
    <w:rsid w:val="00531A46"/>
    <w:rsid w:val="00531AB1"/>
    <w:rsid w:val="0053228B"/>
    <w:rsid w:val="0053263B"/>
    <w:rsid w:val="005330C4"/>
    <w:rsid w:val="00533B6E"/>
    <w:rsid w:val="005354A8"/>
    <w:rsid w:val="005356CA"/>
    <w:rsid w:val="00536E71"/>
    <w:rsid w:val="00537643"/>
    <w:rsid w:val="005408F8"/>
    <w:rsid w:val="00540A3E"/>
    <w:rsid w:val="005418C2"/>
    <w:rsid w:val="0054246A"/>
    <w:rsid w:val="00546038"/>
    <w:rsid w:val="00546571"/>
    <w:rsid w:val="00547647"/>
    <w:rsid w:val="00550353"/>
    <w:rsid w:val="00550EEC"/>
    <w:rsid w:val="00552926"/>
    <w:rsid w:val="00552A37"/>
    <w:rsid w:val="005530BE"/>
    <w:rsid w:val="00554434"/>
    <w:rsid w:val="005544F3"/>
    <w:rsid w:val="005548B2"/>
    <w:rsid w:val="00554B18"/>
    <w:rsid w:val="005566BA"/>
    <w:rsid w:val="00556D0C"/>
    <w:rsid w:val="00561B9A"/>
    <w:rsid w:val="00561F0F"/>
    <w:rsid w:val="0056367D"/>
    <w:rsid w:val="00563F09"/>
    <w:rsid w:val="005645A6"/>
    <w:rsid w:val="00565D51"/>
    <w:rsid w:val="00566461"/>
    <w:rsid w:val="00567B5A"/>
    <w:rsid w:val="00567CD4"/>
    <w:rsid w:val="005700FB"/>
    <w:rsid w:val="00570423"/>
    <w:rsid w:val="00570A81"/>
    <w:rsid w:val="00570DB4"/>
    <w:rsid w:val="00571056"/>
    <w:rsid w:val="00572819"/>
    <w:rsid w:val="005729DD"/>
    <w:rsid w:val="00573AFC"/>
    <w:rsid w:val="00574F6A"/>
    <w:rsid w:val="00575631"/>
    <w:rsid w:val="00576C32"/>
    <w:rsid w:val="00576ED5"/>
    <w:rsid w:val="0058066A"/>
    <w:rsid w:val="00580E05"/>
    <w:rsid w:val="005823A8"/>
    <w:rsid w:val="005840C1"/>
    <w:rsid w:val="0058506F"/>
    <w:rsid w:val="005853D8"/>
    <w:rsid w:val="0058579D"/>
    <w:rsid w:val="0058613A"/>
    <w:rsid w:val="00587ABC"/>
    <w:rsid w:val="0059013C"/>
    <w:rsid w:val="005918AF"/>
    <w:rsid w:val="00591CDC"/>
    <w:rsid w:val="00592802"/>
    <w:rsid w:val="0059311D"/>
    <w:rsid w:val="00593327"/>
    <w:rsid w:val="00593616"/>
    <w:rsid w:val="00593DDB"/>
    <w:rsid w:val="00594737"/>
    <w:rsid w:val="005947C6"/>
    <w:rsid w:val="005959E5"/>
    <w:rsid w:val="0059736E"/>
    <w:rsid w:val="005A5C9A"/>
    <w:rsid w:val="005A6770"/>
    <w:rsid w:val="005A69AE"/>
    <w:rsid w:val="005A6B26"/>
    <w:rsid w:val="005B0BA0"/>
    <w:rsid w:val="005B1136"/>
    <w:rsid w:val="005B11C5"/>
    <w:rsid w:val="005B26A1"/>
    <w:rsid w:val="005B2BE0"/>
    <w:rsid w:val="005B3286"/>
    <w:rsid w:val="005B345D"/>
    <w:rsid w:val="005B4077"/>
    <w:rsid w:val="005B5656"/>
    <w:rsid w:val="005B5E39"/>
    <w:rsid w:val="005B61CD"/>
    <w:rsid w:val="005B67C9"/>
    <w:rsid w:val="005B6A3A"/>
    <w:rsid w:val="005C00A1"/>
    <w:rsid w:val="005C04F1"/>
    <w:rsid w:val="005C208B"/>
    <w:rsid w:val="005C3183"/>
    <w:rsid w:val="005C3C70"/>
    <w:rsid w:val="005C50FA"/>
    <w:rsid w:val="005C7D4F"/>
    <w:rsid w:val="005D0044"/>
    <w:rsid w:val="005D0907"/>
    <w:rsid w:val="005D1CD7"/>
    <w:rsid w:val="005D1CDD"/>
    <w:rsid w:val="005D3B12"/>
    <w:rsid w:val="005D3D09"/>
    <w:rsid w:val="005D3FC4"/>
    <w:rsid w:val="005D41BF"/>
    <w:rsid w:val="005D5487"/>
    <w:rsid w:val="005D5E1C"/>
    <w:rsid w:val="005D6BEE"/>
    <w:rsid w:val="005D742C"/>
    <w:rsid w:val="005D758A"/>
    <w:rsid w:val="005D7827"/>
    <w:rsid w:val="005D7D51"/>
    <w:rsid w:val="005E007F"/>
    <w:rsid w:val="005E0C8D"/>
    <w:rsid w:val="005E0DD1"/>
    <w:rsid w:val="005E17B9"/>
    <w:rsid w:val="005E2A26"/>
    <w:rsid w:val="005E353C"/>
    <w:rsid w:val="005E43DE"/>
    <w:rsid w:val="005E6242"/>
    <w:rsid w:val="005E7944"/>
    <w:rsid w:val="005E7C09"/>
    <w:rsid w:val="005F1601"/>
    <w:rsid w:val="005F1D22"/>
    <w:rsid w:val="005F3825"/>
    <w:rsid w:val="005F69F8"/>
    <w:rsid w:val="005F7AB8"/>
    <w:rsid w:val="005F7C08"/>
    <w:rsid w:val="00600458"/>
    <w:rsid w:val="0060153E"/>
    <w:rsid w:val="00601673"/>
    <w:rsid w:val="006029FD"/>
    <w:rsid w:val="00602DC5"/>
    <w:rsid w:val="006039FD"/>
    <w:rsid w:val="00605EEB"/>
    <w:rsid w:val="00606040"/>
    <w:rsid w:val="0060615F"/>
    <w:rsid w:val="00607030"/>
    <w:rsid w:val="0061071F"/>
    <w:rsid w:val="00610D21"/>
    <w:rsid w:val="00611546"/>
    <w:rsid w:val="0061199C"/>
    <w:rsid w:val="00611B1D"/>
    <w:rsid w:val="00611D56"/>
    <w:rsid w:val="00614EF9"/>
    <w:rsid w:val="006159BF"/>
    <w:rsid w:val="00616451"/>
    <w:rsid w:val="00616D64"/>
    <w:rsid w:val="006176B5"/>
    <w:rsid w:val="00617826"/>
    <w:rsid w:val="006205C5"/>
    <w:rsid w:val="006205D4"/>
    <w:rsid w:val="00621DA4"/>
    <w:rsid w:val="006235B8"/>
    <w:rsid w:val="00624494"/>
    <w:rsid w:val="00626088"/>
    <w:rsid w:val="006260F4"/>
    <w:rsid w:val="006260FB"/>
    <w:rsid w:val="00626516"/>
    <w:rsid w:val="00627A95"/>
    <w:rsid w:val="006301CD"/>
    <w:rsid w:val="00630BF4"/>
    <w:rsid w:val="006316B8"/>
    <w:rsid w:val="006321DE"/>
    <w:rsid w:val="00633D6E"/>
    <w:rsid w:val="006363A3"/>
    <w:rsid w:val="006414BC"/>
    <w:rsid w:val="00642280"/>
    <w:rsid w:val="006429C2"/>
    <w:rsid w:val="00643BAC"/>
    <w:rsid w:val="0064427B"/>
    <w:rsid w:val="0064502A"/>
    <w:rsid w:val="00646158"/>
    <w:rsid w:val="00646375"/>
    <w:rsid w:val="0065027C"/>
    <w:rsid w:val="00652D23"/>
    <w:rsid w:val="00652D69"/>
    <w:rsid w:val="0065391A"/>
    <w:rsid w:val="006548D2"/>
    <w:rsid w:val="006564E1"/>
    <w:rsid w:val="0065715B"/>
    <w:rsid w:val="00660AE2"/>
    <w:rsid w:val="006618C2"/>
    <w:rsid w:val="0066269F"/>
    <w:rsid w:val="00662C1D"/>
    <w:rsid w:val="006634D4"/>
    <w:rsid w:val="006659A0"/>
    <w:rsid w:val="006675F0"/>
    <w:rsid w:val="00670208"/>
    <w:rsid w:val="006708DA"/>
    <w:rsid w:val="00670DF9"/>
    <w:rsid w:val="00671666"/>
    <w:rsid w:val="0067376B"/>
    <w:rsid w:val="00673910"/>
    <w:rsid w:val="00674B2E"/>
    <w:rsid w:val="00675480"/>
    <w:rsid w:val="006754E7"/>
    <w:rsid w:val="00675F72"/>
    <w:rsid w:val="00676DEB"/>
    <w:rsid w:val="0068027D"/>
    <w:rsid w:val="006805DC"/>
    <w:rsid w:val="00680740"/>
    <w:rsid w:val="00682800"/>
    <w:rsid w:val="00684C92"/>
    <w:rsid w:val="00685330"/>
    <w:rsid w:val="00686407"/>
    <w:rsid w:val="006873AC"/>
    <w:rsid w:val="00687685"/>
    <w:rsid w:val="00687A3D"/>
    <w:rsid w:val="006922A6"/>
    <w:rsid w:val="00692BD5"/>
    <w:rsid w:val="00693A50"/>
    <w:rsid w:val="00694887"/>
    <w:rsid w:val="00695056"/>
    <w:rsid w:val="00695264"/>
    <w:rsid w:val="006956D2"/>
    <w:rsid w:val="00696366"/>
    <w:rsid w:val="00696408"/>
    <w:rsid w:val="00697422"/>
    <w:rsid w:val="0069754B"/>
    <w:rsid w:val="00697D30"/>
    <w:rsid w:val="006A01EB"/>
    <w:rsid w:val="006A0F03"/>
    <w:rsid w:val="006A2732"/>
    <w:rsid w:val="006A36E7"/>
    <w:rsid w:val="006A3910"/>
    <w:rsid w:val="006A4001"/>
    <w:rsid w:val="006A416F"/>
    <w:rsid w:val="006A41E3"/>
    <w:rsid w:val="006A4A15"/>
    <w:rsid w:val="006A5903"/>
    <w:rsid w:val="006A61B8"/>
    <w:rsid w:val="006A73AF"/>
    <w:rsid w:val="006A7C71"/>
    <w:rsid w:val="006B025B"/>
    <w:rsid w:val="006B088C"/>
    <w:rsid w:val="006B0C0B"/>
    <w:rsid w:val="006B113E"/>
    <w:rsid w:val="006B1144"/>
    <w:rsid w:val="006B119A"/>
    <w:rsid w:val="006B164B"/>
    <w:rsid w:val="006B23C7"/>
    <w:rsid w:val="006B3ABC"/>
    <w:rsid w:val="006B4CFE"/>
    <w:rsid w:val="006B5668"/>
    <w:rsid w:val="006B632D"/>
    <w:rsid w:val="006B6682"/>
    <w:rsid w:val="006B718A"/>
    <w:rsid w:val="006B7A24"/>
    <w:rsid w:val="006C007A"/>
    <w:rsid w:val="006C175A"/>
    <w:rsid w:val="006C460D"/>
    <w:rsid w:val="006C5179"/>
    <w:rsid w:val="006C6A3E"/>
    <w:rsid w:val="006C6ACB"/>
    <w:rsid w:val="006C7BE1"/>
    <w:rsid w:val="006C7CDC"/>
    <w:rsid w:val="006D184C"/>
    <w:rsid w:val="006D1AF1"/>
    <w:rsid w:val="006D2A49"/>
    <w:rsid w:val="006D2D3F"/>
    <w:rsid w:val="006D32F7"/>
    <w:rsid w:val="006D5C6E"/>
    <w:rsid w:val="006D606B"/>
    <w:rsid w:val="006D69E8"/>
    <w:rsid w:val="006D7552"/>
    <w:rsid w:val="006E02F6"/>
    <w:rsid w:val="006E056C"/>
    <w:rsid w:val="006E0BA8"/>
    <w:rsid w:val="006E1254"/>
    <w:rsid w:val="006E16DD"/>
    <w:rsid w:val="006E1D19"/>
    <w:rsid w:val="006E24A7"/>
    <w:rsid w:val="006E2B3A"/>
    <w:rsid w:val="006E2EC5"/>
    <w:rsid w:val="006E6193"/>
    <w:rsid w:val="006E665F"/>
    <w:rsid w:val="006E75FD"/>
    <w:rsid w:val="006F0B10"/>
    <w:rsid w:val="006F1E6E"/>
    <w:rsid w:val="006F3430"/>
    <w:rsid w:val="006F4714"/>
    <w:rsid w:val="006F7386"/>
    <w:rsid w:val="0070186E"/>
    <w:rsid w:val="00701F6E"/>
    <w:rsid w:val="00704B2E"/>
    <w:rsid w:val="00704F69"/>
    <w:rsid w:val="0070506D"/>
    <w:rsid w:val="00706280"/>
    <w:rsid w:val="00711677"/>
    <w:rsid w:val="00711D64"/>
    <w:rsid w:val="00714B89"/>
    <w:rsid w:val="00714DE3"/>
    <w:rsid w:val="0072022E"/>
    <w:rsid w:val="00720CCE"/>
    <w:rsid w:val="00720EBE"/>
    <w:rsid w:val="0072106C"/>
    <w:rsid w:val="0072142A"/>
    <w:rsid w:val="00721CE8"/>
    <w:rsid w:val="00724212"/>
    <w:rsid w:val="00724855"/>
    <w:rsid w:val="00725244"/>
    <w:rsid w:val="0072636F"/>
    <w:rsid w:val="00727120"/>
    <w:rsid w:val="007273E5"/>
    <w:rsid w:val="00731C42"/>
    <w:rsid w:val="0073270F"/>
    <w:rsid w:val="0073295F"/>
    <w:rsid w:val="007342CB"/>
    <w:rsid w:val="00734C00"/>
    <w:rsid w:val="00735E16"/>
    <w:rsid w:val="00740EAD"/>
    <w:rsid w:val="007414F3"/>
    <w:rsid w:val="00741A75"/>
    <w:rsid w:val="00741C7A"/>
    <w:rsid w:val="00741E26"/>
    <w:rsid w:val="00742232"/>
    <w:rsid w:val="00742E88"/>
    <w:rsid w:val="007439BC"/>
    <w:rsid w:val="00746876"/>
    <w:rsid w:val="0074727E"/>
    <w:rsid w:val="00747DB0"/>
    <w:rsid w:val="00751E6B"/>
    <w:rsid w:val="00751EAB"/>
    <w:rsid w:val="007526F6"/>
    <w:rsid w:val="00752CE3"/>
    <w:rsid w:val="00752E97"/>
    <w:rsid w:val="007542A0"/>
    <w:rsid w:val="0075469E"/>
    <w:rsid w:val="007548D7"/>
    <w:rsid w:val="00754D86"/>
    <w:rsid w:val="007551F2"/>
    <w:rsid w:val="0075752F"/>
    <w:rsid w:val="0076134D"/>
    <w:rsid w:val="00761E7E"/>
    <w:rsid w:val="007623B2"/>
    <w:rsid w:val="0076298D"/>
    <w:rsid w:val="00762F59"/>
    <w:rsid w:val="0076319E"/>
    <w:rsid w:val="00763730"/>
    <w:rsid w:val="00763F6A"/>
    <w:rsid w:val="00763FF6"/>
    <w:rsid w:val="00764C6B"/>
    <w:rsid w:val="00764CEF"/>
    <w:rsid w:val="007650E0"/>
    <w:rsid w:val="00765603"/>
    <w:rsid w:val="00765C40"/>
    <w:rsid w:val="00770E16"/>
    <w:rsid w:val="00771EF2"/>
    <w:rsid w:val="00773775"/>
    <w:rsid w:val="00773F4C"/>
    <w:rsid w:val="0077506C"/>
    <w:rsid w:val="007753FC"/>
    <w:rsid w:val="007764F0"/>
    <w:rsid w:val="00777019"/>
    <w:rsid w:val="007776B2"/>
    <w:rsid w:val="0078150F"/>
    <w:rsid w:val="00781747"/>
    <w:rsid w:val="007839F9"/>
    <w:rsid w:val="00785470"/>
    <w:rsid w:val="007868D3"/>
    <w:rsid w:val="007904E5"/>
    <w:rsid w:val="00790CCB"/>
    <w:rsid w:val="00790FED"/>
    <w:rsid w:val="007915E6"/>
    <w:rsid w:val="00792AAA"/>
    <w:rsid w:val="0079676E"/>
    <w:rsid w:val="007A0805"/>
    <w:rsid w:val="007A0EF5"/>
    <w:rsid w:val="007A279C"/>
    <w:rsid w:val="007A2934"/>
    <w:rsid w:val="007A3C6A"/>
    <w:rsid w:val="007A4001"/>
    <w:rsid w:val="007A47D4"/>
    <w:rsid w:val="007A632F"/>
    <w:rsid w:val="007B15B8"/>
    <w:rsid w:val="007B1856"/>
    <w:rsid w:val="007B2283"/>
    <w:rsid w:val="007B23BB"/>
    <w:rsid w:val="007B2BA2"/>
    <w:rsid w:val="007B32FD"/>
    <w:rsid w:val="007B4030"/>
    <w:rsid w:val="007B5398"/>
    <w:rsid w:val="007B6C41"/>
    <w:rsid w:val="007B7685"/>
    <w:rsid w:val="007B7857"/>
    <w:rsid w:val="007C00B7"/>
    <w:rsid w:val="007C13C7"/>
    <w:rsid w:val="007C1979"/>
    <w:rsid w:val="007C2A7C"/>
    <w:rsid w:val="007C3DC9"/>
    <w:rsid w:val="007C4943"/>
    <w:rsid w:val="007C4EEA"/>
    <w:rsid w:val="007C5305"/>
    <w:rsid w:val="007C6B28"/>
    <w:rsid w:val="007C7583"/>
    <w:rsid w:val="007C7ABA"/>
    <w:rsid w:val="007C7C37"/>
    <w:rsid w:val="007D01CE"/>
    <w:rsid w:val="007D0ED6"/>
    <w:rsid w:val="007D2072"/>
    <w:rsid w:val="007D3CFA"/>
    <w:rsid w:val="007D4455"/>
    <w:rsid w:val="007D4992"/>
    <w:rsid w:val="007D4D88"/>
    <w:rsid w:val="007D4F8A"/>
    <w:rsid w:val="007D521F"/>
    <w:rsid w:val="007D5978"/>
    <w:rsid w:val="007D5A5C"/>
    <w:rsid w:val="007D625A"/>
    <w:rsid w:val="007E13B3"/>
    <w:rsid w:val="007E2571"/>
    <w:rsid w:val="007E3B70"/>
    <w:rsid w:val="007E40AA"/>
    <w:rsid w:val="007E41F5"/>
    <w:rsid w:val="007E4733"/>
    <w:rsid w:val="007E5014"/>
    <w:rsid w:val="007E63FB"/>
    <w:rsid w:val="007E699A"/>
    <w:rsid w:val="007E73DD"/>
    <w:rsid w:val="007F0855"/>
    <w:rsid w:val="007F09A1"/>
    <w:rsid w:val="007F1135"/>
    <w:rsid w:val="007F185E"/>
    <w:rsid w:val="007F1AB1"/>
    <w:rsid w:val="007F1D89"/>
    <w:rsid w:val="007F312A"/>
    <w:rsid w:val="007F4871"/>
    <w:rsid w:val="007F49F6"/>
    <w:rsid w:val="007F70F9"/>
    <w:rsid w:val="007F7198"/>
    <w:rsid w:val="007F757A"/>
    <w:rsid w:val="00800A45"/>
    <w:rsid w:val="0080154C"/>
    <w:rsid w:val="00801B3B"/>
    <w:rsid w:val="0080290C"/>
    <w:rsid w:val="00802B90"/>
    <w:rsid w:val="00802ECA"/>
    <w:rsid w:val="00803BDB"/>
    <w:rsid w:val="00803C42"/>
    <w:rsid w:val="00804082"/>
    <w:rsid w:val="00806264"/>
    <w:rsid w:val="00806AA9"/>
    <w:rsid w:val="00806C3F"/>
    <w:rsid w:val="00806EA4"/>
    <w:rsid w:val="008070D0"/>
    <w:rsid w:val="00810AC5"/>
    <w:rsid w:val="00810FB5"/>
    <w:rsid w:val="00811556"/>
    <w:rsid w:val="00811623"/>
    <w:rsid w:val="0081289E"/>
    <w:rsid w:val="00813C61"/>
    <w:rsid w:val="00814FF1"/>
    <w:rsid w:val="008209B8"/>
    <w:rsid w:val="00821820"/>
    <w:rsid w:val="008227BE"/>
    <w:rsid w:val="00823FAD"/>
    <w:rsid w:val="008247E2"/>
    <w:rsid w:val="00825C97"/>
    <w:rsid w:val="0082679F"/>
    <w:rsid w:val="00826880"/>
    <w:rsid w:val="0082698F"/>
    <w:rsid w:val="00827B72"/>
    <w:rsid w:val="008325DE"/>
    <w:rsid w:val="00832D8C"/>
    <w:rsid w:val="00833445"/>
    <w:rsid w:val="0083419D"/>
    <w:rsid w:val="0083513D"/>
    <w:rsid w:val="00835283"/>
    <w:rsid w:val="008355B2"/>
    <w:rsid w:val="00836AC5"/>
    <w:rsid w:val="00836FC3"/>
    <w:rsid w:val="00837106"/>
    <w:rsid w:val="0083797B"/>
    <w:rsid w:val="00837AB1"/>
    <w:rsid w:val="008402D2"/>
    <w:rsid w:val="008434E7"/>
    <w:rsid w:val="00844012"/>
    <w:rsid w:val="0084429F"/>
    <w:rsid w:val="008442AA"/>
    <w:rsid w:val="00844B49"/>
    <w:rsid w:val="00845B6F"/>
    <w:rsid w:val="0084639D"/>
    <w:rsid w:val="008467F1"/>
    <w:rsid w:val="00847EBE"/>
    <w:rsid w:val="0085094A"/>
    <w:rsid w:val="008515BC"/>
    <w:rsid w:val="00851D73"/>
    <w:rsid w:val="008531E7"/>
    <w:rsid w:val="0085337B"/>
    <w:rsid w:val="0085686D"/>
    <w:rsid w:val="00861E80"/>
    <w:rsid w:val="0086200F"/>
    <w:rsid w:val="008621C9"/>
    <w:rsid w:val="008622A8"/>
    <w:rsid w:val="00862CD7"/>
    <w:rsid w:val="008632F3"/>
    <w:rsid w:val="0086422B"/>
    <w:rsid w:val="00864CC8"/>
    <w:rsid w:val="008655BB"/>
    <w:rsid w:val="00866C7C"/>
    <w:rsid w:val="0086721B"/>
    <w:rsid w:val="008677A6"/>
    <w:rsid w:val="008677B5"/>
    <w:rsid w:val="008677BE"/>
    <w:rsid w:val="00867A1E"/>
    <w:rsid w:val="00870A62"/>
    <w:rsid w:val="0087185B"/>
    <w:rsid w:val="00872010"/>
    <w:rsid w:val="00872425"/>
    <w:rsid w:val="008734AB"/>
    <w:rsid w:val="008763CC"/>
    <w:rsid w:val="0087661F"/>
    <w:rsid w:val="00877538"/>
    <w:rsid w:val="00877C42"/>
    <w:rsid w:val="0088010F"/>
    <w:rsid w:val="0088026D"/>
    <w:rsid w:val="00881239"/>
    <w:rsid w:val="00881752"/>
    <w:rsid w:val="00883B84"/>
    <w:rsid w:val="008843E5"/>
    <w:rsid w:val="008847D5"/>
    <w:rsid w:val="0088513A"/>
    <w:rsid w:val="00886033"/>
    <w:rsid w:val="008860D4"/>
    <w:rsid w:val="0088753E"/>
    <w:rsid w:val="00892DF1"/>
    <w:rsid w:val="0089342D"/>
    <w:rsid w:val="00893DE2"/>
    <w:rsid w:val="00896267"/>
    <w:rsid w:val="00897B84"/>
    <w:rsid w:val="008A169B"/>
    <w:rsid w:val="008A2395"/>
    <w:rsid w:val="008A25C9"/>
    <w:rsid w:val="008A286F"/>
    <w:rsid w:val="008A2DAE"/>
    <w:rsid w:val="008A32D4"/>
    <w:rsid w:val="008A3AB4"/>
    <w:rsid w:val="008A42A5"/>
    <w:rsid w:val="008A46C7"/>
    <w:rsid w:val="008A5365"/>
    <w:rsid w:val="008A6B26"/>
    <w:rsid w:val="008A6B41"/>
    <w:rsid w:val="008B11D2"/>
    <w:rsid w:val="008B24DB"/>
    <w:rsid w:val="008B45E1"/>
    <w:rsid w:val="008B5FEB"/>
    <w:rsid w:val="008B62DA"/>
    <w:rsid w:val="008B651C"/>
    <w:rsid w:val="008B70D1"/>
    <w:rsid w:val="008B7F88"/>
    <w:rsid w:val="008C146E"/>
    <w:rsid w:val="008C1A77"/>
    <w:rsid w:val="008C2856"/>
    <w:rsid w:val="008C3519"/>
    <w:rsid w:val="008C36E0"/>
    <w:rsid w:val="008C4018"/>
    <w:rsid w:val="008C5624"/>
    <w:rsid w:val="008C6625"/>
    <w:rsid w:val="008C7953"/>
    <w:rsid w:val="008D32BB"/>
    <w:rsid w:val="008D3537"/>
    <w:rsid w:val="008D3C94"/>
    <w:rsid w:val="008D3E36"/>
    <w:rsid w:val="008E01B0"/>
    <w:rsid w:val="008E0440"/>
    <w:rsid w:val="008E094F"/>
    <w:rsid w:val="008E1947"/>
    <w:rsid w:val="008E2503"/>
    <w:rsid w:val="008E2AD5"/>
    <w:rsid w:val="008E432C"/>
    <w:rsid w:val="008E467A"/>
    <w:rsid w:val="008E4CA8"/>
    <w:rsid w:val="008E58ED"/>
    <w:rsid w:val="008E5E15"/>
    <w:rsid w:val="008E6550"/>
    <w:rsid w:val="008E68C5"/>
    <w:rsid w:val="008E6AE4"/>
    <w:rsid w:val="008E7F8A"/>
    <w:rsid w:val="008F094A"/>
    <w:rsid w:val="008F10C3"/>
    <w:rsid w:val="008F1A46"/>
    <w:rsid w:val="008F1FE5"/>
    <w:rsid w:val="008F3C31"/>
    <w:rsid w:val="008F3DF6"/>
    <w:rsid w:val="008F4745"/>
    <w:rsid w:val="008F6E41"/>
    <w:rsid w:val="008F6ECA"/>
    <w:rsid w:val="008F6F65"/>
    <w:rsid w:val="00900301"/>
    <w:rsid w:val="00900CC5"/>
    <w:rsid w:val="00901817"/>
    <w:rsid w:val="009021BE"/>
    <w:rsid w:val="0090277B"/>
    <w:rsid w:val="00902A1E"/>
    <w:rsid w:val="00903BA6"/>
    <w:rsid w:val="00904251"/>
    <w:rsid w:val="00904BE2"/>
    <w:rsid w:val="00905F52"/>
    <w:rsid w:val="00906CD6"/>
    <w:rsid w:val="00911EEB"/>
    <w:rsid w:val="009121C0"/>
    <w:rsid w:val="00912595"/>
    <w:rsid w:val="0091282B"/>
    <w:rsid w:val="00912AC4"/>
    <w:rsid w:val="00912F69"/>
    <w:rsid w:val="009131FF"/>
    <w:rsid w:val="0091334D"/>
    <w:rsid w:val="00913963"/>
    <w:rsid w:val="00914260"/>
    <w:rsid w:val="00915F19"/>
    <w:rsid w:val="00916F59"/>
    <w:rsid w:val="009172E0"/>
    <w:rsid w:val="00917336"/>
    <w:rsid w:val="00917CC6"/>
    <w:rsid w:val="009205F2"/>
    <w:rsid w:val="00920666"/>
    <w:rsid w:val="0092163F"/>
    <w:rsid w:val="00923799"/>
    <w:rsid w:val="009257DF"/>
    <w:rsid w:val="00925812"/>
    <w:rsid w:val="00926B2F"/>
    <w:rsid w:val="00927FF8"/>
    <w:rsid w:val="0093109F"/>
    <w:rsid w:val="0093263F"/>
    <w:rsid w:val="00932ADF"/>
    <w:rsid w:val="00934B65"/>
    <w:rsid w:val="00937582"/>
    <w:rsid w:val="00941169"/>
    <w:rsid w:val="00941A2D"/>
    <w:rsid w:val="00943252"/>
    <w:rsid w:val="00943308"/>
    <w:rsid w:val="009448CB"/>
    <w:rsid w:val="00947C03"/>
    <w:rsid w:val="00950E77"/>
    <w:rsid w:val="00951536"/>
    <w:rsid w:val="0095225F"/>
    <w:rsid w:val="00952650"/>
    <w:rsid w:val="00952681"/>
    <w:rsid w:val="009543A3"/>
    <w:rsid w:val="00954441"/>
    <w:rsid w:val="00954628"/>
    <w:rsid w:val="00955FE5"/>
    <w:rsid w:val="009568FE"/>
    <w:rsid w:val="00956C76"/>
    <w:rsid w:val="009578DF"/>
    <w:rsid w:val="00962482"/>
    <w:rsid w:val="0096539F"/>
    <w:rsid w:val="00965876"/>
    <w:rsid w:val="00965E51"/>
    <w:rsid w:val="009666E0"/>
    <w:rsid w:val="009674A5"/>
    <w:rsid w:val="00967970"/>
    <w:rsid w:val="00967DCC"/>
    <w:rsid w:val="009703A9"/>
    <w:rsid w:val="009704AA"/>
    <w:rsid w:val="009705BE"/>
    <w:rsid w:val="009709D1"/>
    <w:rsid w:val="0097147E"/>
    <w:rsid w:val="009718EA"/>
    <w:rsid w:val="00971E3F"/>
    <w:rsid w:val="00972274"/>
    <w:rsid w:val="0097263C"/>
    <w:rsid w:val="009728EE"/>
    <w:rsid w:val="00976E76"/>
    <w:rsid w:val="00976F19"/>
    <w:rsid w:val="00977300"/>
    <w:rsid w:val="0097760B"/>
    <w:rsid w:val="00977CAA"/>
    <w:rsid w:val="00980EA3"/>
    <w:rsid w:val="009817B8"/>
    <w:rsid w:val="0098197A"/>
    <w:rsid w:val="00981FAE"/>
    <w:rsid w:val="009824CC"/>
    <w:rsid w:val="00983671"/>
    <w:rsid w:val="00985E06"/>
    <w:rsid w:val="00985F8F"/>
    <w:rsid w:val="009872EE"/>
    <w:rsid w:val="00987FE8"/>
    <w:rsid w:val="00990AE3"/>
    <w:rsid w:val="00991BFE"/>
    <w:rsid w:val="00991E2E"/>
    <w:rsid w:val="00992069"/>
    <w:rsid w:val="00992A0B"/>
    <w:rsid w:val="009930BA"/>
    <w:rsid w:val="00993EF5"/>
    <w:rsid w:val="009957A2"/>
    <w:rsid w:val="009966E6"/>
    <w:rsid w:val="009967CA"/>
    <w:rsid w:val="0099691F"/>
    <w:rsid w:val="009A05D1"/>
    <w:rsid w:val="009A0914"/>
    <w:rsid w:val="009A11A1"/>
    <w:rsid w:val="009A1708"/>
    <w:rsid w:val="009A2A50"/>
    <w:rsid w:val="009A5AB0"/>
    <w:rsid w:val="009A61E1"/>
    <w:rsid w:val="009A7325"/>
    <w:rsid w:val="009A769E"/>
    <w:rsid w:val="009A790B"/>
    <w:rsid w:val="009B10C4"/>
    <w:rsid w:val="009B20C1"/>
    <w:rsid w:val="009B24A2"/>
    <w:rsid w:val="009B49FF"/>
    <w:rsid w:val="009B4F47"/>
    <w:rsid w:val="009B50BD"/>
    <w:rsid w:val="009B565E"/>
    <w:rsid w:val="009B5D83"/>
    <w:rsid w:val="009B6C8F"/>
    <w:rsid w:val="009B70FD"/>
    <w:rsid w:val="009C114C"/>
    <w:rsid w:val="009C1290"/>
    <w:rsid w:val="009C1728"/>
    <w:rsid w:val="009C1F64"/>
    <w:rsid w:val="009C27EA"/>
    <w:rsid w:val="009C29EA"/>
    <w:rsid w:val="009C3BCC"/>
    <w:rsid w:val="009C4254"/>
    <w:rsid w:val="009C4C97"/>
    <w:rsid w:val="009C5F3D"/>
    <w:rsid w:val="009C66C2"/>
    <w:rsid w:val="009C69DD"/>
    <w:rsid w:val="009C6D90"/>
    <w:rsid w:val="009C74C6"/>
    <w:rsid w:val="009C7E22"/>
    <w:rsid w:val="009D0109"/>
    <w:rsid w:val="009D0910"/>
    <w:rsid w:val="009D0A81"/>
    <w:rsid w:val="009D101C"/>
    <w:rsid w:val="009D1562"/>
    <w:rsid w:val="009D1C24"/>
    <w:rsid w:val="009D2FAC"/>
    <w:rsid w:val="009D4566"/>
    <w:rsid w:val="009D4780"/>
    <w:rsid w:val="009D5523"/>
    <w:rsid w:val="009D583D"/>
    <w:rsid w:val="009D633F"/>
    <w:rsid w:val="009D648B"/>
    <w:rsid w:val="009D6FA3"/>
    <w:rsid w:val="009D7331"/>
    <w:rsid w:val="009D7BF2"/>
    <w:rsid w:val="009E05EB"/>
    <w:rsid w:val="009E09A1"/>
    <w:rsid w:val="009E1464"/>
    <w:rsid w:val="009E26E6"/>
    <w:rsid w:val="009E2D94"/>
    <w:rsid w:val="009E334C"/>
    <w:rsid w:val="009E5D89"/>
    <w:rsid w:val="009E5ECB"/>
    <w:rsid w:val="009E5FA2"/>
    <w:rsid w:val="009F04DC"/>
    <w:rsid w:val="009F0CE2"/>
    <w:rsid w:val="009F1FB5"/>
    <w:rsid w:val="009F2098"/>
    <w:rsid w:val="009F2DE1"/>
    <w:rsid w:val="009F3228"/>
    <w:rsid w:val="009F3B26"/>
    <w:rsid w:val="009F3BBD"/>
    <w:rsid w:val="009F4213"/>
    <w:rsid w:val="009F43A1"/>
    <w:rsid w:val="009F47BA"/>
    <w:rsid w:val="009F4A51"/>
    <w:rsid w:val="009F4C27"/>
    <w:rsid w:val="009F51F1"/>
    <w:rsid w:val="009F538A"/>
    <w:rsid w:val="009F6BD4"/>
    <w:rsid w:val="009F7146"/>
    <w:rsid w:val="009F74B4"/>
    <w:rsid w:val="009F7744"/>
    <w:rsid w:val="009F7773"/>
    <w:rsid w:val="009F7B77"/>
    <w:rsid w:val="009F7E24"/>
    <w:rsid w:val="00A00DAD"/>
    <w:rsid w:val="00A01330"/>
    <w:rsid w:val="00A014FE"/>
    <w:rsid w:val="00A030CC"/>
    <w:rsid w:val="00A04960"/>
    <w:rsid w:val="00A05DC6"/>
    <w:rsid w:val="00A1100E"/>
    <w:rsid w:val="00A12F22"/>
    <w:rsid w:val="00A13039"/>
    <w:rsid w:val="00A134E9"/>
    <w:rsid w:val="00A13EDF"/>
    <w:rsid w:val="00A14BD4"/>
    <w:rsid w:val="00A14C37"/>
    <w:rsid w:val="00A16345"/>
    <w:rsid w:val="00A17C95"/>
    <w:rsid w:val="00A20360"/>
    <w:rsid w:val="00A23884"/>
    <w:rsid w:val="00A25650"/>
    <w:rsid w:val="00A26440"/>
    <w:rsid w:val="00A26857"/>
    <w:rsid w:val="00A26DDD"/>
    <w:rsid w:val="00A31BF2"/>
    <w:rsid w:val="00A323CB"/>
    <w:rsid w:val="00A325B4"/>
    <w:rsid w:val="00A32900"/>
    <w:rsid w:val="00A34A03"/>
    <w:rsid w:val="00A34E4C"/>
    <w:rsid w:val="00A357CA"/>
    <w:rsid w:val="00A357D8"/>
    <w:rsid w:val="00A37DC9"/>
    <w:rsid w:val="00A403F8"/>
    <w:rsid w:val="00A41E84"/>
    <w:rsid w:val="00A41ED3"/>
    <w:rsid w:val="00A4347E"/>
    <w:rsid w:val="00A43848"/>
    <w:rsid w:val="00A443D9"/>
    <w:rsid w:val="00A44800"/>
    <w:rsid w:val="00A45BA4"/>
    <w:rsid w:val="00A460B1"/>
    <w:rsid w:val="00A468FE"/>
    <w:rsid w:val="00A46967"/>
    <w:rsid w:val="00A47AE8"/>
    <w:rsid w:val="00A47BDF"/>
    <w:rsid w:val="00A50912"/>
    <w:rsid w:val="00A51F9A"/>
    <w:rsid w:val="00A5289E"/>
    <w:rsid w:val="00A528EC"/>
    <w:rsid w:val="00A52A8C"/>
    <w:rsid w:val="00A52CBF"/>
    <w:rsid w:val="00A531EC"/>
    <w:rsid w:val="00A5348A"/>
    <w:rsid w:val="00A53A94"/>
    <w:rsid w:val="00A5408C"/>
    <w:rsid w:val="00A545EA"/>
    <w:rsid w:val="00A54B68"/>
    <w:rsid w:val="00A55C3D"/>
    <w:rsid w:val="00A5765F"/>
    <w:rsid w:val="00A603D0"/>
    <w:rsid w:val="00A61DBB"/>
    <w:rsid w:val="00A62F37"/>
    <w:rsid w:val="00A63632"/>
    <w:rsid w:val="00A63880"/>
    <w:rsid w:val="00A63C96"/>
    <w:rsid w:val="00A63CC1"/>
    <w:rsid w:val="00A65453"/>
    <w:rsid w:val="00A65FAF"/>
    <w:rsid w:val="00A679E5"/>
    <w:rsid w:val="00A67AD8"/>
    <w:rsid w:val="00A67CEA"/>
    <w:rsid w:val="00A70E79"/>
    <w:rsid w:val="00A714BA"/>
    <w:rsid w:val="00A73868"/>
    <w:rsid w:val="00A74F6C"/>
    <w:rsid w:val="00A7542D"/>
    <w:rsid w:val="00A75FC5"/>
    <w:rsid w:val="00A7601E"/>
    <w:rsid w:val="00A767C3"/>
    <w:rsid w:val="00A76A9E"/>
    <w:rsid w:val="00A77257"/>
    <w:rsid w:val="00A7735E"/>
    <w:rsid w:val="00A77877"/>
    <w:rsid w:val="00A801E9"/>
    <w:rsid w:val="00A80605"/>
    <w:rsid w:val="00A84345"/>
    <w:rsid w:val="00A85876"/>
    <w:rsid w:val="00A875FD"/>
    <w:rsid w:val="00A90676"/>
    <w:rsid w:val="00A9112A"/>
    <w:rsid w:val="00A9132C"/>
    <w:rsid w:val="00A9176F"/>
    <w:rsid w:val="00A91E88"/>
    <w:rsid w:val="00A923D0"/>
    <w:rsid w:val="00A93201"/>
    <w:rsid w:val="00A93575"/>
    <w:rsid w:val="00A9517E"/>
    <w:rsid w:val="00A960D3"/>
    <w:rsid w:val="00A9671E"/>
    <w:rsid w:val="00A977E5"/>
    <w:rsid w:val="00A97CD8"/>
    <w:rsid w:val="00AA06A8"/>
    <w:rsid w:val="00AA1001"/>
    <w:rsid w:val="00AA1548"/>
    <w:rsid w:val="00AA28A4"/>
    <w:rsid w:val="00AA375F"/>
    <w:rsid w:val="00AA4436"/>
    <w:rsid w:val="00AA4846"/>
    <w:rsid w:val="00AA5965"/>
    <w:rsid w:val="00AA684D"/>
    <w:rsid w:val="00AA747D"/>
    <w:rsid w:val="00AA7A7A"/>
    <w:rsid w:val="00AB0CDB"/>
    <w:rsid w:val="00AB2A13"/>
    <w:rsid w:val="00AB3D3C"/>
    <w:rsid w:val="00AB5610"/>
    <w:rsid w:val="00AB5FD7"/>
    <w:rsid w:val="00AB65EB"/>
    <w:rsid w:val="00AB6A68"/>
    <w:rsid w:val="00AB7E06"/>
    <w:rsid w:val="00AC0865"/>
    <w:rsid w:val="00AC2DC5"/>
    <w:rsid w:val="00AC391E"/>
    <w:rsid w:val="00AC4120"/>
    <w:rsid w:val="00AC45A5"/>
    <w:rsid w:val="00AC59B5"/>
    <w:rsid w:val="00AC641A"/>
    <w:rsid w:val="00AC66EE"/>
    <w:rsid w:val="00AC7011"/>
    <w:rsid w:val="00AC7266"/>
    <w:rsid w:val="00AC7FA0"/>
    <w:rsid w:val="00AD0BA6"/>
    <w:rsid w:val="00AD0BCD"/>
    <w:rsid w:val="00AD1BAA"/>
    <w:rsid w:val="00AD24B9"/>
    <w:rsid w:val="00AD59E8"/>
    <w:rsid w:val="00AD77B1"/>
    <w:rsid w:val="00AE077E"/>
    <w:rsid w:val="00AE207B"/>
    <w:rsid w:val="00AE228C"/>
    <w:rsid w:val="00AE28A4"/>
    <w:rsid w:val="00AE3EBB"/>
    <w:rsid w:val="00AE6683"/>
    <w:rsid w:val="00AE7A21"/>
    <w:rsid w:val="00AF024F"/>
    <w:rsid w:val="00AF098D"/>
    <w:rsid w:val="00AF0EC5"/>
    <w:rsid w:val="00AF0FD1"/>
    <w:rsid w:val="00AF3E9A"/>
    <w:rsid w:val="00AF3FBC"/>
    <w:rsid w:val="00AF4F0C"/>
    <w:rsid w:val="00AF50D2"/>
    <w:rsid w:val="00AF5551"/>
    <w:rsid w:val="00AF5B0D"/>
    <w:rsid w:val="00AF6251"/>
    <w:rsid w:val="00AF6E33"/>
    <w:rsid w:val="00AF6FE6"/>
    <w:rsid w:val="00AF7542"/>
    <w:rsid w:val="00AF7EB4"/>
    <w:rsid w:val="00AF7F07"/>
    <w:rsid w:val="00B00EE8"/>
    <w:rsid w:val="00B00F74"/>
    <w:rsid w:val="00B0173A"/>
    <w:rsid w:val="00B01DE7"/>
    <w:rsid w:val="00B01E45"/>
    <w:rsid w:val="00B03ABC"/>
    <w:rsid w:val="00B049F3"/>
    <w:rsid w:val="00B0567F"/>
    <w:rsid w:val="00B077F7"/>
    <w:rsid w:val="00B07A56"/>
    <w:rsid w:val="00B07A83"/>
    <w:rsid w:val="00B11857"/>
    <w:rsid w:val="00B12A59"/>
    <w:rsid w:val="00B12A8A"/>
    <w:rsid w:val="00B12D98"/>
    <w:rsid w:val="00B13A53"/>
    <w:rsid w:val="00B13C96"/>
    <w:rsid w:val="00B13ED3"/>
    <w:rsid w:val="00B148F3"/>
    <w:rsid w:val="00B159F4"/>
    <w:rsid w:val="00B16066"/>
    <w:rsid w:val="00B17086"/>
    <w:rsid w:val="00B201D8"/>
    <w:rsid w:val="00B20299"/>
    <w:rsid w:val="00B2186B"/>
    <w:rsid w:val="00B2192B"/>
    <w:rsid w:val="00B2242D"/>
    <w:rsid w:val="00B23D90"/>
    <w:rsid w:val="00B242FC"/>
    <w:rsid w:val="00B25301"/>
    <w:rsid w:val="00B25BD1"/>
    <w:rsid w:val="00B2616B"/>
    <w:rsid w:val="00B267ED"/>
    <w:rsid w:val="00B277AA"/>
    <w:rsid w:val="00B30B21"/>
    <w:rsid w:val="00B313DC"/>
    <w:rsid w:val="00B314E6"/>
    <w:rsid w:val="00B3300F"/>
    <w:rsid w:val="00B33A04"/>
    <w:rsid w:val="00B33A4C"/>
    <w:rsid w:val="00B343E8"/>
    <w:rsid w:val="00B3449A"/>
    <w:rsid w:val="00B35441"/>
    <w:rsid w:val="00B37EDC"/>
    <w:rsid w:val="00B41C52"/>
    <w:rsid w:val="00B41E56"/>
    <w:rsid w:val="00B43D02"/>
    <w:rsid w:val="00B47984"/>
    <w:rsid w:val="00B47B5A"/>
    <w:rsid w:val="00B5147B"/>
    <w:rsid w:val="00B51A9B"/>
    <w:rsid w:val="00B534F5"/>
    <w:rsid w:val="00B53718"/>
    <w:rsid w:val="00B55742"/>
    <w:rsid w:val="00B5791A"/>
    <w:rsid w:val="00B60B8B"/>
    <w:rsid w:val="00B61156"/>
    <w:rsid w:val="00B619BE"/>
    <w:rsid w:val="00B61E84"/>
    <w:rsid w:val="00B638F7"/>
    <w:rsid w:val="00B6509C"/>
    <w:rsid w:val="00B653DD"/>
    <w:rsid w:val="00B703F3"/>
    <w:rsid w:val="00B70BB3"/>
    <w:rsid w:val="00B72193"/>
    <w:rsid w:val="00B727E0"/>
    <w:rsid w:val="00B740FC"/>
    <w:rsid w:val="00B75388"/>
    <w:rsid w:val="00B76756"/>
    <w:rsid w:val="00B76E92"/>
    <w:rsid w:val="00B774BF"/>
    <w:rsid w:val="00B808B5"/>
    <w:rsid w:val="00B814F7"/>
    <w:rsid w:val="00B8164B"/>
    <w:rsid w:val="00B81AF7"/>
    <w:rsid w:val="00B82700"/>
    <w:rsid w:val="00B84B9E"/>
    <w:rsid w:val="00B86B93"/>
    <w:rsid w:val="00B90029"/>
    <w:rsid w:val="00B906C9"/>
    <w:rsid w:val="00B90E1C"/>
    <w:rsid w:val="00B91164"/>
    <w:rsid w:val="00B9131B"/>
    <w:rsid w:val="00B91D7E"/>
    <w:rsid w:val="00B92D50"/>
    <w:rsid w:val="00B93A96"/>
    <w:rsid w:val="00B945CB"/>
    <w:rsid w:val="00B94A76"/>
    <w:rsid w:val="00BA1164"/>
    <w:rsid w:val="00BA320F"/>
    <w:rsid w:val="00BA3BC5"/>
    <w:rsid w:val="00BA5326"/>
    <w:rsid w:val="00BA5FD9"/>
    <w:rsid w:val="00BA6526"/>
    <w:rsid w:val="00BA7F61"/>
    <w:rsid w:val="00BB006D"/>
    <w:rsid w:val="00BB2F00"/>
    <w:rsid w:val="00BB35F7"/>
    <w:rsid w:val="00BB39A2"/>
    <w:rsid w:val="00BB3CF5"/>
    <w:rsid w:val="00BB4E7F"/>
    <w:rsid w:val="00BB6C59"/>
    <w:rsid w:val="00BB72AC"/>
    <w:rsid w:val="00BB73D3"/>
    <w:rsid w:val="00BB7664"/>
    <w:rsid w:val="00BC0BCA"/>
    <w:rsid w:val="00BC12EA"/>
    <w:rsid w:val="00BC1650"/>
    <w:rsid w:val="00BC196A"/>
    <w:rsid w:val="00BC284E"/>
    <w:rsid w:val="00BC3405"/>
    <w:rsid w:val="00BC391B"/>
    <w:rsid w:val="00BC4536"/>
    <w:rsid w:val="00BC47A0"/>
    <w:rsid w:val="00BC5E4F"/>
    <w:rsid w:val="00BC5FDB"/>
    <w:rsid w:val="00BC62F6"/>
    <w:rsid w:val="00BC6453"/>
    <w:rsid w:val="00BC6994"/>
    <w:rsid w:val="00BC6C32"/>
    <w:rsid w:val="00BC75DB"/>
    <w:rsid w:val="00BC76E0"/>
    <w:rsid w:val="00BC79B5"/>
    <w:rsid w:val="00BC7B2A"/>
    <w:rsid w:val="00BD0133"/>
    <w:rsid w:val="00BD1008"/>
    <w:rsid w:val="00BD2C47"/>
    <w:rsid w:val="00BD2D35"/>
    <w:rsid w:val="00BD3C4C"/>
    <w:rsid w:val="00BD4CF0"/>
    <w:rsid w:val="00BD5D99"/>
    <w:rsid w:val="00BD623A"/>
    <w:rsid w:val="00BE0CE9"/>
    <w:rsid w:val="00BE1456"/>
    <w:rsid w:val="00BE2080"/>
    <w:rsid w:val="00BE3417"/>
    <w:rsid w:val="00BE3E86"/>
    <w:rsid w:val="00BE42DD"/>
    <w:rsid w:val="00BE4359"/>
    <w:rsid w:val="00BE5279"/>
    <w:rsid w:val="00BE6681"/>
    <w:rsid w:val="00BE71E2"/>
    <w:rsid w:val="00BF0203"/>
    <w:rsid w:val="00BF0B2A"/>
    <w:rsid w:val="00BF1F93"/>
    <w:rsid w:val="00BF223E"/>
    <w:rsid w:val="00BF241B"/>
    <w:rsid w:val="00BF4189"/>
    <w:rsid w:val="00BF45EC"/>
    <w:rsid w:val="00BF635A"/>
    <w:rsid w:val="00BF72BC"/>
    <w:rsid w:val="00C00C67"/>
    <w:rsid w:val="00C01026"/>
    <w:rsid w:val="00C0185E"/>
    <w:rsid w:val="00C022B5"/>
    <w:rsid w:val="00C02D2D"/>
    <w:rsid w:val="00C02DFC"/>
    <w:rsid w:val="00C03705"/>
    <w:rsid w:val="00C04C02"/>
    <w:rsid w:val="00C05028"/>
    <w:rsid w:val="00C05109"/>
    <w:rsid w:val="00C052AB"/>
    <w:rsid w:val="00C05954"/>
    <w:rsid w:val="00C05A8A"/>
    <w:rsid w:val="00C06353"/>
    <w:rsid w:val="00C07EB2"/>
    <w:rsid w:val="00C10A15"/>
    <w:rsid w:val="00C11A20"/>
    <w:rsid w:val="00C11FDD"/>
    <w:rsid w:val="00C12D89"/>
    <w:rsid w:val="00C13D2F"/>
    <w:rsid w:val="00C13DBF"/>
    <w:rsid w:val="00C1436B"/>
    <w:rsid w:val="00C1469B"/>
    <w:rsid w:val="00C14972"/>
    <w:rsid w:val="00C14EF8"/>
    <w:rsid w:val="00C15416"/>
    <w:rsid w:val="00C16BD7"/>
    <w:rsid w:val="00C16E44"/>
    <w:rsid w:val="00C177D8"/>
    <w:rsid w:val="00C1789E"/>
    <w:rsid w:val="00C2051C"/>
    <w:rsid w:val="00C23286"/>
    <w:rsid w:val="00C2396F"/>
    <w:rsid w:val="00C23FA4"/>
    <w:rsid w:val="00C2531B"/>
    <w:rsid w:val="00C26040"/>
    <w:rsid w:val="00C26297"/>
    <w:rsid w:val="00C27393"/>
    <w:rsid w:val="00C300F1"/>
    <w:rsid w:val="00C30A13"/>
    <w:rsid w:val="00C3211D"/>
    <w:rsid w:val="00C32ABA"/>
    <w:rsid w:val="00C32B5D"/>
    <w:rsid w:val="00C3331A"/>
    <w:rsid w:val="00C3375C"/>
    <w:rsid w:val="00C33DCF"/>
    <w:rsid w:val="00C34903"/>
    <w:rsid w:val="00C34C5D"/>
    <w:rsid w:val="00C3540E"/>
    <w:rsid w:val="00C355AA"/>
    <w:rsid w:val="00C3633F"/>
    <w:rsid w:val="00C36C27"/>
    <w:rsid w:val="00C376EC"/>
    <w:rsid w:val="00C4125F"/>
    <w:rsid w:val="00C4158F"/>
    <w:rsid w:val="00C41D1F"/>
    <w:rsid w:val="00C42AB3"/>
    <w:rsid w:val="00C42ED6"/>
    <w:rsid w:val="00C43A1C"/>
    <w:rsid w:val="00C44865"/>
    <w:rsid w:val="00C44A39"/>
    <w:rsid w:val="00C44E96"/>
    <w:rsid w:val="00C4526B"/>
    <w:rsid w:val="00C457E9"/>
    <w:rsid w:val="00C475E7"/>
    <w:rsid w:val="00C47B2D"/>
    <w:rsid w:val="00C50AB8"/>
    <w:rsid w:val="00C51140"/>
    <w:rsid w:val="00C52A7A"/>
    <w:rsid w:val="00C52F09"/>
    <w:rsid w:val="00C5324C"/>
    <w:rsid w:val="00C538F8"/>
    <w:rsid w:val="00C5678C"/>
    <w:rsid w:val="00C57C2F"/>
    <w:rsid w:val="00C61C69"/>
    <w:rsid w:val="00C61DB4"/>
    <w:rsid w:val="00C62408"/>
    <w:rsid w:val="00C62DD0"/>
    <w:rsid w:val="00C62F1B"/>
    <w:rsid w:val="00C64836"/>
    <w:rsid w:val="00C6559F"/>
    <w:rsid w:val="00C65DF9"/>
    <w:rsid w:val="00C6661A"/>
    <w:rsid w:val="00C666E7"/>
    <w:rsid w:val="00C66E5B"/>
    <w:rsid w:val="00C70474"/>
    <w:rsid w:val="00C71C5A"/>
    <w:rsid w:val="00C71D82"/>
    <w:rsid w:val="00C7545B"/>
    <w:rsid w:val="00C7589B"/>
    <w:rsid w:val="00C771E4"/>
    <w:rsid w:val="00C77FF4"/>
    <w:rsid w:val="00C80D84"/>
    <w:rsid w:val="00C81827"/>
    <w:rsid w:val="00C829DB"/>
    <w:rsid w:val="00C82BB4"/>
    <w:rsid w:val="00C852D6"/>
    <w:rsid w:val="00C85496"/>
    <w:rsid w:val="00C860A8"/>
    <w:rsid w:val="00C86160"/>
    <w:rsid w:val="00C862BD"/>
    <w:rsid w:val="00C864BB"/>
    <w:rsid w:val="00C86AA3"/>
    <w:rsid w:val="00C86FD3"/>
    <w:rsid w:val="00C877DE"/>
    <w:rsid w:val="00C87DD0"/>
    <w:rsid w:val="00C91E25"/>
    <w:rsid w:val="00C92DA9"/>
    <w:rsid w:val="00C93470"/>
    <w:rsid w:val="00C93D97"/>
    <w:rsid w:val="00C95036"/>
    <w:rsid w:val="00C95889"/>
    <w:rsid w:val="00C968A7"/>
    <w:rsid w:val="00C9704F"/>
    <w:rsid w:val="00C97344"/>
    <w:rsid w:val="00C97537"/>
    <w:rsid w:val="00CA0178"/>
    <w:rsid w:val="00CA0AE5"/>
    <w:rsid w:val="00CA110A"/>
    <w:rsid w:val="00CA1A79"/>
    <w:rsid w:val="00CA1D41"/>
    <w:rsid w:val="00CA2406"/>
    <w:rsid w:val="00CA2EA8"/>
    <w:rsid w:val="00CA3C19"/>
    <w:rsid w:val="00CA5201"/>
    <w:rsid w:val="00CA737D"/>
    <w:rsid w:val="00CB22C5"/>
    <w:rsid w:val="00CB26A0"/>
    <w:rsid w:val="00CB39B9"/>
    <w:rsid w:val="00CB3E24"/>
    <w:rsid w:val="00CB4779"/>
    <w:rsid w:val="00CB55CC"/>
    <w:rsid w:val="00CB69D2"/>
    <w:rsid w:val="00CB6E4C"/>
    <w:rsid w:val="00CB7F24"/>
    <w:rsid w:val="00CC07C5"/>
    <w:rsid w:val="00CC0FC0"/>
    <w:rsid w:val="00CC11D9"/>
    <w:rsid w:val="00CC12E2"/>
    <w:rsid w:val="00CC17C4"/>
    <w:rsid w:val="00CC1AEA"/>
    <w:rsid w:val="00CC24DE"/>
    <w:rsid w:val="00CC4ADF"/>
    <w:rsid w:val="00CC5D52"/>
    <w:rsid w:val="00CC67B4"/>
    <w:rsid w:val="00CC6F5B"/>
    <w:rsid w:val="00CD0AE7"/>
    <w:rsid w:val="00CD0EC4"/>
    <w:rsid w:val="00CD16F1"/>
    <w:rsid w:val="00CD188E"/>
    <w:rsid w:val="00CD1B57"/>
    <w:rsid w:val="00CD2537"/>
    <w:rsid w:val="00CD37FF"/>
    <w:rsid w:val="00CD3C6A"/>
    <w:rsid w:val="00CD3CBE"/>
    <w:rsid w:val="00CD3CF3"/>
    <w:rsid w:val="00CD597A"/>
    <w:rsid w:val="00CD6ED2"/>
    <w:rsid w:val="00CD705C"/>
    <w:rsid w:val="00CD772F"/>
    <w:rsid w:val="00CE11EA"/>
    <w:rsid w:val="00CE263A"/>
    <w:rsid w:val="00CE3581"/>
    <w:rsid w:val="00CE3842"/>
    <w:rsid w:val="00CE3B8D"/>
    <w:rsid w:val="00CE426B"/>
    <w:rsid w:val="00CE42D5"/>
    <w:rsid w:val="00CE463A"/>
    <w:rsid w:val="00CE583E"/>
    <w:rsid w:val="00CE6C6B"/>
    <w:rsid w:val="00CE72FD"/>
    <w:rsid w:val="00CF0E42"/>
    <w:rsid w:val="00CF0F15"/>
    <w:rsid w:val="00CF3223"/>
    <w:rsid w:val="00CF4050"/>
    <w:rsid w:val="00CF42E3"/>
    <w:rsid w:val="00CF6B61"/>
    <w:rsid w:val="00CF7699"/>
    <w:rsid w:val="00D014C3"/>
    <w:rsid w:val="00D0293B"/>
    <w:rsid w:val="00D04EAD"/>
    <w:rsid w:val="00D073AC"/>
    <w:rsid w:val="00D100C2"/>
    <w:rsid w:val="00D12ACB"/>
    <w:rsid w:val="00D12C01"/>
    <w:rsid w:val="00D1376F"/>
    <w:rsid w:val="00D156C6"/>
    <w:rsid w:val="00D159B5"/>
    <w:rsid w:val="00D15B05"/>
    <w:rsid w:val="00D15EEE"/>
    <w:rsid w:val="00D17BEB"/>
    <w:rsid w:val="00D201E0"/>
    <w:rsid w:val="00D219B6"/>
    <w:rsid w:val="00D219EB"/>
    <w:rsid w:val="00D21CA1"/>
    <w:rsid w:val="00D2334F"/>
    <w:rsid w:val="00D23ADE"/>
    <w:rsid w:val="00D26358"/>
    <w:rsid w:val="00D2669B"/>
    <w:rsid w:val="00D26F74"/>
    <w:rsid w:val="00D27785"/>
    <w:rsid w:val="00D277FA"/>
    <w:rsid w:val="00D27953"/>
    <w:rsid w:val="00D30BF6"/>
    <w:rsid w:val="00D31EB4"/>
    <w:rsid w:val="00D338B2"/>
    <w:rsid w:val="00D33EE0"/>
    <w:rsid w:val="00D34957"/>
    <w:rsid w:val="00D34C60"/>
    <w:rsid w:val="00D35D06"/>
    <w:rsid w:val="00D36162"/>
    <w:rsid w:val="00D36816"/>
    <w:rsid w:val="00D37682"/>
    <w:rsid w:val="00D4049E"/>
    <w:rsid w:val="00D4058A"/>
    <w:rsid w:val="00D40A35"/>
    <w:rsid w:val="00D40D32"/>
    <w:rsid w:val="00D40E7D"/>
    <w:rsid w:val="00D43991"/>
    <w:rsid w:val="00D43B0B"/>
    <w:rsid w:val="00D44767"/>
    <w:rsid w:val="00D4525D"/>
    <w:rsid w:val="00D45EC4"/>
    <w:rsid w:val="00D469B3"/>
    <w:rsid w:val="00D47720"/>
    <w:rsid w:val="00D50846"/>
    <w:rsid w:val="00D50C9B"/>
    <w:rsid w:val="00D51EC6"/>
    <w:rsid w:val="00D522F5"/>
    <w:rsid w:val="00D53E64"/>
    <w:rsid w:val="00D56027"/>
    <w:rsid w:val="00D57054"/>
    <w:rsid w:val="00D570B1"/>
    <w:rsid w:val="00D5712C"/>
    <w:rsid w:val="00D5744A"/>
    <w:rsid w:val="00D602DF"/>
    <w:rsid w:val="00D604F3"/>
    <w:rsid w:val="00D609AA"/>
    <w:rsid w:val="00D61C78"/>
    <w:rsid w:val="00D6214F"/>
    <w:rsid w:val="00D625F4"/>
    <w:rsid w:val="00D62F12"/>
    <w:rsid w:val="00D654BA"/>
    <w:rsid w:val="00D66992"/>
    <w:rsid w:val="00D66C53"/>
    <w:rsid w:val="00D675F7"/>
    <w:rsid w:val="00D70855"/>
    <w:rsid w:val="00D70FA8"/>
    <w:rsid w:val="00D727AE"/>
    <w:rsid w:val="00D73F4C"/>
    <w:rsid w:val="00D74305"/>
    <w:rsid w:val="00D750EC"/>
    <w:rsid w:val="00D75867"/>
    <w:rsid w:val="00D76199"/>
    <w:rsid w:val="00D80822"/>
    <w:rsid w:val="00D80FE8"/>
    <w:rsid w:val="00D828E6"/>
    <w:rsid w:val="00D82AF7"/>
    <w:rsid w:val="00D85437"/>
    <w:rsid w:val="00D8576E"/>
    <w:rsid w:val="00D861C3"/>
    <w:rsid w:val="00D877BA"/>
    <w:rsid w:val="00D87C1A"/>
    <w:rsid w:val="00D90C13"/>
    <w:rsid w:val="00D90CE2"/>
    <w:rsid w:val="00D90FEB"/>
    <w:rsid w:val="00D91168"/>
    <w:rsid w:val="00D91711"/>
    <w:rsid w:val="00D91C39"/>
    <w:rsid w:val="00D92A16"/>
    <w:rsid w:val="00D93EBB"/>
    <w:rsid w:val="00D95BD6"/>
    <w:rsid w:val="00D969F3"/>
    <w:rsid w:val="00D97356"/>
    <w:rsid w:val="00D9740D"/>
    <w:rsid w:val="00D977EE"/>
    <w:rsid w:val="00DA1FAD"/>
    <w:rsid w:val="00DA4874"/>
    <w:rsid w:val="00DA48C5"/>
    <w:rsid w:val="00DA4E96"/>
    <w:rsid w:val="00DA4ED2"/>
    <w:rsid w:val="00DA501F"/>
    <w:rsid w:val="00DA539B"/>
    <w:rsid w:val="00DA64BF"/>
    <w:rsid w:val="00DA6821"/>
    <w:rsid w:val="00DA6CA7"/>
    <w:rsid w:val="00DA7680"/>
    <w:rsid w:val="00DB0178"/>
    <w:rsid w:val="00DB02CF"/>
    <w:rsid w:val="00DB04EE"/>
    <w:rsid w:val="00DB2A7C"/>
    <w:rsid w:val="00DB4267"/>
    <w:rsid w:val="00DB4BE9"/>
    <w:rsid w:val="00DB5C84"/>
    <w:rsid w:val="00DB74E2"/>
    <w:rsid w:val="00DB782A"/>
    <w:rsid w:val="00DB7AA2"/>
    <w:rsid w:val="00DB7B02"/>
    <w:rsid w:val="00DC019C"/>
    <w:rsid w:val="00DC2095"/>
    <w:rsid w:val="00DC2610"/>
    <w:rsid w:val="00DC2A7E"/>
    <w:rsid w:val="00DC5776"/>
    <w:rsid w:val="00DC5E75"/>
    <w:rsid w:val="00DC60EF"/>
    <w:rsid w:val="00DC7BA9"/>
    <w:rsid w:val="00DC7CE2"/>
    <w:rsid w:val="00DD0809"/>
    <w:rsid w:val="00DD1D5C"/>
    <w:rsid w:val="00DD2B03"/>
    <w:rsid w:val="00DD2EE9"/>
    <w:rsid w:val="00DD3D31"/>
    <w:rsid w:val="00DD3E3C"/>
    <w:rsid w:val="00DD3E83"/>
    <w:rsid w:val="00DD407E"/>
    <w:rsid w:val="00DD6818"/>
    <w:rsid w:val="00DD7D79"/>
    <w:rsid w:val="00DE0139"/>
    <w:rsid w:val="00DE02DF"/>
    <w:rsid w:val="00DE09A5"/>
    <w:rsid w:val="00DE0D6A"/>
    <w:rsid w:val="00DE121E"/>
    <w:rsid w:val="00DE182D"/>
    <w:rsid w:val="00DE2C4C"/>
    <w:rsid w:val="00DE35E3"/>
    <w:rsid w:val="00DE3DAA"/>
    <w:rsid w:val="00DE3F2A"/>
    <w:rsid w:val="00DE4B0A"/>
    <w:rsid w:val="00DE4E73"/>
    <w:rsid w:val="00DE55BC"/>
    <w:rsid w:val="00DE659E"/>
    <w:rsid w:val="00DE6887"/>
    <w:rsid w:val="00DE7689"/>
    <w:rsid w:val="00DE7F2B"/>
    <w:rsid w:val="00DF05E8"/>
    <w:rsid w:val="00DF2AEE"/>
    <w:rsid w:val="00DF2EB1"/>
    <w:rsid w:val="00DF3B2A"/>
    <w:rsid w:val="00DF4AB1"/>
    <w:rsid w:val="00DF588B"/>
    <w:rsid w:val="00DF5FFA"/>
    <w:rsid w:val="00E00DA0"/>
    <w:rsid w:val="00E0103E"/>
    <w:rsid w:val="00E015B8"/>
    <w:rsid w:val="00E01762"/>
    <w:rsid w:val="00E031E6"/>
    <w:rsid w:val="00E03EBB"/>
    <w:rsid w:val="00E04152"/>
    <w:rsid w:val="00E0498C"/>
    <w:rsid w:val="00E0609F"/>
    <w:rsid w:val="00E068D9"/>
    <w:rsid w:val="00E07ED8"/>
    <w:rsid w:val="00E1200C"/>
    <w:rsid w:val="00E12A30"/>
    <w:rsid w:val="00E15371"/>
    <w:rsid w:val="00E155D3"/>
    <w:rsid w:val="00E1641D"/>
    <w:rsid w:val="00E20F75"/>
    <w:rsid w:val="00E214A6"/>
    <w:rsid w:val="00E215AC"/>
    <w:rsid w:val="00E22502"/>
    <w:rsid w:val="00E23494"/>
    <w:rsid w:val="00E23554"/>
    <w:rsid w:val="00E23C6A"/>
    <w:rsid w:val="00E24917"/>
    <w:rsid w:val="00E24BC6"/>
    <w:rsid w:val="00E25174"/>
    <w:rsid w:val="00E25DB3"/>
    <w:rsid w:val="00E265F3"/>
    <w:rsid w:val="00E27DE2"/>
    <w:rsid w:val="00E322D9"/>
    <w:rsid w:val="00E32E5E"/>
    <w:rsid w:val="00E34578"/>
    <w:rsid w:val="00E35C8D"/>
    <w:rsid w:val="00E36A56"/>
    <w:rsid w:val="00E37096"/>
    <w:rsid w:val="00E375CA"/>
    <w:rsid w:val="00E3764F"/>
    <w:rsid w:val="00E37794"/>
    <w:rsid w:val="00E37A0E"/>
    <w:rsid w:val="00E40F60"/>
    <w:rsid w:val="00E427FD"/>
    <w:rsid w:val="00E43300"/>
    <w:rsid w:val="00E473D5"/>
    <w:rsid w:val="00E5137E"/>
    <w:rsid w:val="00E52CB8"/>
    <w:rsid w:val="00E53004"/>
    <w:rsid w:val="00E5594B"/>
    <w:rsid w:val="00E563B3"/>
    <w:rsid w:val="00E56DF3"/>
    <w:rsid w:val="00E61B22"/>
    <w:rsid w:val="00E63920"/>
    <w:rsid w:val="00E63C37"/>
    <w:rsid w:val="00E64038"/>
    <w:rsid w:val="00E647B2"/>
    <w:rsid w:val="00E6504B"/>
    <w:rsid w:val="00E6574B"/>
    <w:rsid w:val="00E659CA"/>
    <w:rsid w:val="00E661C8"/>
    <w:rsid w:val="00E6674D"/>
    <w:rsid w:val="00E67767"/>
    <w:rsid w:val="00E704DE"/>
    <w:rsid w:val="00E729CF"/>
    <w:rsid w:val="00E73A9E"/>
    <w:rsid w:val="00E74B43"/>
    <w:rsid w:val="00E75CAF"/>
    <w:rsid w:val="00E75EFA"/>
    <w:rsid w:val="00E75F98"/>
    <w:rsid w:val="00E76493"/>
    <w:rsid w:val="00E81249"/>
    <w:rsid w:val="00E81965"/>
    <w:rsid w:val="00E81F38"/>
    <w:rsid w:val="00E83BE9"/>
    <w:rsid w:val="00E83EAF"/>
    <w:rsid w:val="00E841B1"/>
    <w:rsid w:val="00E84618"/>
    <w:rsid w:val="00E84640"/>
    <w:rsid w:val="00E85FBD"/>
    <w:rsid w:val="00E860B3"/>
    <w:rsid w:val="00E86975"/>
    <w:rsid w:val="00E8764C"/>
    <w:rsid w:val="00E9149D"/>
    <w:rsid w:val="00E91673"/>
    <w:rsid w:val="00E930BB"/>
    <w:rsid w:val="00E9317E"/>
    <w:rsid w:val="00E9465B"/>
    <w:rsid w:val="00E946FF"/>
    <w:rsid w:val="00E95F73"/>
    <w:rsid w:val="00E977F2"/>
    <w:rsid w:val="00EA2049"/>
    <w:rsid w:val="00EA38EA"/>
    <w:rsid w:val="00EA4864"/>
    <w:rsid w:val="00EA6F67"/>
    <w:rsid w:val="00EA738C"/>
    <w:rsid w:val="00EB14B5"/>
    <w:rsid w:val="00EB1558"/>
    <w:rsid w:val="00EB3A33"/>
    <w:rsid w:val="00EB3D6D"/>
    <w:rsid w:val="00EB3F9B"/>
    <w:rsid w:val="00EB48A9"/>
    <w:rsid w:val="00EB494E"/>
    <w:rsid w:val="00EB5315"/>
    <w:rsid w:val="00EB5ADC"/>
    <w:rsid w:val="00EB6213"/>
    <w:rsid w:val="00EB731A"/>
    <w:rsid w:val="00EB7F09"/>
    <w:rsid w:val="00EC2C22"/>
    <w:rsid w:val="00EC316C"/>
    <w:rsid w:val="00EC31AC"/>
    <w:rsid w:val="00EC31FE"/>
    <w:rsid w:val="00EC4AAF"/>
    <w:rsid w:val="00EC5591"/>
    <w:rsid w:val="00EC5CB9"/>
    <w:rsid w:val="00EC68AC"/>
    <w:rsid w:val="00EC7047"/>
    <w:rsid w:val="00EC7CA3"/>
    <w:rsid w:val="00EC7E2B"/>
    <w:rsid w:val="00ED00FB"/>
    <w:rsid w:val="00ED1636"/>
    <w:rsid w:val="00ED2259"/>
    <w:rsid w:val="00ED4287"/>
    <w:rsid w:val="00ED5805"/>
    <w:rsid w:val="00ED6AF0"/>
    <w:rsid w:val="00ED6DDB"/>
    <w:rsid w:val="00ED7406"/>
    <w:rsid w:val="00ED7643"/>
    <w:rsid w:val="00ED7B6E"/>
    <w:rsid w:val="00EE04CD"/>
    <w:rsid w:val="00EE1F42"/>
    <w:rsid w:val="00EE2D6C"/>
    <w:rsid w:val="00EE32DA"/>
    <w:rsid w:val="00EE5B33"/>
    <w:rsid w:val="00EE668D"/>
    <w:rsid w:val="00EE711C"/>
    <w:rsid w:val="00EF0132"/>
    <w:rsid w:val="00EF170B"/>
    <w:rsid w:val="00EF2EAD"/>
    <w:rsid w:val="00EF2EE5"/>
    <w:rsid w:val="00EF444B"/>
    <w:rsid w:val="00EF61AF"/>
    <w:rsid w:val="00EF7BE2"/>
    <w:rsid w:val="00F00BC0"/>
    <w:rsid w:val="00F01C92"/>
    <w:rsid w:val="00F03F27"/>
    <w:rsid w:val="00F04019"/>
    <w:rsid w:val="00F055DB"/>
    <w:rsid w:val="00F06B4A"/>
    <w:rsid w:val="00F06E1B"/>
    <w:rsid w:val="00F078AB"/>
    <w:rsid w:val="00F1046F"/>
    <w:rsid w:val="00F114B7"/>
    <w:rsid w:val="00F131C9"/>
    <w:rsid w:val="00F13313"/>
    <w:rsid w:val="00F1484D"/>
    <w:rsid w:val="00F150B5"/>
    <w:rsid w:val="00F154C2"/>
    <w:rsid w:val="00F154EF"/>
    <w:rsid w:val="00F15F48"/>
    <w:rsid w:val="00F16F84"/>
    <w:rsid w:val="00F211DE"/>
    <w:rsid w:val="00F216C3"/>
    <w:rsid w:val="00F21E61"/>
    <w:rsid w:val="00F23779"/>
    <w:rsid w:val="00F2648C"/>
    <w:rsid w:val="00F274D5"/>
    <w:rsid w:val="00F30DD2"/>
    <w:rsid w:val="00F31086"/>
    <w:rsid w:val="00F3238A"/>
    <w:rsid w:val="00F32AA3"/>
    <w:rsid w:val="00F32F8D"/>
    <w:rsid w:val="00F33956"/>
    <w:rsid w:val="00F33F5F"/>
    <w:rsid w:val="00F3440F"/>
    <w:rsid w:val="00F34644"/>
    <w:rsid w:val="00F35484"/>
    <w:rsid w:val="00F3562C"/>
    <w:rsid w:val="00F35F80"/>
    <w:rsid w:val="00F370A4"/>
    <w:rsid w:val="00F37565"/>
    <w:rsid w:val="00F37A85"/>
    <w:rsid w:val="00F423C2"/>
    <w:rsid w:val="00F4259C"/>
    <w:rsid w:val="00F43ED6"/>
    <w:rsid w:val="00F44461"/>
    <w:rsid w:val="00F46AD2"/>
    <w:rsid w:val="00F5009F"/>
    <w:rsid w:val="00F51D15"/>
    <w:rsid w:val="00F520FD"/>
    <w:rsid w:val="00F532FF"/>
    <w:rsid w:val="00F537B3"/>
    <w:rsid w:val="00F555FF"/>
    <w:rsid w:val="00F563C2"/>
    <w:rsid w:val="00F5736A"/>
    <w:rsid w:val="00F60413"/>
    <w:rsid w:val="00F60480"/>
    <w:rsid w:val="00F60BF6"/>
    <w:rsid w:val="00F612D2"/>
    <w:rsid w:val="00F61CF5"/>
    <w:rsid w:val="00F61E23"/>
    <w:rsid w:val="00F62289"/>
    <w:rsid w:val="00F62913"/>
    <w:rsid w:val="00F63043"/>
    <w:rsid w:val="00F635A8"/>
    <w:rsid w:val="00F653F5"/>
    <w:rsid w:val="00F65509"/>
    <w:rsid w:val="00F66A4A"/>
    <w:rsid w:val="00F7069E"/>
    <w:rsid w:val="00F75686"/>
    <w:rsid w:val="00F758E8"/>
    <w:rsid w:val="00F75CD8"/>
    <w:rsid w:val="00F7701D"/>
    <w:rsid w:val="00F7707E"/>
    <w:rsid w:val="00F77245"/>
    <w:rsid w:val="00F77736"/>
    <w:rsid w:val="00F77D69"/>
    <w:rsid w:val="00F8148E"/>
    <w:rsid w:val="00F82826"/>
    <w:rsid w:val="00F830A6"/>
    <w:rsid w:val="00F830CC"/>
    <w:rsid w:val="00F831B0"/>
    <w:rsid w:val="00F83DC3"/>
    <w:rsid w:val="00F848F1"/>
    <w:rsid w:val="00F84E1F"/>
    <w:rsid w:val="00F85864"/>
    <w:rsid w:val="00F8678F"/>
    <w:rsid w:val="00F86FC1"/>
    <w:rsid w:val="00F87CFC"/>
    <w:rsid w:val="00F919A5"/>
    <w:rsid w:val="00F94001"/>
    <w:rsid w:val="00F97AA9"/>
    <w:rsid w:val="00F97B1F"/>
    <w:rsid w:val="00F97EE2"/>
    <w:rsid w:val="00FA0078"/>
    <w:rsid w:val="00FA24C1"/>
    <w:rsid w:val="00FA2BF0"/>
    <w:rsid w:val="00FA2CD3"/>
    <w:rsid w:val="00FA5085"/>
    <w:rsid w:val="00FA7232"/>
    <w:rsid w:val="00FA7ACA"/>
    <w:rsid w:val="00FB069E"/>
    <w:rsid w:val="00FB25AC"/>
    <w:rsid w:val="00FB3D9A"/>
    <w:rsid w:val="00FB3DDD"/>
    <w:rsid w:val="00FB41C8"/>
    <w:rsid w:val="00FB4993"/>
    <w:rsid w:val="00FB5927"/>
    <w:rsid w:val="00FB5D89"/>
    <w:rsid w:val="00FB6320"/>
    <w:rsid w:val="00FB7915"/>
    <w:rsid w:val="00FC04B6"/>
    <w:rsid w:val="00FC05A1"/>
    <w:rsid w:val="00FC11EA"/>
    <w:rsid w:val="00FC12EB"/>
    <w:rsid w:val="00FC1756"/>
    <w:rsid w:val="00FC731B"/>
    <w:rsid w:val="00FC763F"/>
    <w:rsid w:val="00FD0E86"/>
    <w:rsid w:val="00FD1304"/>
    <w:rsid w:val="00FD3811"/>
    <w:rsid w:val="00FD4595"/>
    <w:rsid w:val="00FD4A38"/>
    <w:rsid w:val="00FD4D72"/>
    <w:rsid w:val="00FD5F95"/>
    <w:rsid w:val="00FD6219"/>
    <w:rsid w:val="00FE22D2"/>
    <w:rsid w:val="00FE2616"/>
    <w:rsid w:val="00FE344D"/>
    <w:rsid w:val="00FE4754"/>
    <w:rsid w:val="00FE4F16"/>
    <w:rsid w:val="00FE5388"/>
    <w:rsid w:val="00FE65AD"/>
    <w:rsid w:val="00FE71D0"/>
    <w:rsid w:val="00FE7921"/>
    <w:rsid w:val="00FF03D7"/>
    <w:rsid w:val="00FF07B5"/>
    <w:rsid w:val="00FF09A5"/>
    <w:rsid w:val="00FF0A82"/>
    <w:rsid w:val="00FF117E"/>
    <w:rsid w:val="00FF2BA2"/>
    <w:rsid w:val="00FF2CAE"/>
    <w:rsid w:val="00FF5CEF"/>
    <w:rsid w:val="00FF663F"/>
    <w:rsid w:val="00FF70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7"/>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1,Char Char5,C"/>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CharChar1Char">
    <w:name w:val="Char Char1 Char"/>
    <w:basedOn w:val="Normal"/>
    <w:rsid w:val="00FD3811"/>
    <w:pPr>
      <w:tabs>
        <w:tab w:val="left" w:pos="709"/>
      </w:tabs>
    </w:pPr>
    <w:rPr>
      <w:rFonts w:ascii="Tahoma" w:hAnsi="Tahoma"/>
      <w:lang w:val="pl-PL" w:eastAsia="pl-PL"/>
    </w:rPr>
  </w:style>
  <w:style w:type="paragraph" w:customStyle="1" w:styleId="CharChar1Char4">
    <w:name w:val="Char Char1 Char4"/>
    <w:basedOn w:val="Normal"/>
    <w:rsid w:val="00074E68"/>
    <w:pPr>
      <w:tabs>
        <w:tab w:val="left" w:pos="709"/>
      </w:tabs>
    </w:pPr>
    <w:rPr>
      <w:rFonts w:ascii="Tahoma" w:hAnsi="Tahoma"/>
      <w:lang w:val="pl-PL" w:eastAsia="pl-PL"/>
    </w:rPr>
  </w:style>
  <w:style w:type="paragraph" w:customStyle="1" w:styleId="CharChar1Char3">
    <w:name w:val="Char Char1 Char3"/>
    <w:basedOn w:val="Normal"/>
    <w:rsid w:val="00956C76"/>
    <w:pPr>
      <w:tabs>
        <w:tab w:val="left" w:pos="709"/>
      </w:tabs>
    </w:pPr>
    <w:rPr>
      <w:rFonts w:ascii="Tahoma" w:hAnsi="Tahoma"/>
      <w:lang w:val="pl-PL" w:eastAsia="pl-PL"/>
    </w:rPr>
  </w:style>
  <w:style w:type="paragraph" w:styleId="NoSpacing">
    <w:name w:val="No Spacing"/>
    <w:uiPriority w:val="1"/>
    <w:qFormat/>
    <w:rsid w:val="000433AE"/>
    <w:pPr>
      <w:spacing w:after="0" w:line="240" w:lineRule="auto"/>
    </w:pPr>
    <w:rPr>
      <w:rFonts w:eastAsia="Times New Roman"/>
      <w:lang w:val="bg-BG" w:eastAsia="bg-BG"/>
    </w:rPr>
  </w:style>
  <w:style w:type="paragraph" w:customStyle="1" w:styleId="CharChar1Char2">
    <w:name w:val="Char Char1 Char2"/>
    <w:basedOn w:val="Normal"/>
    <w:rsid w:val="00621DA4"/>
    <w:pPr>
      <w:tabs>
        <w:tab w:val="left" w:pos="709"/>
      </w:tabs>
    </w:pPr>
    <w:rPr>
      <w:rFonts w:ascii="Tahoma" w:hAnsi="Tahoma"/>
      <w:lang w:val="pl-PL" w:eastAsia="pl-PL"/>
    </w:rPr>
  </w:style>
  <w:style w:type="paragraph" w:customStyle="1" w:styleId="CharChar1Char1">
    <w:name w:val="Char Char1 Char1"/>
    <w:basedOn w:val="Normal"/>
    <w:rsid w:val="009D4780"/>
    <w:pPr>
      <w:tabs>
        <w:tab w:val="left" w:pos="709"/>
      </w:tabs>
    </w:pPr>
    <w:rPr>
      <w:rFonts w:ascii="Tahoma" w:hAnsi="Tahoma"/>
      <w:lang w:val="pl-PL" w:eastAsia="pl-PL"/>
    </w:rPr>
  </w:style>
  <w:style w:type="paragraph" w:styleId="EndnoteText">
    <w:name w:val="endnote text"/>
    <w:basedOn w:val="Normal"/>
    <w:link w:val="EndnoteTextChar"/>
    <w:uiPriority w:val="99"/>
    <w:semiHidden/>
    <w:unhideWhenUsed/>
    <w:rsid w:val="00F7069E"/>
    <w:rPr>
      <w:sz w:val="20"/>
      <w:szCs w:val="20"/>
    </w:rPr>
  </w:style>
  <w:style w:type="character" w:customStyle="1" w:styleId="EndnoteTextChar">
    <w:name w:val="Endnote Text Char"/>
    <w:basedOn w:val="DefaultParagraphFont"/>
    <w:link w:val="EndnoteText"/>
    <w:uiPriority w:val="99"/>
    <w:semiHidden/>
    <w:rsid w:val="00F7069E"/>
    <w:rPr>
      <w:rFonts w:eastAsia="Times New Roman"/>
      <w:sz w:val="20"/>
      <w:szCs w:val="20"/>
      <w:lang w:val="bg-BG" w:eastAsia="bg-BG"/>
    </w:rPr>
  </w:style>
  <w:style w:type="character" w:styleId="EndnoteReference">
    <w:name w:val="endnote reference"/>
    <w:basedOn w:val="DefaultParagraphFont"/>
    <w:uiPriority w:val="99"/>
    <w:semiHidden/>
    <w:unhideWhenUsed/>
    <w:rsid w:val="00F7069E"/>
    <w:rPr>
      <w:vertAlign w:val="superscript"/>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uiPriority w:val="99"/>
    <w:rsid w:val="000E777E"/>
    <w:rPr>
      <w:rFonts w:eastAsia="Times New Roman"/>
      <w:sz w:val="20"/>
      <w:szCs w:val="20"/>
      <w:lang w:val="bg-BG" w:eastAsia="bg-BG"/>
    </w:rPr>
  </w:style>
  <w:style w:type="character" w:customStyle="1" w:styleId="apple-converted-space">
    <w:name w:val="apple-converted-space"/>
    <w:basedOn w:val="DefaultParagraphFont"/>
    <w:rsid w:val="0028640E"/>
  </w:style>
  <w:style w:type="character" w:customStyle="1" w:styleId="samedocreference">
    <w:name w:val="samedocreference"/>
    <w:basedOn w:val="DefaultParagraphFont"/>
    <w:rsid w:val="0028640E"/>
  </w:style>
  <w:style w:type="character" w:styleId="HTMLCite">
    <w:name w:val="HTML Cite"/>
    <w:basedOn w:val="DefaultParagraphFont"/>
    <w:uiPriority w:val="99"/>
    <w:semiHidden/>
    <w:unhideWhenUsed/>
    <w:rsid w:val="0018781F"/>
    <w:rPr>
      <w:i/>
      <w:iCs/>
    </w:rPr>
  </w:style>
  <w:style w:type="character" w:styleId="Hyperlink">
    <w:name w:val="Hyperlink"/>
    <w:basedOn w:val="DefaultParagraphFont"/>
    <w:uiPriority w:val="99"/>
    <w:unhideWhenUsed/>
    <w:rsid w:val="0018781F"/>
    <w:rPr>
      <w:color w:val="0000FF" w:themeColor="hyperlink"/>
      <w:u w:val="single"/>
    </w:rPr>
  </w:style>
  <w:style w:type="character" w:styleId="CommentReference">
    <w:name w:val="annotation reference"/>
    <w:basedOn w:val="DefaultParagraphFont"/>
    <w:uiPriority w:val="99"/>
    <w:semiHidden/>
    <w:unhideWhenUsed/>
    <w:rsid w:val="00F1484D"/>
    <w:rPr>
      <w:sz w:val="16"/>
      <w:szCs w:val="16"/>
    </w:rPr>
  </w:style>
  <w:style w:type="paragraph" w:styleId="CommentText">
    <w:name w:val="annotation text"/>
    <w:basedOn w:val="Normal"/>
    <w:link w:val="CommentTextChar"/>
    <w:uiPriority w:val="99"/>
    <w:semiHidden/>
    <w:unhideWhenUsed/>
    <w:rsid w:val="00F1484D"/>
    <w:rPr>
      <w:sz w:val="20"/>
      <w:szCs w:val="20"/>
    </w:rPr>
  </w:style>
  <w:style w:type="character" w:customStyle="1" w:styleId="CommentTextChar">
    <w:name w:val="Comment Text Char"/>
    <w:basedOn w:val="DefaultParagraphFont"/>
    <w:link w:val="CommentText"/>
    <w:uiPriority w:val="99"/>
    <w:semiHidden/>
    <w:rsid w:val="00F1484D"/>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F1484D"/>
    <w:rPr>
      <w:b/>
      <w:bCs/>
    </w:rPr>
  </w:style>
  <w:style w:type="character" w:customStyle="1" w:styleId="CommentSubjectChar">
    <w:name w:val="Comment Subject Char"/>
    <w:basedOn w:val="CommentTextChar"/>
    <w:link w:val="CommentSubject"/>
    <w:uiPriority w:val="99"/>
    <w:semiHidden/>
    <w:rsid w:val="00F1484D"/>
    <w:rPr>
      <w:rFonts w:eastAsia="Times New Roman"/>
      <w:b/>
      <w:bCs/>
      <w:sz w:val="20"/>
      <w:szCs w:val="20"/>
      <w:lang w:val="bg-BG" w:eastAsia="bg-BG"/>
    </w:rPr>
  </w:style>
  <w:style w:type="table" w:styleId="TableGrid">
    <w:name w:val="Table Grid"/>
    <w:basedOn w:val="TableNormal"/>
    <w:uiPriority w:val="59"/>
    <w:rsid w:val="0033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7"/>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1,Char Char5,C"/>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CharChar1Char">
    <w:name w:val="Char Char1 Char"/>
    <w:basedOn w:val="Normal"/>
    <w:rsid w:val="00FD3811"/>
    <w:pPr>
      <w:tabs>
        <w:tab w:val="left" w:pos="709"/>
      </w:tabs>
    </w:pPr>
    <w:rPr>
      <w:rFonts w:ascii="Tahoma" w:hAnsi="Tahoma"/>
      <w:lang w:val="pl-PL" w:eastAsia="pl-PL"/>
    </w:rPr>
  </w:style>
  <w:style w:type="paragraph" w:customStyle="1" w:styleId="CharChar1Char4">
    <w:name w:val="Char Char1 Char4"/>
    <w:basedOn w:val="Normal"/>
    <w:rsid w:val="00074E68"/>
    <w:pPr>
      <w:tabs>
        <w:tab w:val="left" w:pos="709"/>
      </w:tabs>
    </w:pPr>
    <w:rPr>
      <w:rFonts w:ascii="Tahoma" w:hAnsi="Tahoma"/>
      <w:lang w:val="pl-PL" w:eastAsia="pl-PL"/>
    </w:rPr>
  </w:style>
  <w:style w:type="paragraph" w:customStyle="1" w:styleId="CharChar1Char3">
    <w:name w:val="Char Char1 Char3"/>
    <w:basedOn w:val="Normal"/>
    <w:rsid w:val="00956C76"/>
    <w:pPr>
      <w:tabs>
        <w:tab w:val="left" w:pos="709"/>
      </w:tabs>
    </w:pPr>
    <w:rPr>
      <w:rFonts w:ascii="Tahoma" w:hAnsi="Tahoma"/>
      <w:lang w:val="pl-PL" w:eastAsia="pl-PL"/>
    </w:rPr>
  </w:style>
  <w:style w:type="paragraph" w:styleId="NoSpacing">
    <w:name w:val="No Spacing"/>
    <w:uiPriority w:val="1"/>
    <w:qFormat/>
    <w:rsid w:val="000433AE"/>
    <w:pPr>
      <w:spacing w:after="0" w:line="240" w:lineRule="auto"/>
    </w:pPr>
    <w:rPr>
      <w:rFonts w:eastAsia="Times New Roman"/>
      <w:lang w:val="bg-BG" w:eastAsia="bg-BG"/>
    </w:rPr>
  </w:style>
  <w:style w:type="paragraph" w:customStyle="1" w:styleId="CharChar1Char2">
    <w:name w:val="Char Char1 Char2"/>
    <w:basedOn w:val="Normal"/>
    <w:rsid w:val="00621DA4"/>
    <w:pPr>
      <w:tabs>
        <w:tab w:val="left" w:pos="709"/>
      </w:tabs>
    </w:pPr>
    <w:rPr>
      <w:rFonts w:ascii="Tahoma" w:hAnsi="Tahoma"/>
      <w:lang w:val="pl-PL" w:eastAsia="pl-PL"/>
    </w:rPr>
  </w:style>
  <w:style w:type="paragraph" w:customStyle="1" w:styleId="CharChar1Char1">
    <w:name w:val="Char Char1 Char1"/>
    <w:basedOn w:val="Normal"/>
    <w:rsid w:val="009D4780"/>
    <w:pPr>
      <w:tabs>
        <w:tab w:val="left" w:pos="709"/>
      </w:tabs>
    </w:pPr>
    <w:rPr>
      <w:rFonts w:ascii="Tahoma" w:hAnsi="Tahoma"/>
      <w:lang w:val="pl-PL" w:eastAsia="pl-PL"/>
    </w:rPr>
  </w:style>
  <w:style w:type="paragraph" w:styleId="EndnoteText">
    <w:name w:val="endnote text"/>
    <w:basedOn w:val="Normal"/>
    <w:link w:val="EndnoteTextChar"/>
    <w:uiPriority w:val="99"/>
    <w:semiHidden/>
    <w:unhideWhenUsed/>
    <w:rsid w:val="00F7069E"/>
    <w:rPr>
      <w:sz w:val="20"/>
      <w:szCs w:val="20"/>
    </w:rPr>
  </w:style>
  <w:style w:type="character" w:customStyle="1" w:styleId="EndnoteTextChar">
    <w:name w:val="Endnote Text Char"/>
    <w:basedOn w:val="DefaultParagraphFont"/>
    <w:link w:val="EndnoteText"/>
    <w:uiPriority w:val="99"/>
    <w:semiHidden/>
    <w:rsid w:val="00F7069E"/>
    <w:rPr>
      <w:rFonts w:eastAsia="Times New Roman"/>
      <w:sz w:val="20"/>
      <w:szCs w:val="20"/>
      <w:lang w:val="bg-BG" w:eastAsia="bg-BG"/>
    </w:rPr>
  </w:style>
  <w:style w:type="character" w:styleId="EndnoteReference">
    <w:name w:val="endnote reference"/>
    <w:basedOn w:val="DefaultParagraphFont"/>
    <w:uiPriority w:val="99"/>
    <w:semiHidden/>
    <w:unhideWhenUsed/>
    <w:rsid w:val="00F7069E"/>
    <w:rPr>
      <w:vertAlign w:val="superscript"/>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uiPriority w:val="99"/>
    <w:rsid w:val="000E777E"/>
    <w:rPr>
      <w:rFonts w:eastAsia="Times New Roman"/>
      <w:sz w:val="20"/>
      <w:szCs w:val="20"/>
      <w:lang w:val="bg-BG" w:eastAsia="bg-BG"/>
    </w:rPr>
  </w:style>
  <w:style w:type="character" w:customStyle="1" w:styleId="apple-converted-space">
    <w:name w:val="apple-converted-space"/>
    <w:basedOn w:val="DefaultParagraphFont"/>
    <w:rsid w:val="0028640E"/>
  </w:style>
  <w:style w:type="character" w:customStyle="1" w:styleId="samedocreference">
    <w:name w:val="samedocreference"/>
    <w:basedOn w:val="DefaultParagraphFont"/>
    <w:rsid w:val="0028640E"/>
  </w:style>
  <w:style w:type="character" w:styleId="HTMLCite">
    <w:name w:val="HTML Cite"/>
    <w:basedOn w:val="DefaultParagraphFont"/>
    <w:uiPriority w:val="99"/>
    <w:semiHidden/>
    <w:unhideWhenUsed/>
    <w:rsid w:val="0018781F"/>
    <w:rPr>
      <w:i/>
      <w:iCs/>
    </w:rPr>
  </w:style>
  <w:style w:type="character" w:styleId="Hyperlink">
    <w:name w:val="Hyperlink"/>
    <w:basedOn w:val="DefaultParagraphFont"/>
    <w:uiPriority w:val="99"/>
    <w:unhideWhenUsed/>
    <w:rsid w:val="0018781F"/>
    <w:rPr>
      <w:color w:val="0000FF" w:themeColor="hyperlink"/>
      <w:u w:val="single"/>
    </w:rPr>
  </w:style>
  <w:style w:type="character" w:styleId="CommentReference">
    <w:name w:val="annotation reference"/>
    <w:basedOn w:val="DefaultParagraphFont"/>
    <w:uiPriority w:val="99"/>
    <w:semiHidden/>
    <w:unhideWhenUsed/>
    <w:rsid w:val="00F1484D"/>
    <w:rPr>
      <w:sz w:val="16"/>
      <w:szCs w:val="16"/>
    </w:rPr>
  </w:style>
  <w:style w:type="paragraph" w:styleId="CommentText">
    <w:name w:val="annotation text"/>
    <w:basedOn w:val="Normal"/>
    <w:link w:val="CommentTextChar"/>
    <w:uiPriority w:val="99"/>
    <w:semiHidden/>
    <w:unhideWhenUsed/>
    <w:rsid w:val="00F1484D"/>
    <w:rPr>
      <w:sz w:val="20"/>
      <w:szCs w:val="20"/>
    </w:rPr>
  </w:style>
  <w:style w:type="character" w:customStyle="1" w:styleId="CommentTextChar">
    <w:name w:val="Comment Text Char"/>
    <w:basedOn w:val="DefaultParagraphFont"/>
    <w:link w:val="CommentText"/>
    <w:uiPriority w:val="99"/>
    <w:semiHidden/>
    <w:rsid w:val="00F1484D"/>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F1484D"/>
    <w:rPr>
      <w:b/>
      <w:bCs/>
    </w:rPr>
  </w:style>
  <w:style w:type="character" w:customStyle="1" w:styleId="CommentSubjectChar">
    <w:name w:val="Comment Subject Char"/>
    <w:basedOn w:val="CommentTextChar"/>
    <w:link w:val="CommentSubject"/>
    <w:uiPriority w:val="99"/>
    <w:semiHidden/>
    <w:rsid w:val="00F1484D"/>
    <w:rPr>
      <w:rFonts w:eastAsia="Times New Roman"/>
      <w:b/>
      <w:bCs/>
      <w:sz w:val="20"/>
      <w:szCs w:val="20"/>
      <w:lang w:val="bg-BG" w:eastAsia="bg-BG"/>
    </w:rPr>
  </w:style>
  <w:style w:type="table" w:styleId="TableGrid">
    <w:name w:val="Table Grid"/>
    <w:basedOn w:val="TableNormal"/>
    <w:uiPriority w:val="59"/>
    <w:rsid w:val="0033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6587">
      <w:bodyDiv w:val="1"/>
      <w:marLeft w:val="0"/>
      <w:marRight w:val="0"/>
      <w:marTop w:val="0"/>
      <w:marBottom w:val="0"/>
      <w:divBdr>
        <w:top w:val="none" w:sz="0" w:space="0" w:color="auto"/>
        <w:left w:val="none" w:sz="0" w:space="0" w:color="auto"/>
        <w:bottom w:val="none" w:sz="0" w:space="0" w:color="auto"/>
        <w:right w:val="none" w:sz="0" w:space="0" w:color="auto"/>
      </w:divBdr>
    </w:div>
    <w:div w:id="1032460006">
      <w:bodyDiv w:val="1"/>
      <w:marLeft w:val="0"/>
      <w:marRight w:val="0"/>
      <w:marTop w:val="0"/>
      <w:marBottom w:val="0"/>
      <w:divBdr>
        <w:top w:val="none" w:sz="0" w:space="0" w:color="auto"/>
        <w:left w:val="none" w:sz="0" w:space="0" w:color="auto"/>
        <w:bottom w:val="none" w:sz="0" w:space="0" w:color="auto"/>
        <w:right w:val="none" w:sz="0" w:space="0" w:color="auto"/>
      </w:divBdr>
    </w:div>
    <w:div w:id="1202551263">
      <w:bodyDiv w:val="1"/>
      <w:marLeft w:val="0"/>
      <w:marRight w:val="0"/>
      <w:marTop w:val="0"/>
      <w:marBottom w:val="0"/>
      <w:divBdr>
        <w:top w:val="none" w:sz="0" w:space="0" w:color="auto"/>
        <w:left w:val="none" w:sz="0" w:space="0" w:color="auto"/>
        <w:bottom w:val="none" w:sz="0" w:space="0" w:color="auto"/>
        <w:right w:val="none" w:sz="0" w:space="0" w:color="auto"/>
      </w:divBdr>
      <w:divsChild>
        <w:div w:id="1192379512">
          <w:marLeft w:val="45"/>
          <w:marRight w:val="45"/>
          <w:marTop w:val="0"/>
          <w:marBottom w:val="0"/>
          <w:divBdr>
            <w:top w:val="none" w:sz="0" w:space="0" w:color="auto"/>
            <w:left w:val="none" w:sz="0" w:space="0" w:color="auto"/>
            <w:bottom w:val="none" w:sz="0" w:space="0" w:color="auto"/>
            <w:right w:val="none" w:sz="0" w:space="0" w:color="auto"/>
          </w:divBdr>
          <w:divsChild>
            <w:div w:id="1813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387">
      <w:bodyDiv w:val="1"/>
      <w:marLeft w:val="0"/>
      <w:marRight w:val="0"/>
      <w:marTop w:val="0"/>
      <w:marBottom w:val="0"/>
      <w:divBdr>
        <w:top w:val="none" w:sz="0" w:space="0" w:color="auto"/>
        <w:left w:val="none" w:sz="0" w:space="0" w:color="auto"/>
        <w:bottom w:val="none" w:sz="0" w:space="0" w:color="auto"/>
        <w:right w:val="none" w:sz="0" w:space="0" w:color="auto"/>
      </w:divBdr>
    </w:div>
    <w:div w:id="1924677104">
      <w:bodyDiv w:val="1"/>
      <w:marLeft w:val="0"/>
      <w:marRight w:val="0"/>
      <w:marTop w:val="0"/>
      <w:marBottom w:val="0"/>
      <w:divBdr>
        <w:top w:val="none" w:sz="0" w:space="0" w:color="auto"/>
        <w:left w:val="none" w:sz="0" w:space="0" w:color="auto"/>
        <w:bottom w:val="none" w:sz="0" w:space="0" w:color="auto"/>
        <w:right w:val="none" w:sz="0" w:space="0" w:color="auto"/>
      </w:divBdr>
      <w:divsChild>
        <w:div w:id="1674870255">
          <w:marLeft w:val="0"/>
          <w:marRight w:val="0"/>
          <w:marTop w:val="0"/>
          <w:marBottom w:val="0"/>
          <w:divBdr>
            <w:top w:val="none" w:sz="0" w:space="0" w:color="auto"/>
            <w:left w:val="none" w:sz="0" w:space="0" w:color="auto"/>
            <w:bottom w:val="none" w:sz="0" w:space="0" w:color="auto"/>
            <w:right w:val="none" w:sz="0" w:space="0" w:color="auto"/>
          </w:divBdr>
          <w:divsChild>
            <w:div w:id="144510947">
              <w:marLeft w:val="0"/>
              <w:marRight w:val="0"/>
              <w:marTop w:val="0"/>
              <w:marBottom w:val="0"/>
              <w:divBdr>
                <w:top w:val="none" w:sz="0" w:space="0" w:color="auto"/>
                <w:left w:val="none" w:sz="0" w:space="0" w:color="auto"/>
                <w:bottom w:val="none" w:sz="0" w:space="0" w:color="auto"/>
                <w:right w:val="none" w:sz="0" w:space="0" w:color="auto"/>
              </w:divBdr>
            </w:div>
            <w:div w:id="291441590">
              <w:marLeft w:val="0"/>
              <w:marRight w:val="0"/>
              <w:marTop w:val="0"/>
              <w:marBottom w:val="0"/>
              <w:divBdr>
                <w:top w:val="none" w:sz="0" w:space="0" w:color="auto"/>
                <w:left w:val="none" w:sz="0" w:space="0" w:color="auto"/>
                <w:bottom w:val="none" w:sz="0" w:space="0" w:color="auto"/>
                <w:right w:val="none" w:sz="0" w:space="0" w:color="auto"/>
              </w:divBdr>
            </w:div>
            <w:div w:id="670958631">
              <w:marLeft w:val="0"/>
              <w:marRight w:val="0"/>
              <w:marTop w:val="0"/>
              <w:marBottom w:val="0"/>
              <w:divBdr>
                <w:top w:val="none" w:sz="0" w:space="0" w:color="auto"/>
                <w:left w:val="none" w:sz="0" w:space="0" w:color="auto"/>
                <w:bottom w:val="none" w:sz="0" w:space="0" w:color="auto"/>
                <w:right w:val="none" w:sz="0" w:space="0" w:color="auto"/>
              </w:divBdr>
            </w:div>
            <w:div w:id="1457598667">
              <w:marLeft w:val="0"/>
              <w:marRight w:val="0"/>
              <w:marTop w:val="0"/>
              <w:marBottom w:val="0"/>
              <w:divBdr>
                <w:top w:val="none" w:sz="0" w:space="0" w:color="auto"/>
                <w:left w:val="none" w:sz="0" w:space="0" w:color="auto"/>
                <w:bottom w:val="none" w:sz="0" w:space="0" w:color="auto"/>
                <w:right w:val="none" w:sz="0" w:space="0" w:color="auto"/>
              </w:divBdr>
            </w:div>
            <w:div w:id="1790008086">
              <w:marLeft w:val="0"/>
              <w:marRight w:val="0"/>
              <w:marTop w:val="0"/>
              <w:marBottom w:val="0"/>
              <w:divBdr>
                <w:top w:val="none" w:sz="0" w:space="0" w:color="auto"/>
                <w:left w:val="none" w:sz="0" w:space="0" w:color="auto"/>
                <w:bottom w:val="none" w:sz="0" w:space="0" w:color="auto"/>
                <w:right w:val="none" w:sz="0" w:space="0" w:color="auto"/>
              </w:divBdr>
            </w:div>
            <w:div w:id="20508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763">
      <w:bodyDiv w:val="1"/>
      <w:marLeft w:val="0"/>
      <w:marRight w:val="0"/>
      <w:marTop w:val="0"/>
      <w:marBottom w:val="0"/>
      <w:divBdr>
        <w:top w:val="none" w:sz="0" w:space="0" w:color="auto"/>
        <w:left w:val="none" w:sz="0" w:space="0" w:color="auto"/>
        <w:bottom w:val="none" w:sz="0" w:space="0" w:color="auto"/>
        <w:right w:val="none" w:sz="0" w:space="0" w:color="auto"/>
      </w:divBdr>
      <w:divsChild>
        <w:div w:id="66155916">
          <w:marLeft w:val="0"/>
          <w:marRight w:val="0"/>
          <w:marTop w:val="0"/>
          <w:marBottom w:val="0"/>
          <w:divBdr>
            <w:top w:val="none" w:sz="0" w:space="0" w:color="auto"/>
            <w:left w:val="none" w:sz="0" w:space="0" w:color="auto"/>
            <w:bottom w:val="none" w:sz="0" w:space="0" w:color="auto"/>
            <w:right w:val="none" w:sz="0" w:space="0" w:color="auto"/>
          </w:divBdr>
        </w:div>
        <w:div w:id="572541899">
          <w:marLeft w:val="0"/>
          <w:marRight w:val="0"/>
          <w:marTop w:val="0"/>
          <w:marBottom w:val="0"/>
          <w:divBdr>
            <w:top w:val="none" w:sz="0" w:space="0" w:color="auto"/>
            <w:left w:val="none" w:sz="0" w:space="0" w:color="auto"/>
            <w:bottom w:val="none" w:sz="0" w:space="0" w:color="auto"/>
            <w:right w:val="none" w:sz="0" w:space="0" w:color="auto"/>
          </w:divBdr>
        </w:div>
        <w:div w:id="1110315138">
          <w:marLeft w:val="0"/>
          <w:marRight w:val="0"/>
          <w:marTop w:val="0"/>
          <w:marBottom w:val="0"/>
          <w:divBdr>
            <w:top w:val="none" w:sz="0" w:space="0" w:color="auto"/>
            <w:left w:val="none" w:sz="0" w:space="0" w:color="auto"/>
            <w:bottom w:val="none" w:sz="0" w:space="0" w:color="auto"/>
            <w:right w:val="none" w:sz="0" w:space="0" w:color="auto"/>
          </w:divBdr>
        </w:div>
        <w:div w:id="1164324570">
          <w:marLeft w:val="0"/>
          <w:marRight w:val="0"/>
          <w:marTop w:val="0"/>
          <w:marBottom w:val="0"/>
          <w:divBdr>
            <w:top w:val="none" w:sz="0" w:space="0" w:color="auto"/>
            <w:left w:val="none" w:sz="0" w:space="0" w:color="auto"/>
            <w:bottom w:val="none" w:sz="0" w:space="0" w:color="auto"/>
            <w:right w:val="none" w:sz="0" w:space="0" w:color="auto"/>
          </w:divBdr>
        </w:div>
        <w:div w:id="1385250203">
          <w:marLeft w:val="0"/>
          <w:marRight w:val="0"/>
          <w:marTop w:val="0"/>
          <w:marBottom w:val="0"/>
          <w:divBdr>
            <w:top w:val="none" w:sz="0" w:space="0" w:color="auto"/>
            <w:left w:val="none" w:sz="0" w:space="0" w:color="auto"/>
            <w:bottom w:val="none" w:sz="0" w:space="0" w:color="auto"/>
            <w:right w:val="none" w:sz="0" w:space="0" w:color="auto"/>
          </w:divBdr>
        </w:div>
        <w:div w:id="213204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83CA-1C87-4BB2-8D80-202314D9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21281</Words>
  <Characters>121305</Characters>
  <Application>Microsoft Office Word</Application>
  <DocSecurity>0</DocSecurity>
  <Lines>1010</Lines>
  <Paragraphs>284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NAO</Company>
  <LinksUpToDate>false</LinksUpToDate>
  <CharactersWithSpaces>142302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2016-11-17T07:44:00Z</cp:lastPrinted>
  <dcterms:created xsi:type="dcterms:W3CDTF">2016-12-22T08:56:00Z</dcterms:created>
  <dcterms:modified xsi:type="dcterms:W3CDTF">2016-12-22T08:56:00Z</dcterms:modified>
</cp:coreProperties>
</file>