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0CE9B" w14:textId="77777777" w:rsidR="00FE77F4" w:rsidRPr="001A28D2" w:rsidRDefault="00FE77F4" w:rsidP="00FE77F4">
      <w:pPr>
        <w:tabs>
          <w:tab w:val="left" w:pos="720"/>
        </w:tabs>
        <w:spacing w:before="360"/>
        <w:jc w:val="center"/>
        <w:rPr>
          <w:b/>
        </w:rPr>
      </w:pPr>
      <w:r w:rsidRPr="001A28D2">
        <w:rPr>
          <w:noProof/>
        </w:rPr>
        <w:drawing>
          <wp:inline distT="0" distB="0" distL="0" distR="0" wp14:anchorId="77F4C94A" wp14:editId="04DB0CBB">
            <wp:extent cx="1802765" cy="1017905"/>
            <wp:effectExtent l="0" t="0" r="6985" b="0"/>
            <wp:docPr id="1" name="Picture 1"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2765" cy="1017905"/>
                    </a:xfrm>
                    <a:prstGeom prst="rect">
                      <a:avLst/>
                    </a:prstGeom>
                    <a:noFill/>
                    <a:ln>
                      <a:noFill/>
                    </a:ln>
                  </pic:spPr>
                </pic:pic>
              </a:graphicData>
            </a:graphic>
          </wp:inline>
        </w:drawing>
      </w:r>
    </w:p>
    <w:p w14:paraId="7CF2EF3D" w14:textId="3995A5CB" w:rsidR="00FE77F4" w:rsidRPr="001A28D2" w:rsidRDefault="00FE77F4" w:rsidP="00FE77F4">
      <w:pPr>
        <w:tabs>
          <w:tab w:val="left" w:pos="720"/>
        </w:tabs>
        <w:spacing w:before="1800" w:after="1800"/>
        <w:jc w:val="center"/>
        <w:rPr>
          <w:b/>
          <w:spacing w:val="60"/>
          <w:sz w:val="28"/>
          <w:szCs w:val="28"/>
        </w:rPr>
      </w:pPr>
      <w:r w:rsidRPr="001A28D2">
        <w:rPr>
          <w:b/>
          <w:spacing w:val="60"/>
          <w:sz w:val="28"/>
          <w:szCs w:val="28"/>
        </w:rPr>
        <w:t>ОДИТЕН ДОКЛАД</w:t>
      </w:r>
    </w:p>
    <w:p w14:paraId="0ED0FCB0" w14:textId="77777777" w:rsidR="00FE77F4" w:rsidRDefault="00FE77F4" w:rsidP="00FE77F4">
      <w:pPr>
        <w:tabs>
          <w:tab w:val="left" w:pos="720"/>
        </w:tabs>
        <w:jc w:val="center"/>
        <w:rPr>
          <w:b/>
          <w:lang w:val="en-US"/>
        </w:rPr>
      </w:pPr>
      <w:r w:rsidRPr="001A28D2">
        <w:rPr>
          <w:b/>
        </w:rPr>
        <w:t>№ 0600200517</w:t>
      </w:r>
    </w:p>
    <w:p w14:paraId="79D34A79" w14:textId="77777777" w:rsidR="00A63BE0" w:rsidRPr="00A63BE0" w:rsidRDefault="00A63BE0" w:rsidP="00FE77F4">
      <w:pPr>
        <w:tabs>
          <w:tab w:val="left" w:pos="720"/>
        </w:tabs>
        <w:jc w:val="center"/>
        <w:rPr>
          <w:b/>
          <w:lang w:val="en-US"/>
        </w:rPr>
      </w:pPr>
    </w:p>
    <w:p w14:paraId="33D7AACD" w14:textId="77777777" w:rsidR="00A63BE0" w:rsidRPr="00A63BE0" w:rsidRDefault="00FE77F4" w:rsidP="00FE77F4">
      <w:pPr>
        <w:jc w:val="center"/>
        <w:rPr>
          <w:b/>
          <w:lang w:val="en-US" w:eastAsia="en-US"/>
        </w:rPr>
      </w:pPr>
      <w:r w:rsidRPr="00A63BE0">
        <w:rPr>
          <w:b/>
        </w:rPr>
        <w:t xml:space="preserve">за извършен одит </w:t>
      </w:r>
      <w:r w:rsidRPr="00A63BE0">
        <w:rPr>
          <w:b/>
          <w:lang w:eastAsia="en-US"/>
        </w:rPr>
        <w:t>на отчета за изпълнението на държавния бюджет на</w:t>
      </w:r>
    </w:p>
    <w:p w14:paraId="027A936E" w14:textId="30F43AD4" w:rsidR="00FE77F4" w:rsidRPr="00A63BE0" w:rsidRDefault="00FE77F4" w:rsidP="00FE77F4">
      <w:pPr>
        <w:jc w:val="center"/>
        <w:rPr>
          <w:b/>
          <w:lang w:eastAsia="en-US"/>
        </w:rPr>
      </w:pPr>
      <w:r w:rsidRPr="00A63BE0">
        <w:rPr>
          <w:b/>
          <w:lang w:eastAsia="en-US"/>
        </w:rPr>
        <w:t>Република България за периода от 01.</w:t>
      </w:r>
      <w:proofErr w:type="spellStart"/>
      <w:r w:rsidRPr="00A63BE0">
        <w:rPr>
          <w:b/>
          <w:lang w:eastAsia="en-US"/>
        </w:rPr>
        <w:t>01</w:t>
      </w:r>
      <w:proofErr w:type="spellEnd"/>
      <w:r w:rsidRPr="00A63BE0">
        <w:rPr>
          <w:b/>
          <w:lang w:eastAsia="en-US"/>
        </w:rPr>
        <w:t>.2016 г. до 31.12.2016 г.</w:t>
      </w:r>
    </w:p>
    <w:p w14:paraId="33768BDF" w14:textId="77777777" w:rsidR="00FE77F4" w:rsidRPr="00A63BE0" w:rsidRDefault="00FE77F4" w:rsidP="00FE77F4">
      <w:pPr>
        <w:tabs>
          <w:tab w:val="left" w:pos="720"/>
        </w:tabs>
        <w:jc w:val="both"/>
        <w:rPr>
          <w:b/>
        </w:rPr>
      </w:pPr>
    </w:p>
    <w:p w14:paraId="65E0CA98" w14:textId="77777777" w:rsidR="00FE77F4" w:rsidRPr="001A28D2" w:rsidRDefault="00FE77F4" w:rsidP="00FE77F4">
      <w:pPr>
        <w:tabs>
          <w:tab w:val="left" w:pos="720"/>
        </w:tabs>
        <w:jc w:val="both"/>
      </w:pPr>
    </w:p>
    <w:p w14:paraId="7BC91F3A" w14:textId="77777777" w:rsidR="00FE77F4" w:rsidRPr="001A28D2" w:rsidRDefault="00FE77F4" w:rsidP="00FE77F4">
      <w:pPr>
        <w:tabs>
          <w:tab w:val="left" w:pos="720"/>
        </w:tabs>
        <w:jc w:val="both"/>
      </w:pPr>
    </w:p>
    <w:p w14:paraId="6DBFF77E" w14:textId="77777777" w:rsidR="00FE77F4" w:rsidRPr="001A28D2" w:rsidRDefault="00FE77F4" w:rsidP="00FE77F4">
      <w:pPr>
        <w:tabs>
          <w:tab w:val="left" w:pos="720"/>
        </w:tabs>
        <w:jc w:val="both"/>
      </w:pPr>
    </w:p>
    <w:p w14:paraId="78868DB0" w14:textId="77777777" w:rsidR="00FE77F4" w:rsidRPr="001A28D2" w:rsidRDefault="00FE77F4" w:rsidP="00FE77F4">
      <w:pPr>
        <w:tabs>
          <w:tab w:val="left" w:pos="720"/>
        </w:tabs>
        <w:jc w:val="both"/>
      </w:pPr>
    </w:p>
    <w:p w14:paraId="5CF68EF3" w14:textId="77777777" w:rsidR="00FE77F4" w:rsidRPr="001A28D2" w:rsidRDefault="00FE77F4" w:rsidP="00FE77F4">
      <w:pPr>
        <w:tabs>
          <w:tab w:val="left" w:pos="720"/>
        </w:tabs>
        <w:jc w:val="both"/>
      </w:pPr>
    </w:p>
    <w:p w14:paraId="79D6DD69" w14:textId="77777777" w:rsidR="00FE77F4" w:rsidRPr="001A28D2" w:rsidRDefault="00FE77F4" w:rsidP="00FE77F4">
      <w:pPr>
        <w:tabs>
          <w:tab w:val="left" w:pos="720"/>
        </w:tabs>
        <w:jc w:val="both"/>
      </w:pPr>
    </w:p>
    <w:p w14:paraId="42F8FCE1" w14:textId="77777777" w:rsidR="00FE77F4" w:rsidRPr="001A28D2" w:rsidRDefault="00FE77F4" w:rsidP="00FE77F4">
      <w:pPr>
        <w:tabs>
          <w:tab w:val="left" w:pos="720"/>
        </w:tabs>
        <w:jc w:val="both"/>
      </w:pPr>
    </w:p>
    <w:p w14:paraId="650A27C4" w14:textId="77777777" w:rsidR="00FE77F4" w:rsidRPr="001A28D2" w:rsidRDefault="00FE77F4" w:rsidP="00FE77F4">
      <w:pPr>
        <w:tabs>
          <w:tab w:val="left" w:pos="720"/>
        </w:tabs>
        <w:jc w:val="both"/>
      </w:pPr>
    </w:p>
    <w:p w14:paraId="51A476D9" w14:textId="77777777" w:rsidR="00FE77F4" w:rsidRPr="001A28D2" w:rsidRDefault="00FE77F4" w:rsidP="00FE77F4">
      <w:pPr>
        <w:tabs>
          <w:tab w:val="left" w:pos="720"/>
        </w:tabs>
        <w:jc w:val="both"/>
      </w:pPr>
    </w:p>
    <w:p w14:paraId="2D704B35" w14:textId="77777777" w:rsidR="00FE77F4" w:rsidRPr="001A28D2" w:rsidRDefault="00FE77F4" w:rsidP="00FE77F4">
      <w:pPr>
        <w:tabs>
          <w:tab w:val="left" w:pos="720"/>
        </w:tabs>
        <w:jc w:val="both"/>
      </w:pPr>
    </w:p>
    <w:p w14:paraId="48020B11" w14:textId="77777777" w:rsidR="00FE77F4" w:rsidRPr="001A28D2" w:rsidRDefault="00FE77F4" w:rsidP="00FE77F4">
      <w:pPr>
        <w:tabs>
          <w:tab w:val="left" w:pos="720"/>
        </w:tabs>
        <w:jc w:val="both"/>
      </w:pPr>
    </w:p>
    <w:p w14:paraId="116F6AB6" w14:textId="77777777" w:rsidR="00FE77F4" w:rsidRPr="001A28D2" w:rsidRDefault="00FE77F4" w:rsidP="00FE77F4">
      <w:pPr>
        <w:tabs>
          <w:tab w:val="left" w:pos="720"/>
        </w:tabs>
        <w:jc w:val="both"/>
      </w:pPr>
    </w:p>
    <w:p w14:paraId="7A5D924B" w14:textId="77777777" w:rsidR="00FE77F4" w:rsidRPr="001A28D2" w:rsidRDefault="00FE77F4" w:rsidP="00FE77F4">
      <w:pPr>
        <w:tabs>
          <w:tab w:val="left" w:pos="720"/>
        </w:tabs>
        <w:jc w:val="both"/>
      </w:pPr>
    </w:p>
    <w:p w14:paraId="72C240B4" w14:textId="77777777" w:rsidR="00FE77F4" w:rsidRPr="001A28D2" w:rsidRDefault="00FE77F4" w:rsidP="00FE77F4">
      <w:pPr>
        <w:tabs>
          <w:tab w:val="left" w:pos="720"/>
        </w:tabs>
        <w:jc w:val="both"/>
      </w:pPr>
    </w:p>
    <w:p w14:paraId="2139242A" w14:textId="77777777" w:rsidR="00FE77F4" w:rsidRPr="001A28D2" w:rsidRDefault="00FE77F4" w:rsidP="00FE77F4">
      <w:pPr>
        <w:tabs>
          <w:tab w:val="left" w:pos="720"/>
        </w:tabs>
        <w:jc w:val="both"/>
      </w:pPr>
    </w:p>
    <w:p w14:paraId="425982C4" w14:textId="77777777" w:rsidR="009C00DA" w:rsidRPr="001A28D2" w:rsidRDefault="009C00DA" w:rsidP="009C00DA">
      <w:pPr>
        <w:tabs>
          <w:tab w:val="left" w:pos="720"/>
        </w:tabs>
        <w:jc w:val="center"/>
      </w:pPr>
    </w:p>
    <w:p w14:paraId="063882DE" w14:textId="510BE2F3" w:rsidR="00261756" w:rsidRPr="00261756" w:rsidRDefault="00261756" w:rsidP="00261756">
      <w:pPr>
        <w:tabs>
          <w:tab w:val="left" w:pos="720"/>
        </w:tabs>
        <w:jc w:val="center"/>
        <w:rPr>
          <w:sz w:val="20"/>
          <w:szCs w:val="20"/>
          <w:lang w:eastAsia="en-US"/>
        </w:rPr>
      </w:pPr>
      <w:proofErr w:type="spellStart"/>
      <w:r w:rsidRPr="00261756">
        <w:rPr>
          <w:sz w:val="20"/>
          <w:szCs w:val="20"/>
          <w:lang w:val="en-US" w:eastAsia="en-US"/>
        </w:rPr>
        <w:t>Настоящият</w:t>
      </w:r>
      <w:proofErr w:type="spellEnd"/>
      <w:r w:rsidRPr="00261756">
        <w:rPr>
          <w:sz w:val="20"/>
          <w:szCs w:val="20"/>
          <w:lang w:val="en-US" w:eastAsia="en-US"/>
        </w:rPr>
        <w:t xml:space="preserve"> </w:t>
      </w:r>
      <w:proofErr w:type="spellStart"/>
      <w:r w:rsidRPr="00261756">
        <w:rPr>
          <w:sz w:val="20"/>
          <w:szCs w:val="20"/>
          <w:lang w:val="en-US" w:eastAsia="en-US"/>
        </w:rPr>
        <w:t>окончателен</w:t>
      </w:r>
      <w:proofErr w:type="spellEnd"/>
      <w:r w:rsidRPr="00261756">
        <w:rPr>
          <w:sz w:val="20"/>
          <w:szCs w:val="20"/>
          <w:lang w:val="en-US" w:eastAsia="en-US"/>
        </w:rPr>
        <w:t xml:space="preserve"> </w:t>
      </w:r>
      <w:proofErr w:type="spellStart"/>
      <w:r w:rsidRPr="00261756">
        <w:rPr>
          <w:sz w:val="20"/>
          <w:szCs w:val="20"/>
          <w:lang w:val="en-US" w:eastAsia="en-US"/>
        </w:rPr>
        <w:t>одитен</w:t>
      </w:r>
      <w:proofErr w:type="spellEnd"/>
      <w:r w:rsidRPr="00261756">
        <w:rPr>
          <w:sz w:val="20"/>
          <w:szCs w:val="20"/>
          <w:lang w:val="en-US" w:eastAsia="en-US"/>
        </w:rPr>
        <w:t xml:space="preserve"> </w:t>
      </w:r>
      <w:proofErr w:type="spellStart"/>
      <w:r w:rsidRPr="00261756">
        <w:rPr>
          <w:sz w:val="20"/>
          <w:szCs w:val="20"/>
          <w:lang w:val="en-US" w:eastAsia="en-US"/>
        </w:rPr>
        <w:t>доклад</w:t>
      </w:r>
      <w:proofErr w:type="spellEnd"/>
      <w:r w:rsidRPr="00261756">
        <w:rPr>
          <w:sz w:val="20"/>
          <w:szCs w:val="20"/>
          <w:lang w:val="en-US" w:eastAsia="en-US"/>
        </w:rPr>
        <w:t xml:space="preserve"> е </w:t>
      </w:r>
      <w:proofErr w:type="spellStart"/>
      <w:r w:rsidRPr="00261756">
        <w:rPr>
          <w:sz w:val="20"/>
          <w:szCs w:val="20"/>
          <w:lang w:val="en-US" w:eastAsia="en-US"/>
        </w:rPr>
        <w:t>приет</w:t>
      </w:r>
      <w:proofErr w:type="spellEnd"/>
      <w:r w:rsidRPr="00261756">
        <w:rPr>
          <w:sz w:val="20"/>
          <w:szCs w:val="20"/>
          <w:lang w:val="en-US" w:eastAsia="en-US"/>
        </w:rPr>
        <w:t xml:space="preserve"> с </w:t>
      </w:r>
      <w:proofErr w:type="spellStart"/>
      <w:r w:rsidRPr="00261756">
        <w:rPr>
          <w:sz w:val="20"/>
          <w:szCs w:val="20"/>
          <w:lang w:val="en-US" w:eastAsia="en-US"/>
        </w:rPr>
        <w:t>Решение</w:t>
      </w:r>
      <w:proofErr w:type="spellEnd"/>
      <w:r w:rsidRPr="00261756">
        <w:rPr>
          <w:sz w:val="20"/>
          <w:szCs w:val="20"/>
          <w:lang w:val="en-US" w:eastAsia="en-US"/>
        </w:rPr>
        <w:t xml:space="preserve"> № </w:t>
      </w:r>
      <w:r>
        <w:rPr>
          <w:sz w:val="20"/>
          <w:szCs w:val="20"/>
          <w:lang w:val="en-US" w:eastAsia="en-US"/>
        </w:rPr>
        <w:t>431</w:t>
      </w:r>
      <w:r w:rsidRPr="00261756">
        <w:rPr>
          <w:sz w:val="20"/>
          <w:szCs w:val="20"/>
          <w:lang w:val="en-US" w:eastAsia="en-US"/>
        </w:rPr>
        <w:t xml:space="preserve"> </w:t>
      </w:r>
      <w:proofErr w:type="spellStart"/>
      <w:r w:rsidRPr="00261756">
        <w:rPr>
          <w:sz w:val="20"/>
          <w:szCs w:val="20"/>
          <w:lang w:val="en-US" w:eastAsia="en-US"/>
        </w:rPr>
        <w:t>от</w:t>
      </w:r>
      <w:proofErr w:type="spellEnd"/>
      <w:r w:rsidRPr="00261756">
        <w:rPr>
          <w:sz w:val="20"/>
          <w:szCs w:val="20"/>
          <w:lang w:val="en-US" w:eastAsia="en-US"/>
        </w:rPr>
        <w:t xml:space="preserve"> </w:t>
      </w:r>
      <w:r>
        <w:rPr>
          <w:sz w:val="20"/>
          <w:szCs w:val="20"/>
          <w:lang w:val="en-US" w:eastAsia="en-US"/>
        </w:rPr>
        <w:t>27</w:t>
      </w:r>
      <w:r w:rsidRPr="00261756">
        <w:rPr>
          <w:sz w:val="20"/>
          <w:szCs w:val="20"/>
          <w:lang w:eastAsia="en-US"/>
        </w:rPr>
        <w:t>.</w:t>
      </w:r>
      <w:r>
        <w:rPr>
          <w:sz w:val="20"/>
          <w:szCs w:val="20"/>
          <w:lang w:val="en-US" w:eastAsia="en-US"/>
        </w:rPr>
        <w:t>09</w:t>
      </w:r>
      <w:r w:rsidRPr="00261756">
        <w:rPr>
          <w:sz w:val="20"/>
          <w:szCs w:val="20"/>
          <w:lang w:eastAsia="en-US"/>
        </w:rPr>
        <w:t>.</w:t>
      </w:r>
      <w:r w:rsidRPr="00261756">
        <w:rPr>
          <w:sz w:val="20"/>
          <w:szCs w:val="20"/>
          <w:lang w:val="en-US" w:eastAsia="en-US"/>
        </w:rPr>
        <w:t>20</w:t>
      </w:r>
      <w:r>
        <w:rPr>
          <w:sz w:val="20"/>
          <w:szCs w:val="20"/>
          <w:lang w:val="en-US" w:eastAsia="en-US"/>
        </w:rPr>
        <w:t>17</w:t>
      </w:r>
      <w:r w:rsidRPr="00261756">
        <w:rPr>
          <w:sz w:val="20"/>
          <w:szCs w:val="20"/>
          <w:lang w:val="en-US" w:eastAsia="en-US"/>
        </w:rPr>
        <w:t xml:space="preserve"> г. </w:t>
      </w:r>
      <w:r w:rsidRPr="00261756">
        <w:rPr>
          <w:sz w:val="20"/>
          <w:szCs w:val="20"/>
          <w:lang w:eastAsia="en-US"/>
        </w:rPr>
        <w:br/>
      </w:r>
      <w:proofErr w:type="spellStart"/>
      <w:r w:rsidRPr="00261756">
        <w:rPr>
          <w:sz w:val="20"/>
          <w:szCs w:val="20"/>
          <w:lang w:val="en-US" w:eastAsia="en-US"/>
        </w:rPr>
        <w:t>на</w:t>
      </w:r>
      <w:proofErr w:type="spellEnd"/>
      <w:r w:rsidRPr="00261756">
        <w:rPr>
          <w:sz w:val="20"/>
          <w:szCs w:val="20"/>
          <w:lang w:eastAsia="en-US"/>
        </w:rPr>
        <w:t xml:space="preserve"> </w:t>
      </w:r>
      <w:proofErr w:type="spellStart"/>
      <w:r w:rsidRPr="00261756">
        <w:rPr>
          <w:sz w:val="20"/>
          <w:szCs w:val="20"/>
          <w:lang w:val="en-US" w:eastAsia="en-US"/>
        </w:rPr>
        <w:t>Сметната</w:t>
      </w:r>
      <w:proofErr w:type="spellEnd"/>
      <w:r w:rsidRPr="00261756">
        <w:rPr>
          <w:sz w:val="20"/>
          <w:szCs w:val="20"/>
          <w:lang w:val="en-US" w:eastAsia="en-US"/>
        </w:rPr>
        <w:t xml:space="preserve"> </w:t>
      </w:r>
      <w:proofErr w:type="spellStart"/>
      <w:r w:rsidRPr="00261756">
        <w:rPr>
          <w:sz w:val="20"/>
          <w:szCs w:val="20"/>
          <w:lang w:val="en-US" w:eastAsia="en-US"/>
        </w:rPr>
        <w:t>палата</w:t>
      </w:r>
      <w:proofErr w:type="spellEnd"/>
      <w:r w:rsidRPr="00261756">
        <w:rPr>
          <w:sz w:val="20"/>
          <w:szCs w:val="20"/>
          <w:lang w:eastAsia="en-US"/>
        </w:rPr>
        <w:t xml:space="preserve"> </w:t>
      </w:r>
      <w:r w:rsidRPr="00261756">
        <w:rPr>
          <w:sz w:val="20"/>
          <w:szCs w:val="20"/>
          <w:lang w:val="en-US" w:eastAsia="en-US"/>
        </w:rPr>
        <w:t>(</w:t>
      </w:r>
      <w:proofErr w:type="spellStart"/>
      <w:r w:rsidRPr="00261756">
        <w:rPr>
          <w:sz w:val="20"/>
          <w:szCs w:val="20"/>
          <w:lang w:val="en-US" w:eastAsia="en-US"/>
        </w:rPr>
        <w:t>Протокол</w:t>
      </w:r>
      <w:proofErr w:type="spellEnd"/>
      <w:r w:rsidRPr="00261756">
        <w:rPr>
          <w:sz w:val="20"/>
          <w:szCs w:val="20"/>
          <w:lang w:val="en-US" w:eastAsia="en-US"/>
        </w:rPr>
        <w:t xml:space="preserve"> № </w:t>
      </w:r>
      <w:r>
        <w:rPr>
          <w:sz w:val="20"/>
          <w:szCs w:val="20"/>
          <w:lang w:val="en-US" w:eastAsia="en-US"/>
        </w:rPr>
        <w:t>36</w:t>
      </w:r>
      <w:r w:rsidRPr="00261756">
        <w:rPr>
          <w:sz w:val="20"/>
          <w:szCs w:val="20"/>
          <w:lang w:val="en-US" w:eastAsia="en-US"/>
        </w:rPr>
        <w:t>)</w:t>
      </w:r>
    </w:p>
    <w:p w14:paraId="6908905B" w14:textId="1991AAF4" w:rsidR="00FE77F4" w:rsidRPr="001A28D2" w:rsidRDefault="00FE77F4" w:rsidP="00FE77F4">
      <w:pPr>
        <w:tabs>
          <w:tab w:val="left" w:pos="720"/>
        </w:tabs>
        <w:spacing w:before="360"/>
        <w:jc w:val="center"/>
      </w:pPr>
    </w:p>
    <w:p w14:paraId="0896EB79" w14:textId="77777777" w:rsidR="00FE77F4" w:rsidRPr="001A28D2" w:rsidRDefault="00FE77F4" w:rsidP="00FE77F4">
      <w:pPr>
        <w:tabs>
          <w:tab w:val="left" w:pos="0"/>
        </w:tabs>
        <w:spacing w:before="120" w:after="360"/>
        <w:ind w:firstLine="1077"/>
        <w:rPr>
          <w:b/>
        </w:rPr>
      </w:pPr>
      <w:r w:rsidRPr="001A28D2">
        <w:br w:type="page"/>
      </w:r>
      <w:r w:rsidRPr="001A28D2">
        <w:rPr>
          <w:b/>
        </w:rPr>
        <w:lastRenderedPageBreak/>
        <w:t>СЪДЪРЖАНИЕ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6"/>
        <w:gridCol w:w="1790"/>
      </w:tblGrid>
      <w:tr w:rsidR="00FE77F4" w:rsidRPr="001A28D2" w14:paraId="3C64BED2" w14:textId="77777777" w:rsidTr="00334438">
        <w:trPr>
          <w:jc w:val="center"/>
        </w:trPr>
        <w:tc>
          <w:tcPr>
            <w:tcW w:w="7786" w:type="dxa"/>
          </w:tcPr>
          <w:p w14:paraId="20D43077" w14:textId="77777777" w:rsidR="00FE77F4" w:rsidRPr="001A28D2" w:rsidRDefault="00FE77F4" w:rsidP="00334438">
            <w:pPr>
              <w:tabs>
                <w:tab w:val="left" w:pos="720"/>
              </w:tabs>
              <w:jc w:val="both"/>
            </w:pPr>
            <w:r w:rsidRPr="001A28D2">
              <w:t>Списък на съкращенията</w:t>
            </w:r>
          </w:p>
        </w:tc>
        <w:tc>
          <w:tcPr>
            <w:tcW w:w="1790" w:type="dxa"/>
          </w:tcPr>
          <w:p w14:paraId="0753FEDB" w14:textId="77777777" w:rsidR="00FE77F4" w:rsidRPr="001A28D2" w:rsidRDefault="00FE77F4" w:rsidP="00334438">
            <w:pPr>
              <w:tabs>
                <w:tab w:val="left" w:pos="720"/>
              </w:tabs>
              <w:jc w:val="center"/>
            </w:pPr>
            <w:r w:rsidRPr="001A28D2">
              <w:t>3</w:t>
            </w:r>
          </w:p>
        </w:tc>
      </w:tr>
      <w:tr w:rsidR="00FE77F4" w:rsidRPr="001A28D2" w14:paraId="6D9829DF" w14:textId="77777777" w:rsidTr="00334438">
        <w:trPr>
          <w:jc w:val="center"/>
        </w:trPr>
        <w:tc>
          <w:tcPr>
            <w:tcW w:w="7786" w:type="dxa"/>
          </w:tcPr>
          <w:p w14:paraId="7FF95F05" w14:textId="77777777" w:rsidR="00FE77F4" w:rsidRPr="001A28D2" w:rsidRDefault="00FE77F4" w:rsidP="00334438">
            <w:pPr>
              <w:tabs>
                <w:tab w:val="left" w:pos="720"/>
              </w:tabs>
              <w:jc w:val="both"/>
            </w:pPr>
            <w:r w:rsidRPr="001A28D2">
              <w:t>Терминологичен речник</w:t>
            </w:r>
          </w:p>
        </w:tc>
        <w:tc>
          <w:tcPr>
            <w:tcW w:w="1790" w:type="dxa"/>
          </w:tcPr>
          <w:p w14:paraId="1CBF2FC4" w14:textId="77777777" w:rsidR="00FE77F4" w:rsidRPr="001A28D2" w:rsidRDefault="00FE77F4" w:rsidP="00334438">
            <w:pPr>
              <w:tabs>
                <w:tab w:val="left" w:pos="720"/>
              </w:tabs>
              <w:jc w:val="center"/>
            </w:pPr>
            <w:r w:rsidRPr="001A28D2">
              <w:t>5</w:t>
            </w:r>
          </w:p>
        </w:tc>
      </w:tr>
      <w:tr w:rsidR="00FE77F4" w:rsidRPr="001A28D2" w14:paraId="46B73319" w14:textId="77777777" w:rsidTr="00334438">
        <w:trPr>
          <w:jc w:val="center"/>
        </w:trPr>
        <w:tc>
          <w:tcPr>
            <w:tcW w:w="7786" w:type="dxa"/>
          </w:tcPr>
          <w:p w14:paraId="018B4EA5" w14:textId="77777777" w:rsidR="00FE77F4" w:rsidRPr="001A28D2" w:rsidRDefault="00FE77F4" w:rsidP="00334438">
            <w:r w:rsidRPr="001A28D2">
              <w:t>Част първа Резюме</w:t>
            </w:r>
          </w:p>
        </w:tc>
        <w:tc>
          <w:tcPr>
            <w:tcW w:w="1790" w:type="dxa"/>
          </w:tcPr>
          <w:p w14:paraId="5854C284" w14:textId="77777777" w:rsidR="00FE77F4" w:rsidRPr="001A28D2" w:rsidRDefault="00FE77F4" w:rsidP="00334438">
            <w:pPr>
              <w:tabs>
                <w:tab w:val="left" w:pos="720"/>
              </w:tabs>
              <w:jc w:val="center"/>
            </w:pPr>
            <w:r w:rsidRPr="001A28D2">
              <w:t>7</w:t>
            </w:r>
          </w:p>
        </w:tc>
      </w:tr>
      <w:tr w:rsidR="00FE77F4" w:rsidRPr="001A28D2" w14:paraId="1B9316F9" w14:textId="77777777" w:rsidTr="00334438">
        <w:trPr>
          <w:jc w:val="center"/>
        </w:trPr>
        <w:tc>
          <w:tcPr>
            <w:tcW w:w="7786" w:type="dxa"/>
          </w:tcPr>
          <w:p w14:paraId="7D300FA9" w14:textId="77777777" w:rsidR="00FE77F4" w:rsidRPr="001A28D2" w:rsidRDefault="00FE77F4" w:rsidP="00334438">
            <w:r w:rsidRPr="001A28D2">
              <w:t>Част втора Въведение</w:t>
            </w:r>
          </w:p>
        </w:tc>
        <w:tc>
          <w:tcPr>
            <w:tcW w:w="1790" w:type="dxa"/>
          </w:tcPr>
          <w:p w14:paraId="37D5AE79" w14:textId="07FE1BAF" w:rsidR="00FE77F4" w:rsidRPr="001A28D2" w:rsidRDefault="000C3D5B" w:rsidP="00334438">
            <w:pPr>
              <w:tabs>
                <w:tab w:val="left" w:pos="720"/>
              </w:tabs>
              <w:jc w:val="center"/>
            </w:pPr>
            <w:r w:rsidRPr="001A28D2">
              <w:t>9</w:t>
            </w:r>
          </w:p>
        </w:tc>
      </w:tr>
      <w:tr w:rsidR="00FE77F4" w:rsidRPr="001A28D2" w14:paraId="5D606C11" w14:textId="77777777" w:rsidTr="00334438">
        <w:trPr>
          <w:jc w:val="center"/>
        </w:trPr>
        <w:tc>
          <w:tcPr>
            <w:tcW w:w="7786" w:type="dxa"/>
          </w:tcPr>
          <w:p w14:paraId="74E51F14" w14:textId="77777777" w:rsidR="00FE77F4" w:rsidRPr="001A28D2" w:rsidRDefault="00FE77F4" w:rsidP="00334438">
            <w:pPr>
              <w:tabs>
                <w:tab w:val="left" w:pos="426"/>
              </w:tabs>
            </w:pPr>
            <w:r w:rsidRPr="001A28D2">
              <w:t>Част трета Констатации</w:t>
            </w:r>
          </w:p>
        </w:tc>
        <w:tc>
          <w:tcPr>
            <w:tcW w:w="1790" w:type="dxa"/>
          </w:tcPr>
          <w:p w14:paraId="14E62D31" w14:textId="53E17F82" w:rsidR="00FE77F4" w:rsidRPr="001A28D2" w:rsidRDefault="0070771E" w:rsidP="00334438">
            <w:pPr>
              <w:tabs>
                <w:tab w:val="left" w:pos="720"/>
              </w:tabs>
              <w:jc w:val="center"/>
            </w:pPr>
            <w:r w:rsidRPr="001A28D2">
              <w:t>10</w:t>
            </w:r>
          </w:p>
        </w:tc>
      </w:tr>
      <w:tr w:rsidR="00FE77F4" w:rsidRPr="001A28D2" w14:paraId="48EC3E13" w14:textId="77777777" w:rsidTr="00334438">
        <w:trPr>
          <w:jc w:val="center"/>
        </w:trPr>
        <w:tc>
          <w:tcPr>
            <w:tcW w:w="7786" w:type="dxa"/>
          </w:tcPr>
          <w:p w14:paraId="571EBC04" w14:textId="77777777" w:rsidR="00FE77F4" w:rsidRPr="001A28D2" w:rsidRDefault="00FE77F4" w:rsidP="00334438">
            <w:pPr>
              <w:pStyle w:val="ListParagraph"/>
              <w:numPr>
                <w:ilvl w:val="0"/>
                <w:numId w:val="15"/>
              </w:numPr>
              <w:tabs>
                <w:tab w:val="left" w:pos="0"/>
                <w:tab w:val="left" w:pos="284"/>
                <w:tab w:val="left" w:pos="426"/>
              </w:tabs>
              <w:ind w:left="0" w:firstLine="0"/>
              <w:jc w:val="both"/>
              <w:rPr>
                <w:rFonts w:ascii="Times New Roman" w:hAnsi="Times New Roman" w:cs="Times New Roman"/>
                <w:lang w:val="bg-BG"/>
              </w:rPr>
            </w:pPr>
            <w:r w:rsidRPr="001A28D2">
              <w:rPr>
                <w:rFonts w:ascii="Times New Roman" w:hAnsi="Times New Roman" w:cs="Times New Roman"/>
                <w:lang w:val="bg-BG"/>
              </w:rPr>
              <w:t>Съответствие на изготвянето, структурата, съдържанието и представянето на отчета за изпълнението на държавния бюджет на Република България с изискванията на нормативните и вътрешните актове</w:t>
            </w:r>
          </w:p>
        </w:tc>
        <w:tc>
          <w:tcPr>
            <w:tcW w:w="1790" w:type="dxa"/>
          </w:tcPr>
          <w:p w14:paraId="511FB840" w14:textId="5DD0EC97" w:rsidR="00FE77F4" w:rsidRPr="001A28D2" w:rsidRDefault="0070771E" w:rsidP="00334438">
            <w:pPr>
              <w:tabs>
                <w:tab w:val="left" w:pos="720"/>
              </w:tabs>
              <w:jc w:val="center"/>
            </w:pPr>
            <w:r w:rsidRPr="001A28D2">
              <w:t>10</w:t>
            </w:r>
          </w:p>
        </w:tc>
      </w:tr>
      <w:tr w:rsidR="00FE77F4" w:rsidRPr="001A28D2" w14:paraId="4907933E" w14:textId="77777777" w:rsidTr="00334438">
        <w:trPr>
          <w:jc w:val="center"/>
        </w:trPr>
        <w:tc>
          <w:tcPr>
            <w:tcW w:w="7786" w:type="dxa"/>
          </w:tcPr>
          <w:p w14:paraId="2A163C0A" w14:textId="77777777" w:rsidR="00FE77F4" w:rsidRPr="001A28D2" w:rsidRDefault="00FE77F4" w:rsidP="00334438">
            <w:pPr>
              <w:pStyle w:val="ListParagraph"/>
              <w:numPr>
                <w:ilvl w:val="0"/>
                <w:numId w:val="15"/>
              </w:numPr>
              <w:tabs>
                <w:tab w:val="left" w:pos="0"/>
                <w:tab w:val="left" w:pos="284"/>
                <w:tab w:val="left" w:pos="426"/>
              </w:tabs>
              <w:ind w:left="0" w:firstLine="0"/>
              <w:jc w:val="both"/>
              <w:rPr>
                <w:rFonts w:ascii="Times New Roman" w:hAnsi="Times New Roman" w:cs="Times New Roman"/>
                <w:lang w:val="bg-BG"/>
              </w:rPr>
            </w:pPr>
            <w:r w:rsidRPr="001A28D2">
              <w:rPr>
                <w:rFonts w:ascii="Times New Roman" w:hAnsi="Times New Roman" w:cs="Times New Roman"/>
                <w:lang w:val="bg-BG"/>
              </w:rPr>
              <w:t>Степен на изпълнение на показателите по отчета за изпълнението на държавния бюджет спрямо заложените в ЗДБРБ за 2016 г.</w:t>
            </w:r>
          </w:p>
        </w:tc>
        <w:tc>
          <w:tcPr>
            <w:tcW w:w="1790" w:type="dxa"/>
          </w:tcPr>
          <w:p w14:paraId="320A1D02" w14:textId="77777777" w:rsidR="00FE77F4" w:rsidRPr="001A28D2" w:rsidRDefault="00FE77F4" w:rsidP="00334438">
            <w:pPr>
              <w:tabs>
                <w:tab w:val="left" w:pos="720"/>
              </w:tabs>
              <w:jc w:val="center"/>
            </w:pPr>
            <w:r w:rsidRPr="001A28D2">
              <w:t>11</w:t>
            </w:r>
          </w:p>
        </w:tc>
      </w:tr>
      <w:tr w:rsidR="00FE77F4" w:rsidRPr="001A28D2" w14:paraId="665184C9" w14:textId="77777777" w:rsidTr="00334438">
        <w:trPr>
          <w:jc w:val="center"/>
        </w:trPr>
        <w:tc>
          <w:tcPr>
            <w:tcW w:w="7786" w:type="dxa"/>
          </w:tcPr>
          <w:p w14:paraId="42A8903C" w14:textId="77777777" w:rsidR="00FE77F4" w:rsidRPr="001A28D2" w:rsidRDefault="00FE77F4" w:rsidP="00334438">
            <w:pPr>
              <w:pStyle w:val="ListParagraph"/>
              <w:numPr>
                <w:ilvl w:val="0"/>
                <w:numId w:val="15"/>
              </w:numPr>
              <w:tabs>
                <w:tab w:val="left" w:pos="0"/>
                <w:tab w:val="left" w:pos="284"/>
                <w:tab w:val="left" w:pos="426"/>
              </w:tabs>
              <w:ind w:left="0" w:firstLine="0"/>
              <w:jc w:val="both"/>
              <w:rPr>
                <w:rFonts w:ascii="Times New Roman" w:hAnsi="Times New Roman" w:cs="Times New Roman"/>
                <w:lang w:val="bg-BG"/>
              </w:rPr>
            </w:pPr>
            <w:r w:rsidRPr="001A28D2">
              <w:rPr>
                <w:rFonts w:ascii="Times New Roman" w:hAnsi="Times New Roman" w:cs="Times New Roman"/>
                <w:lang w:val="bg-BG"/>
              </w:rPr>
              <w:t xml:space="preserve">Съответствие на изпълнението на държавния бюджет за 2016 г. с основните принципи, правила и показатели, заложени в ЗПФ и мониторинг на процесите, </w:t>
            </w:r>
            <w:proofErr w:type="spellStart"/>
            <w:r w:rsidRPr="001A28D2">
              <w:rPr>
                <w:rFonts w:ascii="Times New Roman" w:hAnsi="Times New Roman" w:cs="Times New Roman"/>
                <w:lang w:val="bg-BG"/>
              </w:rPr>
              <w:t>относими</w:t>
            </w:r>
            <w:proofErr w:type="spellEnd"/>
            <w:r w:rsidRPr="001A28D2">
              <w:rPr>
                <w:rFonts w:ascii="Times New Roman" w:hAnsi="Times New Roman" w:cs="Times New Roman"/>
                <w:lang w:val="bg-BG"/>
              </w:rPr>
              <w:t xml:space="preserve"> към изпълнението на бюджета</w:t>
            </w:r>
          </w:p>
        </w:tc>
        <w:tc>
          <w:tcPr>
            <w:tcW w:w="1790" w:type="dxa"/>
          </w:tcPr>
          <w:p w14:paraId="57B2180D" w14:textId="60068A49" w:rsidR="00FE77F4" w:rsidRPr="001A28D2" w:rsidRDefault="0070771E" w:rsidP="00334438">
            <w:pPr>
              <w:tabs>
                <w:tab w:val="left" w:pos="720"/>
              </w:tabs>
              <w:jc w:val="center"/>
            </w:pPr>
            <w:r w:rsidRPr="001A28D2">
              <w:t>33</w:t>
            </w:r>
          </w:p>
        </w:tc>
      </w:tr>
      <w:tr w:rsidR="00FE77F4" w:rsidRPr="001A28D2" w14:paraId="11EA4306" w14:textId="77777777" w:rsidTr="00334438">
        <w:trPr>
          <w:jc w:val="center"/>
        </w:trPr>
        <w:tc>
          <w:tcPr>
            <w:tcW w:w="7786" w:type="dxa"/>
          </w:tcPr>
          <w:p w14:paraId="605FF998" w14:textId="77777777" w:rsidR="00FE77F4" w:rsidRPr="001A28D2" w:rsidRDefault="00FE77F4" w:rsidP="00334438">
            <w:pPr>
              <w:pStyle w:val="ListParagraph"/>
              <w:numPr>
                <w:ilvl w:val="0"/>
                <w:numId w:val="15"/>
              </w:numPr>
              <w:tabs>
                <w:tab w:val="left" w:pos="0"/>
                <w:tab w:val="left" w:pos="284"/>
                <w:tab w:val="left" w:pos="426"/>
              </w:tabs>
              <w:ind w:left="0" w:firstLine="0"/>
              <w:jc w:val="both"/>
              <w:rPr>
                <w:rFonts w:ascii="Times New Roman" w:hAnsi="Times New Roman" w:cs="Times New Roman"/>
                <w:lang w:val="bg-BG"/>
              </w:rPr>
            </w:pPr>
            <w:r w:rsidRPr="001A28D2">
              <w:rPr>
                <w:rFonts w:ascii="Times New Roman" w:hAnsi="Times New Roman" w:cs="Times New Roman"/>
                <w:lang w:val="bg-BG"/>
              </w:rPr>
              <w:t>Степен на изпълнението на дадените препоръки при одита на отчета за изпълнението на ДБ на РБ за 2015 г.</w:t>
            </w:r>
          </w:p>
        </w:tc>
        <w:tc>
          <w:tcPr>
            <w:tcW w:w="1790" w:type="dxa"/>
          </w:tcPr>
          <w:p w14:paraId="5CF72F9B" w14:textId="6179E97B" w:rsidR="00FE77F4" w:rsidRPr="001A28D2" w:rsidRDefault="00E81F7C" w:rsidP="00334438">
            <w:pPr>
              <w:tabs>
                <w:tab w:val="left" w:pos="720"/>
              </w:tabs>
              <w:jc w:val="center"/>
            </w:pPr>
            <w:r w:rsidRPr="001A28D2">
              <w:t>51</w:t>
            </w:r>
          </w:p>
        </w:tc>
      </w:tr>
      <w:tr w:rsidR="00FE77F4" w:rsidRPr="001A28D2" w14:paraId="758C3AC5" w14:textId="77777777" w:rsidTr="00334438">
        <w:trPr>
          <w:jc w:val="center"/>
        </w:trPr>
        <w:tc>
          <w:tcPr>
            <w:tcW w:w="7786" w:type="dxa"/>
          </w:tcPr>
          <w:p w14:paraId="6319FE5E" w14:textId="77777777" w:rsidR="00FE77F4" w:rsidRPr="001A28D2" w:rsidRDefault="00FE77F4" w:rsidP="00334438">
            <w:r w:rsidRPr="001A28D2">
              <w:t>Част четвърта Заключение</w:t>
            </w:r>
          </w:p>
        </w:tc>
        <w:tc>
          <w:tcPr>
            <w:tcW w:w="1790" w:type="dxa"/>
          </w:tcPr>
          <w:p w14:paraId="77403709" w14:textId="0A69ED51" w:rsidR="00FE77F4" w:rsidRPr="001A28D2" w:rsidRDefault="0070771E" w:rsidP="00334438">
            <w:pPr>
              <w:tabs>
                <w:tab w:val="left" w:pos="720"/>
              </w:tabs>
              <w:jc w:val="center"/>
              <w:rPr>
                <w:highlight w:val="yellow"/>
              </w:rPr>
            </w:pPr>
            <w:r w:rsidRPr="001A28D2">
              <w:t>53</w:t>
            </w:r>
          </w:p>
        </w:tc>
      </w:tr>
      <w:tr w:rsidR="00FE77F4" w:rsidRPr="001A28D2" w14:paraId="17D9FA74" w14:textId="77777777" w:rsidTr="00334438">
        <w:trPr>
          <w:jc w:val="center"/>
        </w:trPr>
        <w:tc>
          <w:tcPr>
            <w:tcW w:w="7786" w:type="dxa"/>
          </w:tcPr>
          <w:p w14:paraId="3E47CECF" w14:textId="18952747" w:rsidR="00FE77F4" w:rsidRPr="001A28D2" w:rsidRDefault="00FE77F4" w:rsidP="00A37B61">
            <w:pPr>
              <w:jc w:val="both"/>
            </w:pPr>
            <w:r w:rsidRPr="001A28D2">
              <w:t xml:space="preserve">Част </w:t>
            </w:r>
            <w:r w:rsidR="00A37B61" w:rsidRPr="001A28D2">
              <w:t>пет</w:t>
            </w:r>
            <w:r w:rsidRPr="001A28D2">
              <w:t>а Отговори на одитираната организация</w:t>
            </w:r>
          </w:p>
        </w:tc>
        <w:tc>
          <w:tcPr>
            <w:tcW w:w="1790" w:type="dxa"/>
          </w:tcPr>
          <w:p w14:paraId="63D5B051" w14:textId="77D55A50" w:rsidR="00FE77F4" w:rsidRPr="001A28D2" w:rsidRDefault="0070771E" w:rsidP="00334438">
            <w:pPr>
              <w:tabs>
                <w:tab w:val="left" w:pos="720"/>
              </w:tabs>
              <w:jc w:val="center"/>
            </w:pPr>
            <w:r w:rsidRPr="001A28D2">
              <w:t>54</w:t>
            </w:r>
          </w:p>
        </w:tc>
      </w:tr>
      <w:tr w:rsidR="0070771E" w:rsidRPr="001A28D2" w14:paraId="7EE01C94" w14:textId="77777777" w:rsidTr="00334438">
        <w:trPr>
          <w:jc w:val="center"/>
        </w:trPr>
        <w:tc>
          <w:tcPr>
            <w:tcW w:w="7786" w:type="dxa"/>
          </w:tcPr>
          <w:p w14:paraId="50612A41" w14:textId="76B5638E" w:rsidR="0070771E" w:rsidRPr="001A28D2" w:rsidRDefault="0070771E" w:rsidP="00334438">
            <w:pPr>
              <w:jc w:val="both"/>
            </w:pPr>
            <w:r w:rsidRPr="001A28D2">
              <w:t>Опис на приложенията към одитния доклад</w:t>
            </w:r>
          </w:p>
        </w:tc>
        <w:tc>
          <w:tcPr>
            <w:tcW w:w="1790" w:type="dxa"/>
          </w:tcPr>
          <w:p w14:paraId="3A9EF314" w14:textId="27B9404A" w:rsidR="0070771E" w:rsidRPr="001A28D2" w:rsidRDefault="0070771E" w:rsidP="00334438">
            <w:pPr>
              <w:tabs>
                <w:tab w:val="left" w:pos="720"/>
              </w:tabs>
              <w:jc w:val="center"/>
            </w:pPr>
            <w:r w:rsidRPr="001A28D2">
              <w:t>56</w:t>
            </w:r>
          </w:p>
        </w:tc>
      </w:tr>
      <w:tr w:rsidR="00FE77F4" w:rsidRPr="001A28D2" w14:paraId="124F219E" w14:textId="77777777" w:rsidTr="00334438">
        <w:trPr>
          <w:jc w:val="center"/>
        </w:trPr>
        <w:tc>
          <w:tcPr>
            <w:tcW w:w="7786" w:type="dxa"/>
          </w:tcPr>
          <w:p w14:paraId="206A049E" w14:textId="77777777" w:rsidR="00FE77F4" w:rsidRPr="001A28D2" w:rsidRDefault="00FE77F4" w:rsidP="00334438">
            <w:r w:rsidRPr="001A28D2">
              <w:t>Опис на одитните доказателства</w:t>
            </w:r>
          </w:p>
        </w:tc>
        <w:tc>
          <w:tcPr>
            <w:tcW w:w="1790" w:type="dxa"/>
          </w:tcPr>
          <w:p w14:paraId="1E3FD806" w14:textId="3E93F37E" w:rsidR="00FE77F4" w:rsidRPr="001A28D2" w:rsidRDefault="0070771E" w:rsidP="00334438">
            <w:pPr>
              <w:tabs>
                <w:tab w:val="left" w:pos="720"/>
              </w:tabs>
              <w:jc w:val="center"/>
              <w:rPr>
                <w:highlight w:val="yellow"/>
              </w:rPr>
            </w:pPr>
            <w:r w:rsidRPr="001A28D2">
              <w:t>57</w:t>
            </w:r>
          </w:p>
        </w:tc>
      </w:tr>
    </w:tbl>
    <w:p w14:paraId="00C97029" w14:textId="77777777" w:rsidR="00FE77F4" w:rsidRPr="001A28D2" w:rsidRDefault="00FE77F4" w:rsidP="00FE77F4">
      <w:pPr>
        <w:tabs>
          <w:tab w:val="left" w:pos="0"/>
        </w:tabs>
        <w:spacing w:before="120" w:after="360"/>
        <w:ind w:firstLine="1080"/>
        <w:rPr>
          <w:b/>
        </w:rPr>
      </w:pPr>
      <w:r w:rsidRPr="001A28D2">
        <w:rPr>
          <w:b/>
        </w:rPr>
        <w:br w:type="page"/>
      </w:r>
      <w:r w:rsidRPr="001A28D2">
        <w:rPr>
          <w:b/>
        </w:rPr>
        <w:lastRenderedPageBreak/>
        <w:t>СПИСЪК НА СЪКРАЩЕНИЯТА</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916"/>
      </w:tblGrid>
      <w:tr w:rsidR="00FE77F4" w:rsidRPr="001A28D2" w14:paraId="2FCF8DEA" w14:textId="77777777" w:rsidTr="00334438">
        <w:tc>
          <w:tcPr>
            <w:tcW w:w="2660" w:type="dxa"/>
            <w:shd w:val="clear" w:color="auto" w:fill="auto"/>
          </w:tcPr>
          <w:p w14:paraId="4AE08C7E" w14:textId="77777777" w:rsidR="00FE77F4" w:rsidRPr="001A28D2" w:rsidRDefault="00FE77F4" w:rsidP="00334438">
            <w:pPr>
              <w:jc w:val="both"/>
            </w:pPr>
            <w:r w:rsidRPr="001A28D2">
              <w:t>АМ</w:t>
            </w:r>
          </w:p>
        </w:tc>
        <w:tc>
          <w:tcPr>
            <w:tcW w:w="6916" w:type="dxa"/>
            <w:shd w:val="clear" w:color="auto" w:fill="auto"/>
          </w:tcPr>
          <w:p w14:paraId="237A8F13" w14:textId="77777777" w:rsidR="00FE77F4" w:rsidRPr="001A28D2" w:rsidRDefault="00FE77F4" w:rsidP="00334438">
            <w:pPr>
              <w:ind w:left="70"/>
              <w:jc w:val="both"/>
            </w:pPr>
            <w:r w:rsidRPr="001A28D2">
              <w:t>Агенция „Митници“</w:t>
            </w:r>
          </w:p>
        </w:tc>
      </w:tr>
      <w:tr w:rsidR="00FE77F4" w:rsidRPr="001A28D2" w14:paraId="698647D4" w14:textId="77777777" w:rsidTr="00334438">
        <w:tc>
          <w:tcPr>
            <w:tcW w:w="2660" w:type="dxa"/>
            <w:shd w:val="clear" w:color="auto" w:fill="auto"/>
          </w:tcPr>
          <w:p w14:paraId="488424D2" w14:textId="77777777" w:rsidR="00FE77F4" w:rsidRPr="001A28D2" w:rsidRDefault="00FE77F4" w:rsidP="00334438">
            <w:pPr>
              <w:jc w:val="both"/>
            </w:pPr>
            <w:r w:rsidRPr="001A28D2">
              <w:t>АЯР</w:t>
            </w:r>
          </w:p>
        </w:tc>
        <w:tc>
          <w:tcPr>
            <w:tcW w:w="6916" w:type="dxa"/>
            <w:shd w:val="clear" w:color="auto" w:fill="auto"/>
          </w:tcPr>
          <w:p w14:paraId="10856BD3" w14:textId="77777777" w:rsidR="00FE77F4" w:rsidRPr="001A28D2" w:rsidRDefault="00FE77F4" w:rsidP="00334438">
            <w:pPr>
              <w:ind w:left="70"/>
              <w:jc w:val="both"/>
            </w:pPr>
            <w:r w:rsidRPr="001A28D2">
              <w:t>Агенция за ядрено регулиране</w:t>
            </w:r>
          </w:p>
        </w:tc>
      </w:tr>
      <w:tr w:rsidR="00FE77F4" w:rsidRPr="001A28D2" w14:paraId="2DB3E6AF" w14:textId="77777777" w:rsidTr="00334438">
        <w:tc>
          <w:tcPr>
            <w:tcW w:w="2660" w:type="dxa"/>
            <w:shd w:val="clear" w:color="auto" w:fill="auto"/>
          </w:tcPr>
          <w:p w14:paraId="5F7E8979" w14:textId="77777777" w:rsidR="00FE77F4" w:rsidRPr="001A28D2" w:rsidRDefault="00FE77F4" w:rsidP="00334438">
            <w:pPr>
              <w:jc w:val="both"/>
            </w:pPr>
            <w:r w:rsidRPr="001A28D2">
              <w:t>БАН</w:t>
            </w:r>
          </w:p>
        </w:tc>
        <w:tc>
          <w:tcPr>
            <w:tcW w:w="6916" w:type="dxa"/>
            <w:shd w:val="clear" w:color="auto" w:fill="auto"/>
          </w:tcPr>
          <w:p w14:paraId="146CD1A8" w14:textId="77777777" w:rsidR="00FE77F4" w:rsidRPr="001A28D2" w:rsidRDefault="00FE77F4" w:rsidP="00334438">
            <w:pPr>
              <w:ind w:left="70"/>
              <w:jc w:val="both"/>
            </w:pPr>
            <w:r w:rsidRPr="001A28D2">
              <w:t>Българска академия на науките</w:t>
            </w:r>
          </w:p>
        </w:tc>
      </w:tr>
      <w:tr w:rsidR="00FE77F4" w:rsidRPr="001A28D2" w14:paraId="018D1346" w14:textId="77777777" w:rsidTr="00334438">
        <w:tc>
          <w:tcPr>
            <w:tcW w:w="2660" w:type="dxa"/>
            <w:shd w:val="clear" w:color="auto" w:fill="auto"/>
          </w:tcPr>
          <w:p w14:paraId="69A59A71" w14:textId="77777777" w:rsidR="00FE77F4" w:rsidRPr="001A28D2" w:rsidRDefault="00FE77F4" w:rsidP="00334438">
            <w:pPr>
              <w:jc w:val="both"/>
            </w:pPr>
            <w:r w:rsidRPr="001A28D2">
              <w:t>БВП</w:t>
            </w:r>
          </w:p>
        </w:tc>
        <w:tc>
          <w:tcPr>
            <w:tcW w:w="6916" w:type="dxa"/>
            <w:shd w:val="clear" w:color="auto" w:fill="auto"/>
          </w:tcPr>
          <w:p w14:paraId="1122DD36" w14:textId="77777777" w:rsidR="00FE77F4" w:rsidRPr="001A28D2" w:rsidRDefault="00FE77F4" w:rsidP="00334438">
            <w:pPr>
              <w:ind w:left="70"/>
              <w:jc w:val="both"/>
            </w:pPr>
            <w:r w:rsidRPr="001A28D2">
              <w:t>Брутен вътрешен продукт</w:t>
            </w:r>
          </w:p>
        </w:tc>
      </w:tr>
      <w:tr w:rsidR="00FE77F4" w:rsidRPr="001A28D2" w14:paraId="2121F958" w14:textId="77777777" w:rsidTr="00334438">
        <w:tc>
          <w:tcPr>
            <w:tcW w:w="2660" w:type="dxa"/>
            <w:shd w:val="clear" w:color="auto" w:fill="auto"/>
          </w:tcPr>
          <w:p w14:paraId="1C290FD1" w14:textId="77777777" w:rsidR="00FE77F4" w:rsidRPr="001A28D2" w:rsidRDefault="00FE77F4" w:rsidP="00334438">
            <w:pPr>
              <w:jc w:val="both"/>
            </w:pPr>
            <w:r w:rsidRPr="001A28D2">
              <w:t>БНБ</w:t>
            </w:r>
          </w:p>
        </w:tc>
        <w:tc>
          <w:tcPr>
            <w:tcW w:w="6916" w:type="dxa"/>
            <w:shd w:val="clear" w:color="auto" w:fill="auto"/>
          </w:tcPr>
          <w:p w14:paraId="6E507EEB" w14:textId="77777777" w:rsidR="00FE77F4" w:rsidRPr="001A28D2" w:rsidRDefault="00FE77F4" w:rsidP="00334438">
            <w:pPr>
              <w:ind w:left="70"/>
              <w:jc w:val="both"/>
            </w:pPr>
            <w:r w:rsidRPr="001A28D2">
              <w:t>Българска народна банка</w:t>
            </w:r>
          </w:p>
        </w:tc>
      </w:tr>
      <w:tr w:rsidR="00FE77F4" w:rsidRPr="001A28D2" w14:paraId="192CF2DB" w14:textId="77777777" w:rsidTr="00334438">
        <w:tc>
          <w:tcPr>
            <w:tcW w:w="2660" w:type="dxa"/>
            <w:shd w:val="clear" w:color="auto" w:fill="auto"/>
          </w:tcPr>
          <w:p w14:paraId="2F67597F" w14:textId="77777777" w:rsidR="00FE77F4" w:rsidRPr="001A28D2" w:rsidRDefault="00FE77F4" w:rsidP="00334438">
            <w:pPr>
              <w:jc w:val="both"/>
            </w:pPr>
            <w:r w:rsidRPr="001A28D2">
              <w:t>БНР</w:t>
            </w:r>
          </w:p>
        </w:tc>
        <w:tc>
          <w:tcPr>
            <w:tcW w:w="6916" w:type="dxa"/>
            <w:shd w:val="clear" w:color="auto" w:fill="auto"/>
          </w:tcPr>
          <w:p w14:paraId="2AE11D47" w14:textId="77777777" w:rsidR="00FE77F4" w:rsidRPr="001A28D2" w:rsidRDefault="00FE77F4" w:rsidP="00334438">
            <w:pPr>
              <w:ind w:left="70"/>
              <w:jc w:val="both"/>
            </w:pPr>
            <w:r w:rsidRPr="001A28D2">
              <w:t>Българско национално радио</w:t>
            </w:r>
          </w:p>
        </w:tc>
      </w:tr>
      <w:tr w:rsidR="00FE77F4" w:rsidRPr="001A28D2" w14:paraId="2A10374F" w14:textId="77777777" w:rsidTr="00334438">
        <w:tc>
          <w:tcPr>
            <w:tcW w:w="2660" w:type="dxa"/>
            <w:shd w:val="clear" w:color="auto" w:fill="auto"/>
          </w:tcPr>
          <w:p w14:paraId="6C6D68AA" w14:textId="77777777" w:rsidR="00FE77F4" w:rsidRPr="001A28D2" w:rsidRDefault="00FE77F4" w:rsidP="00334438">
            <w:pPr>
              <w:jc w:val="both"/>
            </w:pPr>
            <w:r w:rsidRPr="001A28D2">
              <w:t>БНТ</w:t>
            </w:r>
          </w:p>
        </w:tc>
        <w:tc>
          <w:tcPr>
            <w:tcW w:w="6916" w:type="dxa"/>
            <w:shd w:val="clear" w:color="auto" w:fill="auto"/>
          </w:tcPr>
          <w:p w14:paraId="3C5528EF" w14:textId="77777777" w:rsidR="00FE77F4" w:rsidRPr="001A28D2" w:rsidRDefault="00FE77F4" w:rsidP="00334438">
            <w:pPr>
              <w:ind w:left="70"/>
              <w:jc w:val="both"/>
            </w:pPr>
            <w:r w:rsidRPr="001A28D2">
              <w:t>Българска национална телевизия</w:t>
            </w:r>
          </w:p>
        </w:tc>
      </w:tr>
      <w:tr w:rsidR="00FE77F4" w:rsidRPr="001A28D2" w14:paraId="56AC757E" w14:textId="77777777" w:rsidTr="00334438">
        <w:tc>
          <w:tcPr>
            <w:tcW w:w="2660" w:type="dxa"/>
            <w:shd w:val="clear" w:color="auto" w:fill="auto"/>
          </w:tcPr>
          <w:p w14:paraId="4B26AD69" w14:textId="77777777" w:rsidR="00FE77F4" w:rsidRPr="001A28D2" w:rsidRDefault="00FE77F4" w:rsidP="00334438">
            <w:pPr>
              <w:jc w:val="both"/>
            </w:pPr>
            <w:r w:rsidRPr="001A28D2">
              <w:t>БТА</w:t>
            </w:r>
          </w:p>
        </w:tc>
        <w:tc>
          <w:tcPr>
            <w:tcW w:w="6916" w:type="dxa"/>
            <w:shd w:val="clear" w:color="auto" w:fill="auto"/>
          </w:tcPr>
          <w:p w14:paraId="25D77B93" w14:textId="77777777" w:rsidR="00FE77F4" w:rsidRPr="001A28D2" w:rsidRDefault="00FE77F4" w:rsidP="00334438">
            <w:pPr>
              <w:ind w:left="70"/>
              <w:jc w:val="both"/>
            </w:pPr>
            <w:r w:rsidRPr="001A28D2">
              <w:t>Българска телеграфна агенция</w:t>
            </w:r>
          </w:p>
        </w:tc>
      </w:tr>
      <w:tr w:rsidR="00FE77F4" w:rsidRPr="001A28D2" w14:paraId="09EAA46D" w14:textId="77777777" w:rsidTr="00334438">
        <w:tc>
          <w:tcPr>
            <w:tcW w:w="2660" w:type="dxa"/>
            <w:shd w:val="clear" w:color="auto" w:fill="auto"/>
          </w:tcPr>
          <w:p w14:paraId="31243A5E" w14:textId="77777777" w:rsidR="00FE77F4" w:rsidRPr="001A28D2" w:rsidRDefault="00FE77F4" w:rsidP="00334438">
            <w:pPr>
              <w:jc w:val="both"/>
              <w:rPr>
                <w:color w:val="000000"/>
              </w:rPr>
            </w:pPr>
            <w:r w:rsidRPr="001A28D2">
              <w:rPr>
                <w:color w:val="000000"/>
              </w:rPr>
              <w:t>ВМА</w:t>
            </w:r>
          </w:p>
        </w:tc>
        <w:tc>
          <w:tcPr>
            <w:tcW w:w="6916" w:type="dxa"/>
            <w:shd w:val="clear" w:color="auto" w:fill="auto"/>
          </w:tcPr>
          <w:p w14:paraId="55DFE896" w14:textId="77777777" w:rsidR="00FE77F4" w:rsidRPr="001A28D2" w:rsidRDefault="00FE77F4" w:rsidP="00334438">
            <w:pPr>
              <w:ind w:left="70"/>
              <w:jc w:val="both"/>
            </w:pPr>
            <w:r w:rsidRPr="001A28D2">
              <w:t>Военномедицинска академия</w:t>
            </w:r>
          </w:p>
        </w:tc>
      </w:tr>
      <w:tr w:rsidR="00FE77F4" w:rsidRPr="001A28D2" w14:paraId="0C25872A" w14:textId="77777777" w:rsidTr="00334438">
        <w:tc>
          <w:tcPr>
            <w:tcW w:w="2660" w:type="dxa"/>
            <w:shd w:val="clear" w:color="auto" w:fill="auto"/>
          </w:tcPr>
          <w:p w14:paraId="09B2AC96" w14:textId="77777777" w:rsidR="00FE77F4" w:rsidRPr="001A28D2" w:rsidRDefault="00FE77F4" w:rsidP="00334438">
            <w:pPr>
              <w:jc w:val="both"/>
            </w:pPr>
            <w:r w:rsidRPr="001A28D2">
              <w:t>ДБ</w:t>
            </w:r>
          </w:p>
        </w:tc>
        <w:tc>
          <w:tcPr>
            <w:tcW w:w="6916" w:type="dxa"/>
            <w:shd w:val="clear" w:color="auto" w:fill="auto"/>
          </w:tcPr>
          <w:p w14:paraId="2693B8CE" w14:textId="77777777" w:rsidR="00FE77F4" w:rsidRPr="001A28D2" w:rsidRDefault="00FE77F4" w:rsidP="00334438">
            <w:pPr>
              <w:ind w:left="70"/>
              <w:jc w:val="both"/>
            </w:pPr>
            <w:r w:rsidRPr="001A28D2">
              <w:t>Държавен бюджет</w:t>
            </w:r>
          </w:p>
        </w:tc>
      </w:tr>
      <w:tr w:rsidR="00FE77F4" w:rsidRPr="001A28D2" w14:paraId="23AB6D3B" w14:textId="77777777" w:rsidTr="00334438">
        <w:tc>
          <w:tcPr>
            <w:tcW w:w="2660" w:type="dxa"/>
            <w:shd w:val="clear" w:color="auto" w:fill="auto"/>
          </w:tcPr>
          <w:p w14:paraId="16BEFEF2" w14:textId="77777777" w:rsidR="00FE77F4" w:rsidRPr="001A28D2" w:rsidRDefault="00FE77F4" w:rsidP="00334438">
            <w:pPr>
              <w:jc w:val="both"/>
            </w:pPr>
            <w:r w:rsidRPr="001A28D2">
              <w:t>ДВ</w:t>
            </w:r>
          </w:p>
        </w:tc>
        <w:tc>
          <w:tcPr>
            <w:tcW w:w="6916" w:type="dxa"/>
            <w:shd w:val="clear" w:color="auto" w:fill="auto"/>
          </w:tcPr>
          <w:p w14:paraId="38475598" w14:textId="77777777" w:rsidR="00FE77F4" w:rsidRPr="001A28D2" w:rsidRDefault="00FE77F4" w:rsidP="00334438">
            <w:pPr>
              <w:ind w:left="70"/>
              <w:jc w:val="both"/>
            </w:pPr>
            <w:r w:rsidRPr="001A28D2">
              <w:t>Държавен вестник</w:t>
            </w:r>
          </w:p>
        </w:tc>
      </w:tr>
      <w:tr w:rsidR="00FE77F4" w:rsidRPr="001A28D2" w14:paraId="57A06586" w14:textId="77777777" w:rsidTr="00334438">
        <w:tc>
          <w:tcPr>
            <w:tcW w:w="2660" w:type="dxa"/>
            <w:shd w:val="clear" w:color="auto" w:fill="auto"/>
          </w:tcPr>
          <w:p w14:paraId="028A2F14" w14:textId="77777777" w:rsidR="00FE77F4" w:rsidRPr="001A28D2" w:rsidRDefault="00FE77F4" w:rsidP="00334438">
            <w:pPr>
              <w:jc w:val="both"/>
            </w:pPr>
            <w:r w:rsidRPr="001A28D2">
              <w:t>ДВУ</w:t>
            </w:r>
          </w:p>
        </w:tc>
        <w:tc>
          <w:tcPr>
            <w:tcW w:w="6916" w:type="dxa"/>
            <w:shd w:val="clear" w:color="auto" w:fill="auto"/>
          </w:tcPr>
          <w:p w14:paraId="0A3CC00D" w14:textId="77777777" w:rsidR="00FE77F4" w:rsidRPr="001A28D2" w:rsidRDefault="00FE77F4" w:rsidP="00334438">
            <w:pPr>
              <w:ind w:left="70"/>
              <w:jc w:val="both"/>
            </w:pPr>
            <w:r w:rsidRPr="001A28D2">
              <w:t>Държавно висше училище</w:t>
            </w:r>
          </w:p>
        </w:tc>
      </w:tr>
      <w:tr w:rsidR="00FE77F4" w:rsidRPr="001A28D2" w14:paraId="0F285C05" w14:textId="77777777" w:rsidTr="00334438">
        <w:tc>
          <w:tcPr>
            <w:tcW w:w="2660" w:type="dxa"/>
            <w:shd w:val="clear" w:color="auto" w:fill="auto"/>
          </w:tcPr>
          <w:p w14:paraId="3F63BC5B" w14:textId="77777777" w:rsidR="00FE77F4" w:rsidRPr="001A28D2" w:rsidRDefault="00FE77F4" w:rsidP="00334438">
            <w:pPr>
              <w:jc w:val="both"/>
            </w:pPr>
            <w:r w:rsidRPr="001A28D2">
              <w:t>ДВВУ</w:t>
            </w:r>
          </w:p>
        </w:tc>
        <w:tc>
          <w:tcPr>
            <w:tcW w:w="6916" w:type="dxa"/>
            <w:shd w:val="clear" w:color="auto" w:fill="auto"/>
          </w:tcPr>
          <w:p w14:paraId="703DD52F" w14:textId="77777777" w:rsidR="00FE77F4" w:rsidRPr="001A28D2" w:rsidRDefault="00FE77F4" w:rsidP="00334438">
            <w:pPr>
              <w:ind w:left="70"/>
              <w:jc w:val="both"/>
            </w:pPr>
            <w:r w:rsidRPr="001A28D2">
              <w:t>Държавно висше военно училище</w:t>
            </w:r>
          </w:p>
        </w:tc>
      </w:tr>
      <w:tr w:rsidR="00FE77F4" w:rsidRPr="001A28D2" w14:paraId="59F0A8C4" w14:textId="77777777" w:rsidTr="00334438">
        <w:tc>
          <w:tcPr>
            <w:tcW w:w="2660" w:type="dxa"/>
            <w:shd w:val="clear" w:color="auto" w:fill="auto"/>
          </w:tcPr>
          <w:p w14:paraId="1A5EEDAE" w14:textId="77777777" w:rsidR="00FE77F4" w:rsidRPr="001A28D2" w:rsidRDefault="00FE77F4" w:rsidP="00334438">
            <w:pPr>
              <w:jc w:val="both"/>
            </w:pPr>
            <w:r w:rsidRPr="001A28D2">
              <w:t>ДДС</w:t>
            </w:r>
          </w:p>
        </w:tc>
        <w:tc>
          <w:tcPr>
            <w:tcW w:w="6916" w:type="dxa"/>
            <w:shd w:val="clear" w:color="auto" w:fill="auto"/>
          </w:tcPr>
          <w:p w14:paraId="46D0F916" w14:textId="77777777" w:rsidR="00FE77F4" w:rsidRPr="001A28D2" w:rsidRDefault="00FE77F4" w:rsidP="00334438">
            <w:pPr>
              <w:ind w:left="70"/>
              <w:jc w:val="both"/>
            </w:pPr>
            <w:r w:rsidRPr="001A28D2">
              <w:t>Данък върху добавената стойност</w:t>
            </w:r>
          </w:p>
        </w:tc>
      </w:tr>
      <w:tr w:rsidR="00FE77F4" w:rsidRPr="001A28D2" w14:paraId="0FD7EF7B" w14:textId="77777777" w:rsidTr="00334438">
        <w:tc>
          <w:tcPr>
            <w:tcW w:w="2660" w:type="dxa"/>
            <w:shd w:val="clear" w:color="auto" w:fill="auto"/>
          </w:tcPr>
          <w:p w14:paraId="00875700" w14:textId="77777777" w:rsidR="00FE77F4" w:rsidRPr="001A28D2" w:rsidRDefault="00FE77F4" w:rsidP="00334438">
            <w:pPr>
              <w:jc w:val="both"/>
            </w:pPr>
            <w:r w:rsidRPr="001A28D2">
              <w:t>ДОО</w:t>
            </w:r>
          </w:p>
        </w:tc>
        <w:tc>
          <w:tcPr>
            <w:tcW w:w="6916" w:type="dxa"/>
            <w:shd w:val="clear" w:color="auto" w:fill="auto"/>
          </w:tcPr>
          <w:p w14:paraId="63214EC6" w14:textId="77777777" w:rsidR="00FE77F4" w:rsidRPr="001A28D2" w:rsidRDefault="00FE77F4" w:rsidP="00334438">
            <w:pPr>
              <w:ind w:left="70"/>
              <w:jc w:val="both"/>
            </w:pPr>
            <w:r w:rsidRPr="001A28D2">
              <w:rPr>
                <w:color w:val="000000"/>
              </w:rPr>
              <w:t>Държавно обществено осигуряване</w:t>
            </w:r>
          </w:p>
        </w:tc>
      </w:tr>
      <w:tr w:rsidR="00FE77F4" w:rsidRPr="001A28D2" w14:paraId="73F11D0B" w14:textId="77777777" w:rsidTr="00334438">
        <w:tc>
          <w:tcPr>
            <w:tcW w:w="2660" w:type="dxa"/>
            <w:shd w:val="clear" w:color="auto" w:fill="auto"/>
          </w:tcPr>
          <w:p w14:paraId="6A0AEFB0" w14:textId="77777777" w:rsidR="00FE77F4" w:rsidRPr="001A28D2" w:rsidRDefault="00FE77F4" w:rsidP="00334438">
            <w:pPr>
              <w:jc w:val="both"/>
            </w:pPr>
            <w:r w:rsidRPr="001A28D2">
              <w:t>ДФЗ</w:t>
            </w:r>
          </w:p>
        </w:tc>
        <w:tc>
          <w:tcPr>
            <w:tcW w:w="6916" w:type="dxa"/>
            <w:shd w:val="clear" w:color="auto" w:fill="auto"/>
          </w:tcPr>
          <w:p w14:paraId="409A2102" w14:textId="77777777" w:rsidR="00FE77F4" w:rsidRPr="001A28D2" w:rsidRDefault="00FE77F4" w:rsidP="00334438">
            <w:pPr>
              <w:ind w:left="70"/>
              <w:jc w:val="both"/>
            </w:pPr>
            <w:r w:rsidRPr="001A28D2">
              <w:t>Държавен фонд „Земеделие“</w:t>
            </w:r>
          </w:p>
        </w:tc>
      </w:tr>
      <w:tr w:rsidR="00FE77F4" w:rsidRPr="001A28D2" w14:paraId="7B42D3A9" w14:textId="77777777" w:rsidTr="00334438">
        <w:tc>
          <w:tcPr>
            <w:tcW w:w="2660" w:type="dxa"/>
            <w:shd w:val="clear" w:color="auto" w:fill="auto"/>
          </w:tcPr>
          <w:p w14:paraId="03F42E9A" w14:textId="77777777" w:rsidR="00FE77F4" w:rsidRPr="001A28D2" w:rsidRDefault="00FE77F4" w:rsidP="00334438">
            <w:pPr>
              <w:jc w:val="both"/>
            </w:pPr>
            <w:r w:rsidRPr="001A28D2">
              <w:t>ЕБК</w:t>
            </w:r>
          </w:p>
        </w:tc>
        <w:tc>
          <w:tcPr>
            <w:tcW w:w="6916" w:type="dxa"/>
            <w:shd w:val="clear" w:color="auto" w:fill="auto"/>
          </w:tcPr>
          <w:p w14:paraId="49AC8A4F" w14:textId="77777777" w:rsidR="00FE77F4" w:rsidRPr="001A28D2" w:rsidRDefault="00FE77F4" w:rsidP="00334438">
            <w:pPr>
              <w:ind w:left="70"/>
              <w:jc w:val="both"/>
            </w:pPr>
            <w:r w:rsidRPr="001A28D2">
              <w:t>Единна бюджетна класификация</w:t>
            </w:r>
          </w:p>
        </w:tc>
      </w:tr>
      <w:tr w:rsidR="00FE77F4" w:rsidRPr="001A28D2" w14:paraId="2430BB36" w14:textId="77777777" w:rsidTr="00334438">
        <w:tc>
          <w:tcPr>
            <w:tcW w:w="2660" w:type="dxa"/>
            <w:shd w:val="clear" w:color="auto" w:fill="auto"/>
          </w:tcPr>
          <w:p w14:paraId="4DBEE7DD" w14:textId="77777777" w:rsidR="00FE77F4" w:rsidRPr="001A28D2" w:rsidRDefault="00FE77F4" w:rsidP="00334438">
            <w:pPr>
              <w:jc w:val="both"/>
            </w:pPr>
            <w:r w:rsidRPr="001A28D2">
              <w:t>ЕК</w:t>
            </w:r>
          </w:p>
        </w:tc>
        <w:tc>
          <w:tcPr>
            <w:tcW w:w="6916" w:type="dxa"/>
            <w:shd w:val="clear" w:color="auto" w:fill="auto"/>
          </w:tcPr>
          <w:p w14:paraId="2FD1F1A9" w14:textId="77777777" w:rsidR="00FE77F4" w:rsidRPr="001A28D2" w:rsidRDefault="00FE77F4" w:rsidP="00334438">
            <w:pPr>
              <w:ind w:left="70"/>
              <w:jc w:val="both"/>
            </w:pPr>
            <w:r w:rsidRPr="001A28D2">
              <w:t>Европейска комисия</w:t>
            </w:r>
          </w:p>
        </w:tc>
      </w:tr>
      <w:tr w:rsidR="00FE77F4" w:rsidRPr="001A28D2" w14:paraId="16F3D190" w14:textId="77777777" w:rsidTr="00334438">
        <w:tc>
          <w:tcPr>
            <w:tcW w:w="2660" w:type="dxa"/>
            <w:shd w:val="clear" w:color="auto" w:fill="auto"/>
          </w:tcPr>
          <w:p w14:paraId="7C8ABFC9" w14:textId="77777777" w:rsidR="00FE77F4" w:rsidRPr="001A28D2" w:rsidRDefault="00FE77F4" w:rsidP="00334438">
            <w:pPr>
              <w:jc w:val="both"/>
            </w:pPr>
            <w:r w:rsidRPr="001A28D2">
              <w:t>ЕС</w:t>
            </w:r>
          </w:p>
        </w:tc>
        <w:tc>
          <w:tcPr>
            <w:tcW w:w="6916" w:type="dxa"/>
            <w:shd w:val="clear" w:color="auto" w:fill="auto"/>
          </w:tcPr>
          <w:p w14:paraId="71EC728F" w14:textId="77777777" w:rsidR="00FE77F4" w:rsidRPr="001A28D2" w:rsidRDefault="00FE77F4" w:rsidP="00334438">
            <w:pPr>
              <w:ind w:left="70"/>
              <w:jc w:val="both"/>
            </w:pPr>
            <w:r w:rsidRPr="001A28D2">
              <w:t>Европейски съюз</w:t>
            </w:r>
          </w:p>
        </w:tc>
      </w:tr>
      <w:tr w:rsidR="00FE77F4" w:rsidRPr="001A28D2" w14:paraId="11FEC46A" w14:textId="77777777" w:rsidTr="00334438">
        <w:tc>
          <w:tcPr>
            <w:tcW w:w="2660" w:type="dxa"/>
            <w:shd w:val="clear" w:color="auto" w:fill="auto"/>
          </w:tcPr>
          <w:p w14:paraId="22BB2D4C" w14:textId="77777777" w:rsidR="00FE77F4" w:rsidRPr="001A28D2" w:rsidRDefault="00FE77F4" w:rsidP="00334438">
            <w:pPr>
              <w:jc w:val="both"/>
            </w:pPr>
            <w:r w:rsidRPr="001A28D2">
              <w:t>ЗДБРБ</w:t>
            </w:r>
          </w:p>
        </w:tc>
        <w:tc>
          <w:tcPr>
            <w:tcW w:w="6916" w:type="dxa"/>
            <w:shd w:val="clear" w:color="auto" w:fill="auto"/>
          </w:tcPr>
          <w:p w14:paraId="01C587FE" w14:textId="77777777" w:rsidR="00FE77F4" w:rsidRPr="001A28D2" w:rsidRDefault="00FE77F4" w:rsidP="00334438">
            <w:pPr>
              <w:ind w:left="70"/>
              <w:jc w:val="both"/>
            </w:pPr>
            <w:r w:rsidRPr="001A28D2">
              <w:t>Закон за държавния бюджет на Република България</w:t>
            </w:r>
          </w:p>
        </w:tc>
      </w:tr>
      <w:tr w:rsidR="00FE77F4" w:rsidRPr="001A28D2" w14:paraId="663C81D0" w14:textId="77777777" w:rsidTr="00334438">
        <w:tc>
          <w:tcPr>
            <w:tcW w:w="2660" w:type="dxa"/>
            <w:shd w:val="clear" w:color="auto" w:fill="auto"/>
          </w:tcPr>
          <w:p w14:paraId="75C1BF45" w14:textId="77777777" w:rsidR="00FE77F4" w:rsidRPr="001A28D2" w:rsidRDefault="00FE77F4" w:rsidP="00334438">
            <w:pPr>
              <w:jc w:val="both"/>
            </w:pPr>
            <w:r w:rsidRPr="001A28D2">
              <w:t>ЗДДФЛ</w:t>
            </w:r>
          </w:p>
        </w:tc>
        <w:tc>
          <w:tcPr>
            <w:tcW w:w="6916" w:type="dxa"/>
            <w:shd w:val="clear" w:color="auto" w:fill="auto"/>
          </w:tcPr>
          <w:p w14:paraId="24D3A3B8" w14:textId="77777777" w:rsidR="00FE77F4" w:rsidRPr="001A28D2" w:rsidRDefault="00FE77F4" w:rsidP="00334438">
            <w:pPr>
              <w:ind w:left="70"/>
              <w:jc w:val="both"/>
            </w:pPr>
            <w:r w:rsidRPr="001A28D2">
              <w:t>Закон за данъците върху доходите на физическите лица</w:t>
            </w:r>
          </w:p>
        </w:tc>
      </w:tr>
      <w:tr w:rsidR="00FE77F4" w:rsidRPr="001A28D2" w14:paraId="7FBC8A5D" w14:textId="77777777" w:rsidTr="00334438">
        <w:tc>
          <w:tcPr>
            <w:tcW w:w="2660" w:type="dxa"/>
            <w:shd w:val="clear" w:color="auto" w:fill="auto"/>
          </w:tcPr>
          <w:p w14:paraId="3A4CFCB4" w14:textId="77777777" w:rsidR="00FE77F4" w:rsidRPr="001A28D2" w:rsidRDefault="00FE77F4" w:rsidP="00334438">
            <w:pPr>
              <w:jc w:val="both"/>
            </w:pPr>
            <w:r w:rsidRPr="001A28D2">
              <w:t>ЗЗО</w:t>
            </w:r>
          </w:p>
        </w:tc>
        <w:tc>
          <w:tcPr>
            <w:tcW w:w="6916" w:type="dxa"/>
            <w:shd w:val="clear" w:color="auto" w:fill="auto"/>
          </w:tcPr>
          <w:p w14:paraId="36874DB3" w14:textId="77777777" w:rsidR="00FE77F4" w:rsidRPr="001A28D2" w:rsidRDefault="00FE77F4" w:rsidP="00334438">
            <w:pPr>
              <w:ind w:left="70"/>
              <w:jc w:val="both"/>
            </w:pPr>
            <w:r w:rsidRPr="001A28D2">
              <w:t>Закон за здравното осигуряване</w:t>
            </w:r>
          </w:p>
        </w:tc>
      </w:tr>
      <w:tr w:rsidR="00FE77F4" w:rsidRPr="001A28D2" w14:paraId="1A07CE78" w14:textId="77777777" w:rsidTr="00334438">
        <w:tc>
          <w:tcPr>
            <w:tcW w:w="2660" w:type="dxa"/>
            <w:shd w:val="clear" w:color="auto" w:fill="auto"/>
          </w:tcPr>
          <w:p w14:paraId="7F1516C8" w14:textId="77777777" w:rsidR="00FE77F4" w:rsidRPr="001A28D2" w:rsidRDefault="00FE77F4" w:rsidP="00334438">
            <w:pPr>
              <w:jc w:val="both"/>
            </w:pPr>
            <w:r w:rsidRPr="001A28D2">
              <w:t>ЗКПО</w:t>
            </w:r>
          </w:p>
        </w:tc>
        <w:tc>
          <w:tcPr>
            <w:tcW w:w="6916" w:type="dxa"/>
            <w:shd w:val="clear" w:color="auto" w:fill="auto"/>
          </w:tcPr>
          <w:p w14:paraId="6717E061" w14:textId="77777777" w:rsidR="00FE77F4" w:rsidRPr="001A28D2" w:rsidRDefault="00FE77F4" w:rsidP="00334438">
            <w:pPr>
              <w:ind w:left="70"/>
              <w:jc w:val="both"/>
            </w:pPr>
            <w:r w:rsidRPr="001A28D2">
              <w:t>Закон за корпоративното подоходно облагане</w:t>
            </w:r>
          </w:p>
        </w:tc>
      </w:tr>
      <w:tr w:rsidR="00FE77F4" w:rsidRPr="001A28D2" w14:paraId="178749D0" w14:textId="77777777" w:rsidTr="00334438">
        <w:tc>
          <w:tcPr>
            <w:tcW w:w="2660" w:type="dxa"/>
            <w:shd w:val="clear" w:color="auto" w:fill="auto"/>
          </w:tcPr>
          <w:p w14:paraId="38889448" w14:textId="77777777" w:rsidR="00FE77F4" w:rsidRPr="001A28D2" w:rsidRDefault="00FE77F4" w:rsidP="00334438">
            <w:pPr>
              <w:jc w:val="both"/>
            </w:pPr>
            <w:r w:rsidRPr="001A28D2">
              <w:t>ЗПФ</w:t>
            </w:r>
          </w:p>
        </w:tc>
        <w:tc>
          <w:tcPr>
            <w:tcW w:w="6916" w:type="dxa"/>
            <w:shd w:val="clear" w:color="auto" w:fill="auto"/>
          </w:tcPr>
          <w:p w14:paraId="6AAD5AF5" w14:textId="77777777" w:rsidR="00FE77F4" w:rsidRPr="001A28D2" w:rsidRDefault="00FE77F4" w:rsidP="00334438">
            <w:pPr>
              <w:ind w:left="70"/>
              <w:jc w:val="both"/>
            </w:pPr>
            <w:r w:rsidRPr="001A28D2">
              <w:t>Закон за публичните финанси</w:t>
            </w:r>
          </w:p>
        </w:tc>
      </w:tr>
      <w:tr w:rsidR="00FE77F4" w:rsidRPr="001A28D2" w14:paraId="62CB6CAD" w14:textId="77777777" w:rsidTr="00334438">
        <w:tc>
          <w:tcPr>
            <w:tcW w:w="2660" w:type="dxa"/>
            <w:shd w:val="clear" w:color="auto" w:fill="auto"/>
          </w:tcPr>
          <w:p w14:paraId="3C277E1D" w14:textId="77777777" w:rsidR="00FE77F4" w:rsidRPr="001A28D2" w:rsidRDefault="00FE77F4" w:rsidP="00334438">
            <w:pPr>
              <w:jc w:val="both"/>
            </w:pPr>
            <w:r w:rsidRPr="001A28D2">
              <w:t>ЗСП</w:t>
            </w:r>
          </w:p>
        </w:tc>
        <w:tc>
          <w:tcPr>
            <w:tcW w:w="6916" w:type="dxa"/>
            <w:shd w:val="clear" w:color="auto" w:fill="auto"/>
          </w:tcPr>
          <w:p w14:paraId="521DF84C" w14:textId="77777777" w:rsidR="00FE77F4" w:rsidRPr="001A28D2" w:rsidRDefault="00FE77F4" w:rsidP="00334438">
            <w:pPr>
              <w:ind w:left="70"/>
              <w:jc w:val="both"/>
            </w:pPr>
            <w:r w:rsidRPr="001A28D2">
              <w:t>Закон за Сметната плата</w:t>
            </w:r>
          </w:p>
        </w:tc>
      </w:tr>
      <w:tr w:rsidR="00FE77F4" w:rsidRPr="001A28D2" w14:paraId="6F19DDB4" w14:textId="77777777" w:rsidTr="00334438">
        <w:tc>
          <w:tcPr>
            <w:tcW w:w="2660" w:type="dxa"/>
            <w:shd w:val="clear" w:color="auto" w:fill="auto"/>
          </w:tcPr>
          <w:p w14:paraId="3115065C" w14:textId="77777777" w:rsidR="00FE77F4" w:rsidRPr="001A28D2" w:rsidRDefault="00FE77F4" w:rsidP="00334438">
            <w:pPr>
              <w:jc w:val="both"/>
            </w:pPr>
            <w:r w:rsidRPr="001A28D2">
              <w:rPr>
                <w:color w:val="000000"/>
              </w:rPr>
              <w:t>КЕВР</w:t>
            </w:r>
          </w:p>
        </w:tc>
        <w:tc>
          <w:tcPr>
            <w:tcW w:w="6916" w:type="dxa"/>
            <w:shd w:val="clear" w:color="auto" w:fill="auto"/>
          </w:tcPr>
          <w:p w14:paraId="0EA1C547" w14:textId="77777777" w:rsidR="00FE77F4" w:rsidRPr="001A28D2" w:rsidRDefault="00FE77F4" w:rsidP="00334438">
            <w:pPr>
              <w:ind w:left="70"/>
              <w:jc w:val="both"/>
            </w:pPr>
            <w:r w:rsidRPr="001A28D2">
              <w:t>Комисия за енергийно и водно регулиране</w:t>
            </w:r>
          </w:p>
        </w:tc>
      </w:tr>
      <w:tr w:rsidR="00FE77F4" w:rsidRPr="001A28D2" w14:paraId="1AFE603B" w14:textId="77777777" w:rsidTr="00334438">
        <w:tc>
          <w:tcPr>
            <w:tcW w:w="2660" w:type="dxa"/>
            <w:shd w:val="clear" w:color="auto" w:fill="auto"/>
          </w:tcPr>
          <w:p w14:paraId="4E5B22F9" w14:textId="77777777" w:rsidR="00FE77F4" w:rsidRPr="001A28D2" w:rsidRDefault="00FE77F4" w:rsidP="00334438">
            <w:pPr>
              <w:jc w:val="both"/>
            </w:pPr>
            <w:r w:rsidRPr="001A28D2">
              <w:rPr>
                <w:color w:val="000000"/>
              </w:rPr>
              <w:t>КОНПИ</w:t>
            </w:r>
          </w:p>
        </w:tc>
        <w:tc>
          <w:tcPr>
            <w:tcW w:w="6916" w:type="dxa"/>
            <w:shd w:val="clear" w:color="auto" w:fill="auto"/>
          </w:tcPr>
          <w:p w14:paraId="1959898B" w14:textId="77777777" w:rsidR="00FE77F4" w:rsidRPr="001A28D2" w:rsidRDefault="00FE77F4" w:rsidP="00334438">
            <w:pPr>
              <w:ind w:left="70"/>
              <w:jc w:val="both"/>
            </w:pPr>
            <w:r w:rsidRPr="001A28D2">
              <w:t>Комисия за отнемане на незаконно придобито имущество</w:t>
            </w:r>
          </w:p>
        </w:tc>
      </w:tr>
      <w:tr w:rsidR="00FE77F4" w:rsidRPr="001A28D2" w14:paraId="761EC892" w14:textId="77777777" w:rsidTr="00334438">
        <w:tc>
          <w:tcPr>
            <w:tcW w:w="2660" w:type="dxa"/>
            <w:shd w:val="clear" w:color="auto" w:fill="auto"/>
          </w:tcPr>
          <w:p w14:paraId="2BBE7CE5" w14:textId="77777777" w:rsidR="00FE77F4" w:rsidRPr="001A28D2" w:rsidRDefault="00FE77F4" w:rsidP="00334438">
            <w:pPr>
              <w:jc w:val="both"/>
              <w:rPr>
                <w:color w:val="000000"/>
              </w:rPr>
            </w:pPr>
            <w:r w:rsidRPr="001A28D2">
              <w:rPr>
                <w:color w:val="000000"/>
              </w:rPr>
              <w:t>КСО</w:t>
            </w:r>
          </w:p>
        </w:tc>
        <w:tc>
          <w:tcPr>
            <w:tcW w:w="6916" w:type="dxa"/>
            <w:shd w:val="clear" w:color="auto" w:fill="auto"/>
          </w:tcPr>
          <w:p w14:paraId="45CA1F47" w14:textId="77777777" w:rsidR="00FE77F4" w:rsidRPr="001A28D2" w:rsidRDefault="00FE77F4" w:rsidP="00334438">
            <w:pPr>
              <w:ind w:left="70"/>
              <w:jc w:val="both"/>
            </w:pPr>
            <w:r w:rsidRPr="001A28D2">
              <w:t>Кодекс за социално осигуряване</w:t>
            </w:r>
          </w:p>
        </w:tc>
      </w:tr>
      <w:tr w:rsidR="00FE77F4" w:rsidRPr="001A28D2" w14:paraId="6664C441" w14:textId="77777777" w:rsidTr="00334438">
        <w:tc>
          <w:tcPr>
            <w:tcW w:w="2660" w:type="dxa"/>
            <w:shd w:val="clear" w:color="auto" w:fill="auto"/>
          </w:tcPr>
          <w:p w14:paraId="16018AD1" w14:textId="77777777" w:rsidR="00FE77F4" w:rsidRPr="001A28D2" w:rsidRDefault="00FE77F4" w:rsidP="00334438">
            <w:pPr>
              <w:jc w:val="both"/>
              <w:rPr>
                <w:color w:val="000000"/>
              </w:rPr>
            </w:pPr>
            <w:r w:rsidRPr="001A28D2">
              <w:rPr>
                <w:color w:val="000000"/>
              </w:rPr>
              <w:t>КФН</w:t>
            </w:r>
          </w:p>
        </w:tc>
        <w:tc>
          <w:tcPr>
            <w:tcW w:w="6916" w:type="dxa"/>
            <w:shd w:val="clear" w:color="auto" w:fill="auto"/>
          </w:tcPr>
          <w:p w14:paraId="54373E7B" w14:textId="77777777" w:rsidR="00FE77F4" w:rsidRPr="001A28D2" w:rsidRDefault="00FE77F4" w:rsidP="00334438">
            <w:pPr>
              <w:ind w:left="70"/>
              <w:jc w:val="both"/>
            </w:pPr>
            <w:r w:rsidRPr="001A28D2">
              <w:t>Комисия за финансов надзор</w:t>
            </w:r>
          </w:p>
        </w:tc>
      </w:tr>
      <w:tr w:rsidR="00FE77F4" w:rsidRPr="001A28D2" w14:paraId="54190870" w14:textId="77777777" w:rsidTr="00334438">
        <w:tc>
          <w:tcPr>
            <w:tcW w:w="2660" w:type="dxa"/>
            <w:shd w:val="clear" w:color="auto" w:fill="auto"/>
          </w:tcPr>
          <w:p w14:paraId="42C9EE12" w14:textId="77777777" w:rsidR="00FE77F4" w:rsidRPr="001A28D2" w:rsidRDefault="00FE77F4" w:rsidP="00334438">
            <w:pPr>
              <w:jc w:val="both"/>
              <w:rPr>
                <w:color w:val="000000"/>
              </w:rPr>
            </w:pPr>
            <w:r w:rsidRPr="001A28D2">
              <w:rPr>
                <w:color w:val="000000"/>
              </w:rPr>
              <w:t>КФП</w:t>
            </w:r>
          </w:p>
        </w:tc>
        <w:tc>
          <w:tcPr>
            <w:tcW w:w="6916" w:type="dxa"/>
            <w:shd w:val="clear" w:color="auto" w:fill="auto"/>
          </w:tcPr>
          <w:p w14:paraId="57BEF710" w14:textId="77777777" w:rsidR="00FE77F4" w:rsidRPr="001A28D2" w:rsidRDefault="00FE77F4" w:rsidP="00334438">
            <w:pPr>
              <w:ind w:left="70"/>
              <w:jc w:val="both"/>
            </w:pPr>
            <w:r w:rsidRPr="001A28D2">
              <w:t>Консолидирана фискална програма</w:t>
            </w:r>
          </w:p>
        </w:tc>
      </w:tr>
      <w:tr w:rsidR="00FE77F4" w:rsidRPr="001A28D2" w14:paraId="48FB3E2C" w14:textId="77777777" w:rsidTr="00334438">
        <w:tc>
          <w:tcPr>
            <w:tcW w:w="2660" w:type="dxa"/>
            <w:shd w:val="clear" w:color="auto" w:fill="auto"/>
            <w:vAlign w:val="center"/>
          </w:tcPr>
          <w:p w14:paraId="5F65928B" w14:textId="77777777" w:rsidR="00FE77F4" w:rsidRPr="001A28D2" w:rsidRDefault="00FE77F4" w:rsidP="00334438">
            <w:pPr>
              <w:jc w:val="both"/>
              <w:rPr>
                <w:color w:val="000000"/>
              </w:rPr>
            </w:pPr>
            <w:r w:rsidRPr="001A28D2">
              <w:rPr>
                <w:color w:val="000000"/>
              </w:rPr>
              <w:t>МЗ</w:t>
            </w:r>
          </w:p>
        </w:tc>
        <w:tc>
          <w:tcPr>
            <w:tcW w:w="6916" w:type="dxa"/>
            <w:shd w:val="clear" w:color="auto" w:fill="auto"/>
          </w:tcPr>
          <w:p w14:paraId="56B3C0E0" w14:textId="77777777" w:rsidR="00FE77F4" w:rsidRPr="001A28D2" w:rsidRDefault="00FE77F4" w:rsidP="00334438">
            <w:pPr>
              <w:ind w:left="70"/>
              <w:jc w:val="both"/>
            </w:pPr>
            <w:r w:rsidRPr="001A28D2">
              <w:t>Министерство на здравеопазването</w:t>
            </w:r>
          </w:p>
        </w:tc>
      </w:tr>
      <w:tr w:rsidR="00FE77F4" w:rsidRPr="001A28D2" w14:paraId="71984EF9" w14:textId="77777777" w:rsidTr="00334438">
        <w:tc>
          <w:tcPr>
            <w:tcW w:w="2660" w:type="dxa"/>
            <w:shd w:val="clear" w:color="auto" w:fill="auto"/>
            <w:vAlign w:val="center"/>
          </w:tcPr>
          <w:p w14:paraId="698CEDEE" w14:textId="77777777" w:rsidR="00FE77F4" w:rsidRPr="001A28D2" w:rsidRDefault="00FE77F4" w:rsidP="00334438">
            <w:pPr>
              <w:jc w:val="both"/>
              <w:rPr>
                <w:color w:val="000000"/>
              </w:rPr>
            </w:pPr>
            <w:r w:rsidRPr="001A28D2">
              <w:rPr>
                <w:color w:val="000000"/>
              </w:rPr>
              <w:t>МЗХ</w:t>
            </w:r>
          </w:p>
        </w:tc>
        <w:tc>
          <w:tcPr>
            <w:tcW w:w="6916" w:type="dxa"/>
            <w:shd w:val="clear" w:color="auto" w:fill="auto"/>
          </w:tcPr>
          <w:p w14:paraId="5E90BC65" w14:textId="77777777" w:rsidR="00FE77F4" w:rsidRPr="001A28D2" w:rsidRDefault="00FE77F4" w:rsidP="00334438">
            <w:pPr>
              <w:ind w:left="70"/>
              <w:jc w:val="both"/>
            </w:pPr>
            <w:r w:rsidRPr="001A28D2">
              <w:t>Министерство на земеделието и храните</w:t>
            </w:r>
          </w:p>
        </w:tc>
      </w:tr>
      <w:tr w:rsidR="00FE77F4" w:rsidRPr="001A28D2" w14:paraId="4A8BD7C5" w14:textId="77777777" w:rsidTr="00334438">
        <w:tc>
          <w:tcPr>
            <w:tcW w:w="2660" w:type="dxa"/>
            <w:shd w:val="clear" w:color="auto" w:fill="auto"/>
            <w:vAlign w:val="center"/>
          </w:tcPr>
          <w:p w14:paraId="7B1A8FF4" w14:textId="77777777" w:rsidR="00FE77F4" w:rsidRPr="001A28D2" w:rsidRDefault="00FE77F4" w:rsidP="00334438">
            <w:pPr>
              <w:jc w:val="both"/>
              <w:rPr>
                <w:color w:val="000000"/>
              </w:rPr>
            </w:pPr>
            <w:r w:rsidRPr="001A28D2">
              <w:rPr>
                <w:color w:val="000000"/>
              </w:rPr>
              <w:t>МК</w:t>
            </w:r>
          </w:p>
        </w:tc>
        <w:tc>
          <w:tcPr>
            <w:tcW w:w="6916" w:type="dxa"/>
            <w:shd w:val="clear" w:color="auto" w:fill="auto"/>
          </w:tcPr>
          <w:p w14:paraId="45117A41" w14:textId="77777777" w:rsidR="00FE77F4" w:rsidRPr="001A28D2" w:rsidRDefault="00FE77F4" w:rsidP="00334438">
            <w:pPr>
              <w:ind w:left="70"/>
              <w:jc w:val="both"/>
            </w:pPr>
            <w:r w:rsidRPr="001A28D2">
              <w:t>Министерство на културата</w:t>
            </w:r>
          </w:p>
        </w:tc>
      </w:tr>
      <w:tr w:rsidR="00FE77F4" w:rsidRPr="001A28D2" w14:paraId="698D7B16" w14:textId="77777777" w:rsidTr="00334438">
        <w:tc>
          <w:tcPr>
            <w:tcW w:w="2660" w:type="dxa"/>
            <w:shd w:val="clear" w:color="auto" w:fill="auto"/>
            <w:vAlign w:val="center"/>
          </w:tcPr>
          <w:p w14:paraId="71E17755" w14:textId="77777777" w:rsidR="00FE77F4" w:rsidRPr="001A28D2" w:rsidRDefault="00FE77F4" w:rsidP="00334438">
            <w:pPr>
              <w:jc w:val="both"/>
              <w:rPr>
                <w:color w:val="000000"/>
              </w:rPr>
            </w:pPr>
            <w:r w:rsidRPr="001A28D2">
              <w:rPr>
                <w:color w:val="000000"/>
              </w:rPr>
              <w:t>МО</w:t>
            </w:r>
          </w:p>
        </w:tc>
        <w:tc>
          <w:tcPr>
            <w:tcW w:w="6916" w:type="dxa"/>
            <w:shd w:val="clear" w:color="auto" w:fill="auto"/>
          </w:tcPr>
          <w:p w14:paraId="71ABDEC1" w14:textId="77777777" w:rsidR="00FE77F4" w:rsidRPr="001A28D2" w:rsidRDefault="00FE77F4" w:rsidP="00334438">
            <w:pPr>
              <w:ind w:left="70"/>
              <w:jc w:val="both"/>
            </w:pPr>
            <w:r w:rsidRPr="001A28D2">
              <w:t>Министерство на отбраната</w:t>
            </w:r>
          </w:p>
        </w:tc>
      </w:tr>
      <w:tr w:rsidR="00FE77F4" w:rsidRPr="001A28D2" w14:paraId="54E0AA37" w14:textId="77777777" w:rsidTr="00334438">
        <w:tc>
          <w:tcPr>
            <w:tcW w:w="2660" w:type="dxa"/>
            <w:shd w:val="clear" w:color="auto" w:fill="auto"/>
            <w:vAlign w:val="center"/>
          </w:tcPr>
          <w:p w14:paraId="73B7E743" w14:textId="77777777" w:rsidR="00FE77F4" w:rsidRPr="001A28D2" w:rsidRDefault="00FE77F4" w:rsidP="00334438">
            <w:pPr>
              <w:jc w:val="both"/>
              <w:rPr>
                <w:color w:val="000000"/>
              </w:rPr>
            </w:pPr>
            <w:r w:rsidRPr="001A28D2">
              <w:rPr>
                <w:color w:val="000000"/>
              </w:rPr>
              <w:t>МОН</w:t>
            </w:r>
          </w:p>
        </w:tc>
        <w:tc>
          <w:tcPr>
            <w:tcW w:w="6916" w:type="dxa"/>
            <w:shd w:val="clear" w:color="auto" w:fill="auto"/>
          </w:tcPr>
          <w:p w14:paraId="712FE13C" w14:textId="77777777" w:rsidR="00FE77F4" w:rsidRPr="001A28D2" w:rsidRDefault="00FE77F4" w:rsidP="00334438">
            <w:pPr>
              <w:ind w:left="70"/>
              <w:jc w:val="both"/>
            </w:pPr>
            <w:r w:rsidRPr="001A28D2">
              <w:t>Министерство на образованието и науката</w:t>
            </w:r>
          </w:p>
        </w:tc>
      </w:tr>
      <w:tr w:rsidR="00FE77F4" w:rsidRPr="001A28D2" w14:paraId="3D291F12" w14:textId="77777777" w:rsidTr="00334438">
        <w:tc>
          <w:tcPr>
            <w:tcW w:w="2660" w:type="dxa"/>
            <w:shd w:val="clear" w:color="auto" w:fill="auto"/>
            <w:vAlign w:val="center"/>
          </w:tcPr>
          <w:p w14:paraId="49EEDDB7" w14:textId="77777777" w:rsidR="00FE77F4" w:rsidRPr="001A28D2" w:rsidRDefault="00FE77F4" w:rsidP="00334438">
            <w:pPr>
              <w:jc w:val="both"/>
              <w:rPr>
                <w:color w:val="000000"/>
              </w:rPr>
            </w:pPr>
            <w:r w:rsidRPr="001A28D2">
              <w:rPr>
                <w:color w:val="000000"/>
              </w:rPr>
              <w:t>МРРБ</w:t>
            </w:r>
          </w:p>
        </w:tc>
        <w:tc>
          <w:tcPr>
            <w:tcW w:w="6916" w:type="dxa"/>
            <w:shd w:val="clear" w:color="auto" w:fill="auto"/>
          </w:tcPr>
          <w:p w14:paraId="6BBC983C" w14:textId="77777777" w:rsidR="00FE77F4" w:rsidRPr="001A28D2" w:rsidRDefault="00FE77F4" w:rsidP="00334438">
            <w:pPr>
              <w:ind w:left="70"/>
              <w:jc w:val="both"/>
            </w:pPr>
            <w:r w:rsidRPr="001A28D2">
              <w:t>Министерство на регионалното развитие и благоустройството</w:t>
            </w:r>
          </w:p>
        </w:tc>
      </w:tr>
      <w:tr w:rsidR="00FE77F4" w:rsidRPr="001A28D2" w14:paraId="3939D572" w14:textId="77777777" w:rsidTr="00334438">
        <w:tc>
          <w:tcPr>
            <w:tcW w:w="2660" w:type="dxa"/>
            <w:shd w:val="clear" w:color="auto" w:fill="auto"/>
            <w:vAlign w:val="center"/>
          </w:tcPr>
          <w:p w14:paraId="6D99D751" w14:textId="77777777" w:rsidR="00FE77F4" w:rsidRPr="001A28D2" w:rsidRDefault="00FE77F4" w:rsidP="00334438">
            <w:pPr>
              <w:jc w:val="both"/>
              <w:rPr>
                <w:color w:val="000000"/>
              </w:rPr>
            </w:pPr>
            <w:r w:rsidRPr="001A28D2">
              <w:rPr>
                <w:color w:val="000000"/>
              </w:rPr>
              <w:t>МС</w:t>
            </w:r>
          </w:p>
        </w:tc>
        <w:tc>
          <w:tcPr>
            <w:tcW w:w="6916" w:type="dxa"/>
            <w:shd w:val="clear" w:color="auto" w:fill="auto"/>
          </w:tcPr>
          <w:p w14:paraId="41E64034" w14:textId="77777777" w:rsidR="00FE77F4" w:rsidRPr="001A28D2" w:rsidRDefault="00FE77F4" w:rsidP="00334438">
            <w:pPr>
              <w:ind w:left="70"/>
              <w:jc w:val="both"/>
            </w:pPr>
            <w:r w:rsidRPr="001A28D2">
              <w:t>Министерски съвет</w:t>
            </w:r>
          </w:p>
        </w:tc>
      </w:tr>
      <w:tr w:rsidR="00FE77F4" w:rsidRPr="001A28D2" w14:paraId="5851E1F6" w14:textId="77777777" w:rsidTr="00334438">
        <w:tc>
          <w:tcPr>
            <w:tcW w:w="2660" w:type="dxa"/>
            <w:shd w:val="clear" w:color="auto" w:fill="auto"/>
            <w:vAlign w:val="center"/>
          </w:tcPr>
          <w:p w14:paraId="7ABE45FC" w14:textId="77777777" w:rsidR="00FE77F4" w:rsidRPr="001A28D2" w:rsidRDefault="00FE77F4" w:rsidP="00334438">
            <w:pPr>
              <w:jc w:val="both"/>
              <w:rPr>
                <w:color w:val="000000"/>
              </w:rPr>
            </w:pPr>
            <w:r w:rsidRPr="001A28D2">
              <w:rPr>
                <w:color w:val="000000"/>
              </w:rPr>
              <w:t>МТИТС</w:t>
            </w:r>
          </w:p>
        </w:tc>
        <w:tc>
          <w:tcPr>
            <w:tcW w:w="6916" w:type="dxa"/>
            <w:shd w:val="clear" w:color="auto" w:fill="auto"/>
          </w:tcPr>
          <w:p w14:paraId="708FD100" w14:textId="77777777" w:rsidR="00FE77F4" w:rsidRPr="001A28D2" w:rsidRDefault="00FE77F4" w:rsidP="00334438">
            <w:pPr>
              <w:ind w:left="70"/>
              <w:jc w:val="both"/>
            </w:pPr>
            <w:r w:rsidRPr="001A28D2">
              <w:t>Министерство на транспорта, информационните технологии и съобщенията</w:t>
            </w:r>
          </w:p>
        </w:tc>
      </w:tr>
      <w:tr w:rsidR="00FE77F4" w:rsidRPr="001A28D2" w14:paraId="0282E918" w14:textId="77777777" w:rsidTr="00334438">
        <w:tc>
          <w:tcPr>
            <w:tcW w:w="2660" w:type="dxa"/>
            <w:shd w:val="clear" w:color="auto" w:fill="auto"/>
          </w:tcPr>
          <w:p w14:paraId="58568909" w14:textId="77777777" w:rsidR="00FE77F4" w:rsidRPr="001A28D2" w:rsidRDefault="00FE77F4" w:rsidP="00334438">
            <w:pPr>
              <w:jc w:val="both"/>
            </w:pPr>
            <w:r w:rsidRPr="001A28D2">
              <w:t>МТСП</w:t>
            </w:r>
          </w:p>
        </w:tc>
        <w:tc>
          <w:tcPr>
            <w:tcW w:w="6916" w:type="dxa"/>
            <w:shd w:val="clear" w:color="auto" w:fill="auto"/>
          </w:tcPr>
          <w:p w14:paraId="0AD402FA" w14:textId="77777777" w:rsidR="00FE77F4" w:rsidRPr="001A28D2" w:rsidRDefault="00FE77F4" w:rsidP="00334438">
            <w:pPr>
              <w:ind w:left="70"/>
              <w:jc w:val="both"/>
            </w:pPr>
            <w:r w:rsidRPr="001A28D2">
              <w:t>Министерство на труда и социалната политика</w:t>
            </w:r>
          </w:p>
        </w:tc>
      </w:tr>
      <w:tr w:rsidR="00FE77F4" w:rsidRPr="001A28D2" w14:paraId="32CF3511" w14:textId="77777777" w:rsidTr="00334438">
        <w:tc>
          <w:tcPr>
            <w:tcW w:w="2660" w:type="dxa"/>
            <w:shd w:val="clear" w:color="auto" w:fill="auto"/>
          </w:tcPr>
          <w:p w14:paraId="73350100" w14:textId="77777777" w:rsidR="00FE77F4" w:rsidRPr="001A28D2" w:rsidRDefault="00FE77F4" w:rsidP="00334438">
            <w:pPr>
              <w:jc w:val="both"/>
            </w:pPr>
            <w:r w:rsidRPr="001A28D2">
              <w:t>МФ</w:t>
            </w:r>
          </w:p>
        </w:tc>
        <w:tc>
          <w:tcPr>
            <w:tcW w:w="6916" w:type="dxa"/>
            <w:shd w:val="clear" w:color="auto" w:fill="auto"/>
          </w:tcPr>
          <w:p w14:paraId="5374618D" w14:textId="77777777" w:rsidR="00FE77F4" w:rsidRPr="001A28D2" w:rsidRDefault="00FE77F4" w:rsidP="00334438">
            <w:pPr>
              <w:ind w:left="70"/>
              <w:jc w:val="both"/>
            </w:pPr>
            <w:r w:rsidRPr="001A28D2">
              <w:t>Министерство на финансите</w:t>
            </w:r>
          </w:p>
        </w:tc>
      </w:tr>
      <w:tr w:rsidR="00FE77F4" w:rsidRPr="001A28D2" w14:paraId="29494BCE" w14:textId="77777777" w:rsidTr="00334438">
        <w:tc>
          <w:tcPr>
            <w:tcW w:w="2660" w:type="dxa"/>
            <w:shd w:val="clear" w:color="auto" w:fill="auto"/>
          </w:tcPr>
          <w:p w14:paraId="523394A8" w14:textId="77777777" w:rsidR="00FE77F4" w:rsidRPr="001A28D2" w:rsidRDefault="00FE77F4" w:rsidP="00334438">
            <w:pPr>
              <w:jc w:val="both"/>
            </w:pPr>
            <w:r w:rsidRPr="001A28D2">
              <w:t>НАП</w:t>
            </w:r>
          </w:p>
        </w:tc>
        <w:tc>
          <w:tcPr>
            <w:tcW w:w="6916" w:type="dxa"/>
            <w:shd w:val="clear" w:color="auto" w:fill="auto"/>
          </w:tcPr>
          <w:p w14:paraId="1FDAD5D0" w14:textId="77777777" w:rsidR="00FE77F4" w:rsidRPr="001A28D2" w:rsidRDefault="00FE77F4" w:rsidP="00334438">
            <w:pPr>
              <w:ind w:left="70"/>
              <w:jc w:val="both"/>
            </w:pPr>
            <w:r w:rsidRPr="001A28D2">
              <w:t>Национална агенция по приходите</w:t>
            </w:r>
          </w:p>
        </w:tc>
      </w:tr>
      <w:tr w:rsidR="00FE77F4" w:rsidRPr="001A28D2" w14:paraId="24AE7BC8" w14:textId="77777777" w:rsidTr="00334438">
        <w:tc>
          <w:tcPr>
            <w:tcW w:w="2660" w:type="dxa"/>
            <w:shd w:val="clear" w:color="auto" w:fill="auto"/>
          </w:tcPr>
          <w:p w14:paraId="7BEDDCFF" w14:textId="77777777" w:rsidR="00FE77F4" w:rsidRPr="001A28D2" w:rsidRDefault="00FE77F4" w:rsidP="00334438">
            <w:pPr>
              <w:jc w:val="both"/>
            </w:pPr>
            <w:r w:rsidRPr="001A28D2">
              <w:lastRenderedPageBreak/>
              <w:t>НЗОК</w:t>
            </w:r>
          </w:p>
        </w:tc>
        <w:tc>
          <w:tcPr>
            <w:tcW w:w="6916" w:type="dxa"/>
            <w:shd w:val="clear" w:color="auto" w:fill="auto"/>
          </w:tcPr>
          <w:p w14:paraId="6F44278F" w14:textId="77777777" w:rsidR="00FE77F4" w:rsidRPr="001A28D2" w:rsidRDefault="00FE77F4" w:rsidP="00334438">
            <w:pPr>
              <w:ind w:left="70"/>
              <w:jc w:val="both"/>
            </w:pPr>
            <w:r w:rsidRPr="001A28D2">
              <w:t>Национална здравноосигурителна каса</w:t>
            </w:r>
          </w:p>
        </w:tc>
      </w:tr>
      <w:tr w:rsidR="00FE77F4" w:rsidRPr="001A28D2" w14:paraId="65CD4BC4" w14:textId="77777777" w:rsidTr="00334438">
        <w:tc>
          <w:tcPr>
            <w:tcW w:w="2660" w:type="dxa"/>
            <w:shd w:val="clear" w:color="auto" w:fill="auto"/>
          </w:tcPr>
          <w:p w14:paraId="54CF719C" w14:textId="77777777" w:rsidR="00FE77F4" w:rsidRPr="001A28D2" w:rsidRDefault="00FE77F4" w:rsidP="00334438">
            <w:pPr>
              <w:jc w:val="both"/>
            </w:pPr>
            <w:r w:rsidRPr="001A28D2">
              <w:t>НОИ</w:t>
            </w:r>
          </w:p>
        </w:tc>
        <w:tc>
          <w:tcPr>
            <w:tcW w:w="6916" w:type="dxa"/>
            <w:shd w:val="clear" w:color="auto" w:fill="auto"/>
          </w:tcPr>
          <w:p w14:paraId="3546523A" w14:textId="77777777" w:rsidR="00FE77F4" w:rsidRPr="001A28D2" w:rsidRDefault="00FE77F4" w:rsidP="00334438">
            <w:pPr>
              <w:ind w:left="70"/>
              <w:jc w:val="both"/>
            </w:pPr>
            <w:r w:rsidRPr="001A28D2">
              <w:t>Национален осигурителен институт</w:t>
            </w:r>
          </w:p>
        </w:tc>
      </w:tr>
      <w:tr w:rsidR="00FE77F4" w:rsidRPr="001A28D2" w14:paraId="1332B36B" w14:textId="77777777" w:rsidTr="00334438">
        <w:tc>
          <w:tcPr>
            <w:tcW w:w="2660" w:type="dxa"/>
            <w:shd w:val="clear" w:color="auto" w:fill="auto"/>
          </w:tcPr>
          <w:p w14:paraId="0FE09019" w14:textId="77777777" w:rsidR="00FE77F4" w:rsidRPr="001A28D2" w:rsidRDefault="00FE77F4" w:rsidP="00334438">
            <w:pPr>
              <w:jc w:val="both"/>
            </w:pPr>
            <w:r w:rsidRPr="001A28D2">
              <w:t>НС</w:t>
            </w:r>
          </w:p>
        </w:tc>
        <w:tc>
          <w:tcPr>
            <w:tcW w:w="6916" w:type="dxa"/>
            <w:shd w:val="clear" w:color="auto" w:fill="auto"/>
          </w:tcPr>
          <w:p w14:paraId="3504C628" w14:textId="77777777" w:rsidR="00FE77F4" w:rsidRPr="001A28D2" w:rsidRDefault="00FE77F4" w:rsidP="00334438">
            <w:pPr>
              <w:ind w:left="70"/>
              <w:jc w:val="both"/>
            </w:pPr>
            <w:r w:rsidRPr="001A28D2">
              <w:t>Народно събрание</w:t>
            </w:r>
          </w:p>
        </w:tc>
      </w:tr>
      <w:tr w:rsidR="00FE77F4" w:rsidRPr="001A28D2" w14:paraId="13071029" w14:textId="77777777" w:rsidTr="00334438">
        <w:tc>
          <w:tcPr>
            <w:tcW w:w="2660" w:type="dxa"/>
            <w:shd w:val="clear" w:color="auto" w:fill="auto"/>
          </w:tcPr>
          <w:p w14:paraId="1B19BCE8" w14:textId="77777777" w:rsidR="00FE77F4" w:rsidRPr="001A28D2" w:rsidRDefault="00FE77F4" w:rsidP="00334438">
            <w:pPr>
              <w:jc w:val="both"/>
            </w:pPr>
            <w:r w:rsidRPr="001A28D2">
              <w:t>НСИ</w:t>
            </w:r>
          </w:p>
        </w:tc>
        <w:tc>
          <w:tcPr>
            <w:tcW w:w="6916" w:type="dxa"/>
            <w:shd w:val="clear" w:color="auto" w:fill="auto"/>
          </w:tcPr>
          <w:p w14:paraId="4570CA20" w14:textId="77777777" w:rsidR="00FE77F4" w:rsidRPr="001A28D2" w:rsidRDefault="00FE77F4" w:rsidP="00334438">
            <w:pPr>
              <w:ind w:left="70"/>
              <w:jc w:val="both"/>
            </w:pPr>
            <w:r w:rsidRPr="001A28D2">
              <w:t>Национален статистически институт</w:t>
            </w:r>
          </w:p>
        </w:tc>
      </w:tr>
      <w:tr w:rsidR="00FE77F4" w:rsidRPr="001A28D2" w14:paraId="6CCEB071" w14:textId="77777777" w:rsidTr="00334438">
        <w:tc>
          <w:tcPr>
            <w:tcW w:w="2660" w:type="dxa"/>
            <w:shd w:val="clear" w:color="auto" w:fill="auto"/>
          </w:tcPr>
          <w:p w14:paraId="1103A2E7" w14:textId="77777777" w:rsidR="00FE77F4" w:rsidRPr="001A28D2" w:rsidRDefault="00FE77F4" w:rsidP="00334438">
            <w:pPr>
              <w:jc w:val="both"/>
            </w:pPr>
            <w:r w:rsidRPr="001A28D2">
              <w:t>НСОРБ</w:t>
            </w:r>
          </w:p>
        </w:tc>
        <w:tc>
          <w:tcPr>
            <w:tcW w:w="6916" w:type="dxa"/>
            <w:shd w:val="clear" w:color="auto" w:fill="auto"/>
          </w:tcPr>
          <w:p w14:paraId="538D3FA0" w14:textId="77777777" w:rsidR="00FE77F4" w:rsidRPr="001A28D2" w:rsidRDefault="00FE77F4" w:rsidP="00334438">
            <w:pPr>
              <w:ind w:left="70"/>
              <w:jc w:val="both"/>
            </w:pPr>
            <w:r w:rsidRPr="001A28D2">
              <w:t>Национално сдружение на общините в Република България</w:t>
            </w:r>
          </w:p>
        </w:tc>
      </w:tr>
      <w:tr w:rsidR="00FE77F4" w:rsidRPr="001A28D2" w14:paraId="37D064A8" w14:textId="77777777" w:rsidTr="00334438">
        <w:tc>
          <w:tcPr>
            <w:tcW w:w="2660" w:type="dxa"/>
            <w:shd w:val="clear" w:color="auto" w:fill="auto"/>
          </w:tcPr>
          <w:p w14:paraId="5053DEA7" w14:textId="77777777" w:rsidR="00FE77F4" w:rsidRPr="001A28D2" w:rsidRDefault="00FE77F4" w:rsidP="00334438">
            <w:pPr>
              <w:jc w:val="both"/>
            </w:pPr>
            <w:r w:rsidRPr="001A28D2">
              <w:t>НФ</w:t>
            </w:r>
          </w:p>
        </w:tc>
        <w:tc>
          <w:tcPr>
            <w:tcW w:w="6916" w:type="dxa"/>
            <w:shd w:val="clear" w:color="auto" w:fill="auto"/>
          </w:tcPr>
          <w:p w14:paraId="3C919365" w14:textId="77777777" w:rsidR="00FE77F4" w:rsidRPr="001A28D2" w:rsidRDefault="00FE77F4" w:rsidP="00334438">
            <w:pPr>
              <w:ind w:left="70"/>
              <w:jc w:val="both"/>
            </w:pPr>
            <w:r w:rsidRPr="001A28D2">
              <w:t>Национален фонд</w:t>
            </w:r>
          </w:p>
        </w:tc>
      </w:tr>
      <w:tr w:rsidR="00FE77F4" w:rsidRPr="001A28D2" w14:paraId="5592204C" w14:textId="77777777" w:rsidTr="00334438">
        <w:tc>
          <w:tcPr>
            <w:tcW w:w="2660" w:type="dxa"/>
            <w:shd w:val="clear" w:color="auto" w:fill="auto"/>
          </w:tcPr>
          <w:p w14:paraId="50B24823" w14:textId="77777777" w:rsidR="00FE77F4" w:rsidRPr="001A28D2" w:rsidRDefault="00FE77F4" w:rsidP="00334438">
            <w:pPr>
              <w:jc w:val="both"/>
            </w:pPr>
            <w:r w:rsidRPr="001A28D2">
              <w:t>ПМС</w:t>
            </w:r>
          </w:p>
        </w:tc>
        <w:tc>
          <w:tcPr>
            <w:tcW w:w="6916" w:type="dxa"/>
            <w:shd w:val="clear" w:color="auto" w:fill="auto"/>
          </w:tcPr>
          <w:p w14:paraId="62864F03" w14:textId="77777777" w:rsidR="00FE77F4" w:rsidRPr="001A28D2" w:rsidRDefault="00FE77F4" w:rsidP="00334438">
            <w:pPr>
              <w:ind w:left="70"/>
              <w:jc w:val="both"/>
            </w:pPr>
            <w:r w:rsidRPr="001A28D2">
              <w:t>Постановление на Министерския съвет</w:t>
            </w:r>
          </w:p>
        </w:tc>
      </w:tr>
      <w:tr w:rsidR="00FE77F4" w:rsidRPr="001A28D2" w14:paraId="3BEA82D8" w14:textId="77777777" w:rsidTr="00334438">
        <w:tc>
          <w:tcPr>
            <w:tcW w:w="2660" w:type="dxa"/>
            <w:shd w:val="clear" w:color="auto" w:fill="auto"/>
          </w:tcPr>
          <w:p w14:paraId="61EDE743" w14:textId="77777777" w:rsidR="00FE77F4" w:rsidRPr="001A28D2" w:rsidRDefault="00FE77F4" w:rsidP="00334438">
            <w:pPr>
              <w:jc w:val="both"/>
            </w:pPr>
            <w:r w:rsidRPr="001A28D2">
              <w:t>ПРБ</w:t>
            </w:r>
          </w:p>
        </w:tc>
        <w:tc>
          <w:tcPr>
            <w:tcW w:w="6916" w:type="dxa"/>
            <w:shd w:val="clear" w:color="auto" w:fill="auto"/>
          </w:tcPr>
          <w:p w14:paraId="7ECDE581" w14:textId="77777777" w:rsidR="00FE77F4" w:rsidRPr="001A28D2" w:rsidRDefault="00FE77F4" w:rsidP="00334438">
            <w:pPr>
              <w:ind w:left="70"/>
              <w:jc w:val="both"/>
            </w:pPr>
            <w:r w:rsidRPr="001A28D2">
              <w:t>Първостепенен разпоредител с бюджет</w:t>
            </w:r>
          </w:p>
        </w:tc>
      </w:tr>
      <w:tr w:rsidR="00FE77F4" w:rsidRPr="001A28D2" w14:paraId="78B0A936" w14:textId="77777777" w:rsidTr="00334438">
        <w:tc>
          <w:tcPr>
            <w:tcW w:w="2660" w:type="dxa"/>
            <w:shd w:val="clear" w:color="auto" w:fill="auto"/>
          </w:tcPr>
          <w:p w14:paraId="2EAA7169" w14:textId="77777777" w:rsidR="00FE77F4" w:rsidRPr="001A28D2" w:rsidRDefault="00FE77F4" w:rsidP="00334438">
            <w:pPr>
              <w:jc w:val="both"/>
            </w:pPr>
            <w:r w:rsidRPr="001A28D2">
              <w:t>ПУДООС</w:t>
            </w:r>
          </w:p>
        </w:tc>
        <w:tc>
          <w:tcPr>
            <w:tcW w:w="6916" w:type="dxa"/>
            <w:shd w:val="clear" w:color="auto" w:fill="auto"/>
          </w:tcPr>
          <w:p w14:paraId="5BCD93EC" w14:textId="77777777" w:rsidR="00FE77F4" w:rsidRPr="001A28D2" w:rsidRDefault="00FE77F4" w:rsidP="00334438">
            <w:pPr>
              <w:ind w:left="70"/>
              <w:jc w:val="both"/>
            </w:pPr>
            <w:r w:rsidRPr="001A28D2">
              <w:t>Предприятие за управление на дейностите по опазване на околната среда</w:t>
            </w:r>
          </w:p>
        </w:tc>
      </w:tr>
      <w:tr w:rsidR="00FE77F4" w:rsidRPr="001A28D2" w14:paraId="1900A944" w14:textId="77777777" w:rsidTr="00334438">
        <w:tc>
          <w:tcPr>
            <w:tcW w:w="2660" w:type="dxa"/>
            <w:shd w:val="clear" w:color="auto" w:fill="auto"/>
          </w:tcPr>
          <w:p w14:paraId="2C586CB6" w14:textId="77777777" w:rsidR="00FE77F4" w:rsidRPr="001A28D2" w:rsidRDefault="00FE77F4" w:rsidP="00334438">
            <w:pPr>
              <w:jc w:val="both"/>
            </w:pPr>
            <w:r w:rsidRPr="001A28D2">
              <w:t>РБ</w:t>
            </w:r>
          </w:p>
        </w:tc>
        <w:tc>
          <w:tcPr>
            <w:tcW w:w="6916" w:type="dxa"/>
            <w:shd w:val="clear" w:color="auto" w:fill="auto"/>
          </w:tcPr>
          <w:p w14:paraId="574F51C4" w14:textId="77777777" w:rsidR="00FE77F4" w:rsidRPr="001A28D2" w:rsidRDefault="00FE77F4" w:rsidP="00334438">
            <w:pPr>
              <w:ind w:left="70"/>
              <w:jc w:val="both"/>
            </w:pPr>
            <w:r w:rsidRPr="001A28D2">
              <w:t>Република България</w:t>
            </w:r>
          </w:p>
        </w:tc>
      </w:tr>
      <w:tr w:rsidR="00FE77F4" w:rsidRPr="001A28D2" w14:paraId="41CB8A89" w14:textId="77777777" w:rsidTr="00334438">
        <w:tc>
          <w:tcPr>
            <w:tcW w:w="2660" w:type="dxa"/>
            <w:shd w:val="clear" w:color="auto" w:fill="auto"/>
          </w:tcPr>
          <w:p w14:paraId="496A601B" w14:textId="77777777" w:rsidR="00FE77F4" w:rsidRPr="001A28D2" w:rsidRDefault="00FE77F4" w:rsidP="00334438">
            <w:pPr>
              <w:jc w:val="both"/>
            </w:pPr>
            <w:r w:rsidRPr="001A28D2">
              <w:t>РМС</w:t>
            </w:r>
          </w:p>
        </w:tc>
        <w:tc>
          <w:tcPr>
            <w:tcW w:w="6916" w:type="dxa"/>
            <w:shd w:val="clear" w:color="auto" w:fill="auto"/>
          </w:tcPr>
          <w:p w14:paraId="10F5D3D0" w14:textId="77777777" w:rsidR="00FE77F4" w:rsidRPr="001A28D2" w:rsidRDefault="00FE77F4" w:rsidP="00334438">
            <w:pPr>
              <w:ind w:left="70"/>
              <w:jc w:val="both"/>
            </w:pPr>
            <w:r w:rsidRPr="001A28D2">
              <w:t>Решение на Министерския съвет</w:t>
            </w:r>
          </w:p>
        </w:tc>
      </w:tr>
      <w:tr w:rsidR="00FE77F4" w:rsidRPr="001A28D2" w14:paraId="57FF75F6" w14:textId="77777777" w:rsidTr="00334438">
        <w:tc>
          <w:tcPr>
            <w:tcW w:w="2660" w:type="dxa"/>
            <w:shd w:val="clear" w:color="auto" w:fill="auto"/>
          </w:tcPr>
          <w:p w14:paraId="388E778C" w14:textId="77777777" w:rsidR="00FE77F4" w:rsidRPr="001A28D2" w:rsidRDefault="00FE77F4" w:rsidP="00334438">
            <w:pPr>
              <w:jc w:val="both"/>
            </w:pPr>
            <w:r w:rsidRPr="001A28D2">
              <w:t>СБП</w:t>
            </w:r>
          </w:p>
        </w:tc>
        <w:tc>
          <w:tcPr>
            <w:tcW w:w="6916" w:type="dxa"/>
            <w:shd w:val="clear" w:color="auto" w:fill="auto"/>
          </w:tcPr>
          <w:p w14:paraId="4C8CFE2A" w14:textId="77777777" w:rsidR="00FE77F4" w:rsidRPr="001A28D2" w:rsidRDefault="00FE77F4" w:rsidP="00334438">
            <w:pPr>
              <w:ind w:left="70"/>
              <w:jc w:val="both"/>
              <w:rPr>
                <w:color w:val="000000"/>
              </w:rPr>
            </w:pPr>
            <w:r w:rsidRPr="001A28D2">
              <w:rPr>
                <w:color w:val="000000"/>
              </w:rPr>
              <w:t>Средносрочна бюджетна прогноза</w:t>
            </w:r>
          </w:p>
        </w:tc>
      </w:tr>
      <w:tr w:rsidR="00FE77F4" w:rsidRPr="001A28D2" w14:paraId="69AA48A3" w14:textId="77777777" w:rsidTr="00334438">
        <w:tc>
          <w:tcPr>
            <w:tcW w:w="2660" w:type="dxa"/>
            <w:shd w:val="clear" w:color="auto" w:fill="auto"/>
          </w:tcPr>
          <w:p w14:paraId="7E5D3D00" w14:textId="77777777" w:rsidR="00FE77F4" w:rsidRPr="001A28D2" w:rsidRDefault="00FE77F4" w:rsidP="00334438">
            <w:pPr>
              <w:jc w:val="both"/>
            </w:pPr>
            <w:r w:rsidRPr="001A28D2">
              <w:t>СЕБРА</w:t>
            </w:r>
          </w:p>
        </w:tc>
        <w:tc>
          <w:tcPr>
            <w:tcW w:w="6916" w:type="dxa"/>
            <w:shd w:val="clear" w:color="auto" w:fill="auto"/>
          </w:tcPr>
          <w:p w14:paraId="59FA12A6" w14:textId="77777777" w:rsidR="00FE77F4" w:rsidRPr="001A28D2" w:rsidRDefault="00FE77F4" w:rsidP="00334438">
            <w:pPr>
              <w:ind w:left="70"/>
              <w:jc w:val="both"/>
            </w:pPr>
            <w:r w:rsidRPr="001A28D2">
              <w:rPr>
                <w:color w:val="000000"/>
              </w:rPr>
              <w:t>Система за електронни бюджетни разплащания</w:t>
            </w:r>
          </w:p>
        </w:tc>
      </w:tr>
      <w:tr w:rsidR="00FE77F4" w:rsidRPr="001A28D2" w14:paraId="181F447E" w14:textId="77777777" w:rsidTr="00334438">
        <w:tc>
          <w:tcPr>
            <w:tcW w:w="2660" w:type="dxa"/>
            <w:shd w:val="clear" w:color="auto" w:fill="auto"/>
          </w:tcPr>
          <w:p w14:paraId="44B1895B" w14:textId="77777777" w:rsidR="00FE77F4" w:rsidRPr="001A28D2" w:rsidRDefault="00FE77F4" w:rsidP="00334438">
            <w:pPr>
              <w:jc w:val="both"/>
            </w:pPr>
            <w:r w:rsidRPr="001A28D2">
              <w:t>СП</w:t>
            </w:r>
          </w:p>
        </w:tc>
        <w:tc>
          <w:tcPr>
            <w:tcW w:w="6916" w:type="dxa"/>
            <w:shd w:val="clear" w:color="auto" w:fill="auto"/>
          </w:tcPr>
          <w:p w14:paraId="69EF305D" w14:textId="77777777" w:rsidR="00FE77F4" w:rsidRPr="001A28D2" w:rsidRDefault="00FE77F4" w:rsidP="00334438">
            <w:pPr>
              <w:ind w:left="70"/>
              <w:jc w:val="both"/>
            </w:pPr>
            <w:r w:rsidRPr="001A28D2">
              <w:t>Сметна палата</w:t>
            </w:r>
          </w:p>
        </w:tc>
      </w:tr>
      <w:tr w:rsidR="00FE77F4" w:rsidRPr="001A28D2" w14:paraId="10E7C922" w14:textId="77777777" w:rsidTr="00334438">
        <w:tc>
          <w:tcPr>
            <w:tcW w:w="2660" w:type="dxa"/>
            <w:shd w:val="clear" w:color="auto" w:fill="auto"/>
          </w:tcPr>
          <w:p w14:paraId="02934E0C" w14:textId="77777777" w:rsidR="00FE77F4" w:rsidRPr="001A28D2" w:rsidRDefault="00FE77F4" w:rsidP="00334438">
            <w:pPr>
              <w:jc w:val="both"/>
            </w:pPr>
            <w:r w:rsidRPr="001A28D2">
              <w:t>СФУК</w:t>
            </w:r>
          </w:p>
        </w:tc>
        <w:tc>
          <w:tcPr>
            <w:tcW w:w="6916" w:type="dxa"/>
            <w:shd w:val="clear" w:color="auto" w:fill="auto"/>
          </w:tcPr>
          <w:p w14:paraId="6825E5A5" w14:textId="77777777" w:rsidR="00FE77F4" w:rsidRPr="001A28D2" w:rsidRDefault="00FE77F4" w:rsidP="00334438">
            <w:pPr>
              <w:ind w:left="70"/>
              <w:jc w:val="both"/>
            </w:pPr>
            <w:r w:rsidRPr="001A28D2">
              <w:t>Система за финансово управление и контрол</w:t>
            </w:r>
          </w:p>
        </w:tc>
      </w:tr>
      <w:tr w:rsidR="00FE77F4" w:rsidRPr="001A28D2" w14:paraId="4B037BB3" w14:textId="77777777" w:rsidTr="00334438">
        <w:tc>
          <w:tcPr>
            <w:tcW w:w="2660" w:type="dxa"/>
            <w:shd w:val="clear" w:color="auto" w:fill="auto"/>
          </w:tcPr>
          <w:p w14:paraId="271BCDD5" w14:textId="77777777" w:rsidR="00FE77F4" w:rsidRPr="001A28D2" w:rsidRDefault="00FE77F4" w:rsidP="00334438">
            <w:pPr>
              <w:jc w:val="both"/>
            </w:pPr>
            <w:r w:rsidRPr="001A28D2">
              <w:t>ЦБ</w:t>
            </w:r>
          </w:p>
        </w:tc>
        <w:tc>
          <w:tcPr>
            <w:tcW w:w="6916" w:type="dxa"/>
            <w:shd w:val="clear" w:color="auto" w:fill="auto"/>
          </w:tcPr>
          <w:p w14:paraId="70B42BDC" w14:textId="77777777" w:rsidR="00FE77F4" w:rsidRPr="001A28D2" w:rsidRDefault="00FE77F4" w:rsidP="00334438">
            <w:pPr>
              <w:ind w:left="70"/>
              <w:jc w:val="both"/>
            </w:pPr>
            <w:r w:rsidRPr="001A28D2">
              <w:t>Централен бюджет</w:t>
            </w:r>
          </w:p>
        </w:tc>
      </w:tr>
    </w:tbl>
    <w:p w14:paraId="5FAD67B4" w14:textId="77777777" w:rsidR="00FE77F4" w:rsidRPr="001A28D2" w:rsidRDefault="00FE77F4" w:rsidP="00FE77F4">
      <w:pPr>
        <w:tabs>
          <w:tab w:val="left" w:pos="0"/>
        </w:tabs>
        <w:spacing w:before="120" w:after="360"/>
        <w:ind w:firstLine="1080"/>
        <w:jc w:val="center"/>
        <w:rPr>
          <w:b/>
        </w:rPr>
      </w:pPr>
      <w:r w:rsidRPr="001A28D2">
        <w:rPr>
          <w:b/>
        </w:rPr>
        <w:br w:type="textWrapping" w:clear="all"/>
      </w:r>
      <w:r w:rsidRPr="001A28D2">
        <w:rPr>
          <w:b/>
        </w:rPr>
        <w:br w:type="page"/>
      </w:r>
      <w:r w:rsidRPr="001A28D2">
        <w:rPr>
          <w:b/>
        </w:rPr>
        <w:lastRenderedPageBreak/>
        <w:t>ТЕРМИНОЛОГИЧЕН РЕЧНИК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6938"/>
      </w:tblGrid>
      <w:tr w:rsidR="00FE77F4" w:rsidRPr="001A28D2" w14:paraId="4D68F6F9" w14:textId="77777777" w:rsidTr="00334438">
        <w:trPr>
          <w:jc w:val="center"/>
        </w:trPr>
        <w:tc>
          <w:tcPr>
            <w:tcW w:w="2638" w:type="dxa"/>
          </w:tcPr>
          <w:p w14:paraId="1A7050E4" w14:textId="77777777" w:rsidR="00FE77F4" w:rsidRPr="001A28D2" w:rsidRDefault="00FE77F4" w:rsidP="00334438">
            <w:pPr>
              <w:tabs>
                <w:tab w:val="left" w:pos="720"/>
              </w:tabs>
              <w:jc w:val="center"/>
            </w:pPr>
            <w:r w:rsidRPr="001A28D2">
              <w:t>Термин</w:t>
            </w:r>
          </w:p>
        </w:tc>
        <w:tc>
          <w:tcPr>
            <w:tcW w:w="6938" w:type="dxa"/>
          </w:tcPr>
          <w:p w14:paraId="61DBEEE7" w14:textId="77777777" w:rsidR="00FE77F4" w:rsidRPr="001A28D2" w:rsidRDefault="00FE77F4" w:rsidP="00334438">
            <w:pPr>
              <w:tabs>
                <w:tab w:val="left" w:pos="720"/>
              </w:tabs>
              <w:jc w:val="center"/>
            </w:pPr>
            <w:r w:rsidRPr="001A28D2">
              <w:t>Значение</w:t>
            </w:r>
          </w:p>
        </w:tc>
      </w:tr>
      <w:tr w:rsidR="00FE77F4" w:rsidRPr="001A28D2" w14:paraId="7789F954" w14:textId="77777777" w:rsidTr="00334438">
        <w:trPr>
          <w:jc w:val="center"/>
        </w:trPr>
        <w:tc>
          <w:tcPr>
            <w:tcW w:w="2638" w:type="dxa"/>
          </w:tcPr>
          <w:p w14:paraId="4ED78D3E" w14:textId="77777777" w:rsidR="00FE77F4" w:rsidRPr="001A28D2" w:rsidRDefault="00FE77F4" w:rsidP="00334438">
            <w:pPr>
              <w:tabs>
                <w:tab w:val="left" w:pos="720"/>
              </w:tabs>
              <w:jc w:val="both"/>
            </w:pPr>
            <w:r w:rsidRPr="001A28D2">
              <w:rPr>
                <w:color w:val="000000"/>
              </w:rPr>
              <w:t>Бюджетна субсидия</w:t>
            </w:r>
          </w:p>
        </w:tc>
        <w:tc>
          <w:tcPr>
            <w:tcW w:w="6938" w:type="dxa"/>
          </w:tcPr>
          <w:p w14:paraId="3E5254BF" w14:textId="77777777" w:rsidR="00FE77F4" w:rsidRPr="001A28D2" w:rsidRDefault="00FE77F4" w:rsidP="00334438">
            <w:pPr>
              <w:tabs>
                <w:tab w:val="left" w:pos="720"/>
              </w:tabs>
              <w:jc w:val="both"/>
            </w:pPr>
            <w:r w:rsidRPr="001A28D2">
              <w:rPr>
                <w:color w:val="000000"/>
              </w:rPr>
              <w:t>Трансфер с общо или целево предназначение, който централният бюджет предоставя безвъзмездно на бюджетна организация за съответната бюджетна година</w:t>
            </w:r>
          </w:p>
        </w:tc>
      </w:tr>
      <w:tr w:rsidR="00FE77F4" w:rsidRPr="001A28D2" w14:paraId="3D07F2EF" w14:textId="77777777" w:rsidTr="00334438">
        <w:trPr>
          <w:jc w:val="center"/>
        </w:trPr>
        <w:tc>
          <w:tcPr>
            <w:tcW w:w="2638" w:type="dxa"/>
          </w:tcPr>
          <w:p w14:paraId="032EF279" w14:textId="77777777" w:rsidR="00FE77F4" w:rsidRPr="001A28D2" w:rsidRDefault="00FE77F4" w:rsidP="00334438">
            <w:pPr>
              <w:tabs>
                <w:tab w:val="left" w:pos="720"/>
              </w:tabs>
              <w:jc w:val="both"/>
            </w:pPr>
            <w:r w:rsidRPr="001A28D2">
              <w:rPr>
                <w:color w:val="000000"/>
              </w:rPr>
              <w:t>Бюджетни взаимоотношения</w:t>
            </w:r>
          </w:p>
        </w:tc>
        <w:tc>
          <w:tcPr>
            <w:tcW w:w="6938" w:type="dxa"/>
          </w:tcPr>
          <w:p w14:paraId="3B18AF40" w14:textId="77777777" w:rsidR="00FE77F4" w:rsidRPr="001A28D2" w:rsidRDefault="00FE77F4" w:rsidP="00334438">
            <w:pPr>
              <w:tabs>
                <w:tab w:val="left" w:pos="720"/>
              </w:tabs>
              <w:jc w:val="both"/>
            </w:pPr>
            <w:r w:rsidRPr="001A28D2">
              <w:rPr>
                <w:color w:val="000000"/>
              </w:rPr>
              <w:t>Трансфери и временни безлихвени заеми</w:t>
            </w:r>
          </w:p>
        </w:tc>
      </w:tr>
      <w:tr w:rsidR="00FE77F4" w:rsidRPr="001A28D2" w14:paraId="08A98621" w14:textId="77777777" w:rsidTr="00334438">
        <w:trPr>
          <w:jc w:val="center"/>
        </w:trPr>
        <w:tc>
          <w:tcPr>
            <w:tcW w:w="2638" w:type="dxa"/>
          </w:tcPr>
          <w:p w14:paraId="74FF8CA5" w14:textId="77777777" w:rsidR="00FE77F4" w:rsidRPr="001A28D2" w:rsidRDefault="00FE77F4" w:rsidP="00334438">
            <w:pPr>
              <w:tabs>
                <w:tab w:val="left" w:pos="720"/>
              </w:tabs>
              <w:jc w:val="both"/>
            </w:pPr>
            <w:r w:rsidRPr="001A28D2">
              <w:rPr>
                <w:color w:val="000000"/>
              </w:rPr>
              <w:t>Бюджетни организации</w:t>
            </w:r>
          </w:p>
        </w:tc>
        <w:tc>
          <w:tcPr>
            <w:tcW w:w="6938" w:type="dxa"/>
          </w:tcPr>
          <w:p w14:paraId="0AC37D45" w14:textId="77777777" w:rsidR="00FE77F4" w:rsidRPr="001A28D2" w:rsidRDefault="00FE77F4" w:rsidP="00334438">
            <w:pPr>
              <w:tabs>
                <w:tab w:val="left" w:pos="720"/>
              </w:tabs>
              <w:jc w:val="both"/>
            </w:pPr>
            <w:r w:rsidRPr="001A28D2">
              <w:rPr>
                <w:color w:val="000000"/>
              </w:rPr>
              <w:t xml:space="preserve">Юридически лица, чиито бюджети се включват в държавния бюджет, в бюджетите на общините, в бюджетите на </w:t>
            </w:r>
            <w:proofErr w:type="spellStart"/>
            <w:r w:rsidRPr="001A28D2">
              <w:rPr>
                <w:color w:val="000000"/>
              </w:rPr>
              <w:t>социалноосигурителните</w:t>
            </w:r>
            <w:proofErr w:type="spellEnd"/>
            <w:r w:rsidRPr="001A28D2">
              <w:rPr>
                <w:color w:val="000000"/>
              </w:rPr>
              <w:t xml:space="preserve"> фондове и др.</w:t>
            </w:r>
          </w:p>
        </w:tc>
      </w:tr>
      <w:tr w:rsidR="00FE77F4" w:rsidRPr="001A28D2" w14:paraId="553FC79A" w14:textId="77777777" w:rsidTr="00334438">
        <w:trPr>
          <w:jc w:val="center"/>
        </w:trPr>
        <w:tc>
          <w:tcPr>
            <w:tcW w:w="2638" w:type="dxa"/>
          </w:tcPr>
          <w:p w14:paraId="6A8B4D18" w14:textId="77777777" w:rsidR="00FE77F4" w:rsidRPr="001A28D2" w:rsidRDefault="00FE77F4" w:rsidP="00334438">
            <w:pPr>
              <w:tabs>
                <w:tab w:val="left" w:pos="720"/>
              </w:tabs>
              <w:jc w:val="both"/>
            </w:pPr>
            <w:r w:rsidRPr="001A28D2">
              <w:rPr>
                <w:color w:val="000000"/>
              </w:rPr>
              <w:t>Бюджетни средства</w:t>
            </w:r>
          </w:p>
        </w:tc>
        <w:tc>
          <w:tcPr>
            <w:tcW w:w="6938" w:type="dxa"/>
          </w:tcPr>
          <w:p w14:paraId="7D1978E4" w14:textId="77777777" w:rsidR="00FE77F4" w:rsidRPr="001A28D2" w:rsidRDefault="00FE77F4" w:rsidP="00334438">
            <w:pPr>
              <w:tabs>
                <w:tab w:val="left" w:pos="720"/>
              </w:tabs>
              <w:jc w:val="both"/>
            </w:pPr>
            <w:r w:rsidRPr="001A28D2">
              <w:rPr>
                <w:color w:val="000000"/>
              </w:rPr>
              <w:t>Парични средства, постъпващи, съхранявани, трансферирани и/или разходвани по отделните бюджети</w:t>
            </w:r>
          </w:p>
        </w:tc>
      </w:tr>
      <w:tr w:rsidR="00FE77F4" w:rsidRPr="001A28D2" w14:paraId="39916720" w14:textId="77777777" w:rsidTr="00334438">
        <w:trPr>
          <w:jc w:val="center"/>
        </w:trPr>
        <w:tc>
          <w:tcPr>
            <w:tcW w:w="2638" w:type="dxa"/>
          </w:tcPr>
          <w:p w14:paraId="0AD933B1" w14:textId="77777777" w:rsidR="00FE77F4" w:rsidRPr="001A28D2" w:rsidRDefault="00FE77F4" w:rsidP="00334438">
            <w:pPr>
              <w:tabs>
                <w:tab w:val="left" w:pos="720"/>
              </w:tabs>
              <w:jc w:val="both"/>
              <w:rPr>
                <w:color w:val="000000"/>
              </w:rPr>
            </w:pPr>
            <w:r w:rsidRPr="001A28D2">
              <w:rPr>
                <w:color w:val="000000"/>
              </w:rPr>
              <w:t>Бюджетно салдо</w:t>
            </w:r>
          </w:p>
        </w:tc>
        <w:tc>
          <w:tcPr>
            <w:tcW w:w="6938" w:type="dxa"/>
          </w:tcPr>
          <w:p w14:paraId="49A0D17C" w14:textId="77777777" w:rsidR="00FE77F4" w:rsidRPr="001A28D2" w:rsidRDefault="00FE77F4" w:rsidP="00334438">
            <w:pPr>
              <w:tabs>
                <w:tab w:val="left" w:pos="720"/>
              </w:tabs>
              <w:jc w:val="both"/>
              <w:rPr>
                <w:color w:val="000000"/>
              </w:rPr>
            </w:pPr>
            <w:r w:rsidRPr="001A28D2">
              <w:rPr>
                <w:color w:val="000000"/>
              </w:rPr>
              <w:t xml:space="preserve">Разликата между приходите, помощите и даренията, разходите и бюджетните взаимоотношения. </w:t>
            </w:r>
          </w:p>
        </w:tc>
      </w:tr>
      <w:tr w:rsidR="00FE77F4" w:rsidRPr="001A28D2" w14:paraId="549D5D73" w14:textId="77777777" w:rsidTr="00334438">
        <w:trPr>
          <w:jc w:val="center"/>
        </w:trPr>
        <w:tc>
          <w:tcPr>
            <w:tcW w:w="2638" w:type="dxa"/>
          </w:tcPr>
          <w:p w14:paraId="1A2E11BE" w14:textId="77777777" w:rsidR="00FE77F4" w:rsidRPr="001A28D2" w:rsidRDefault="00FE77F4" w:rsidP="00334438">
            <w:pPr>
              <w:tabs>
                <w:tab w:val="left" w:pos="720"/>
              </w:tabs>
              <w:jc w:val="both"/>
              <w:rPr>
                <w:color w:val="000000"/>
              </w:rPr>
            </w:pPr>
            <w:r w:rsidRPr="001A28D2">
              <w:rPr>
                <w:color w:val="000000"/>
              </w:rPr>
              <w:t>Временен безлихвен заем</w:t>
            </w:r>
          </w:p>
        </w:tc>
        <w:tc>
          <w:tcPr>
            <w:tcW w:w="6938" w:type="dxa"/>
          </w:tcPr>
          <w:p w14:paraId="746B54B3" w14:textId="77777777" w:rsidR="00FE77F4" w:rsidRPr="001A28D2" w:rsidRDefault="00FE77F4" w:rsidP="00334438">
            <w:pPr>
              <w:tabs>
                <w:tab w:val="left" w:pos="720"/>
              </w:tabs>
              <w:jc w:val="both"/>
              <w:rPr>
                <w:color w:val="000000"/>
              </w:rPr>
            </w:pPr>
            <w:r w:rsidRPr="001A28D2">
              <w:rPr>
                <w:color w:val="000000"/>
              </w:rPr>
              <w:t>Отпуснатите и подлежащи на възстановяване парични средства между централния бюджет, бюджетите и сметките за средства от ЕС.</w:t>
            </w:r>
          </w:p>
        </w:tc>
      </w:tr>
      <w:tr w:rsidR="00FE77F4" w:rsidRPr="001A28D2" w14:paraId="0151DC5E" w14:textId="77777777" w:rsidTr="00334438">
        <w:trPr>
          <w:jc w:val="center"/>
        </w:trPr>
        <w:tc>
          <w:tcPr>
            <w:tcW w:w="2638" w:type="dxa"/>
          </w:tcPr>
          <w:p w14:paraId="3416D986" w14:textId="77777777" w:rsidR="00FE77F4" w:rsidRPr="001A28D2" w:rsidRDefault="00FE77F4" w:rsidP="00334438">
            <w:pPr>
              <w:tabs>
                <w:tab w:val="left" w:pos="720"/>
              </w:tabs>
              <w:jc w:val="both"/>
              <w:rPr>
                <w:color w:val="000000"/>
              </w:rPr>
            </w:pPr>
            <w:r w:rsidRPr="001A28D2">
              <w:rPr>
                <w:color w:val="000000"/>
              </w:rPr>
              <w:t>Налични към края на годината поети ангажименти за разходи</w:t>
            </w:r>
          </w:p>
        </w:tc>
        <w:tc>
          <w:tcPr>
            <w:tcW w:w="6938" w:type="dxa"/>
          </w:tcPr>
          <w:p w14:paraId="6BA3ADDD" w14:textId="77777777" w:rsidR="00FE77F4" w:rsidRPr="001A28D2" w:rsidRDefault="00FE77F4" w:rsidP="00334438">
            <w:pPr>
              <w:tabs>
                <w:tab w:val="left" w:pos="720"/>
              </w:tabs>
              <w:jc w:val="both"/>
              <w:rPr>
                <w:color w:val="000000"/>
              </w:rPr>
            </w:pPr>
            <w:r w:rsidRPr="001A28D2">
              <w:rPr>
                <w:color w:val="000000"/>
              </w:rPr>
              <w:t>Ангажименти за разходи, независимо кога са били поети, които са останали неизпълнени/нереализирани към края на годината и подлежат на изпълнение/реализиране изцяло или частично в следващите бюджетни години</w:t>
            </w:r>
          </w:p>
        </w:tc>
      </w:tr>
      <w:tr w:rsidR="00FE77F4" w:rsidRPr="001A28D2" w14:paraId="0284C500" w14:textId="77777777" w:rsidTr="00334438">
        <w:trPr>
          <w:jc w:val="center"/>
        </w:trPr>
        <w:tc>
          <w:tcPr>
            <w:tcW w:w="2638" w:type="dxa"/>
          </w:tcPr>
          <w:p w14:paraId="3C7FB6F9" w14:textId="77777777" w:rsidR="00FE77F4" w:rsidRPr="001A28D2" w:rsidRDefault="00FE77F4" w:rsidP="00334438">
            <w:pPr>
              <w:tabs>
                <w:tab w:val="left" w:pos="720"/>
              </w:tabs>
              <w:jc w:val="both"/>
              <w:rPr>
                <w:color w:val="000000"/>
              </w:rPr>
            </w:pPr>
            <w:r w:rsidRPr="001A28D2">
              <w:rPr>
                <w:color w:val="000000"/>
              </w:rPr>
              <w:t>Нови задължения за разходи</w:t>
            </w:r>
          </w:p>
        </w:tc>
        <w:tc>
          <w:tcPr>
            <w:tcW w:w="6938" w:type="dxa"/>
          </w:tcPr>
          <w:p w14:paraId="0A9B4A79" w14:textId="77777777" w:rsidR="00FE77F4" w:rsidRPr="001A28D2" w:rsidRDefault="00FE77F4" w:rsidP="00334438">
            <w:pPr>
              <w:tabs>
                <w:tab w:val="left" w:pos="720"/>
              </w:tabs>
              <w:jc w:val="both"/>
              <w:rPr>
                <w:color w:val="000000"/>
              </w:rPr>
            </w:pPr>
            <w:r w:rsidRPr="001A28D2">
              <w:rPr>
                <w:color w:val="000000"/>
              </w:rPr>
              <w:t xml:space="preserve">Паричните задължения за разходи, които възникват през текущата година, независимо от това дали са платени, с изключение на задълженията за разходи за персонал, пенсии, лихви по дълга, за данъци и други публични държавни и общински вземания. </w:t>
            </w:r>
          </w:p>
        </w:tc>
      </w:tr>
      <w:tr w:rsidR="00FE77F4" w:rsidRPr="001A28D2" w14:paraId="4B855479" w14:textId="77777777" w:rsidTr="00334438">
        <w:trPr>
          <w:jc w:val="center"/>
        </w:trPr>
        <w:tc>
          <w:tcPr>
            <w:tcW w:w="2638" w:type="dxa"/>
          </w:tcPr>
          <w:p w14:paraId="3A863797" w14:textId="77777777" w:rsidR="00FE77F4" w:rsidRPr="001A28D2" w:rsidRDefault="00FE77F4" w:rsidP="00334438">
            <w:pPr>
              <w:tabs>
                <w:tab w:val="left" w:pos="720"/>
              </w:tabs>
              <w:jc w:val="both"/>
              <w:rPr>
                <w:color w:val="000000"/>
              </w:rPr>
            </w:pPr>
            <w:r w:rsidRPr="001A28D2">
              <w:rPr>
                <w:color w:val="000000"/>
              </w:rPr>
              <w:t>Поети ангажименти за разходи</w:t>
            </w:r>
          </w:p>
        </w:tc>
        <w:tc>
          <w:tcPr>
            <w:tcW w:w="6938" w:type="dxa"/>
          </w:tcPr>
          <w:p w14:paraId="4A0F643D" w14:textId="77777777" w:rsidR="00FE77F4" w:rsidRPr="001A28D2" w:rsidRDefault="00FE77F4" w:rsidP="00334438">
            <w:pPr>
              <w:tabs>
                <w:tab w:val="left" w:pos="720"/>
              </w:tabs>
              <w:jc w:val="both"/>
              <w:rPr>
                <w:color w:val="000000"/>
              </w:rPr>
            </w:pPr>
            <w:r w:rsidRPr="001A28D2">
              <w:rPr>
                <w:color w:val="000000"/>
              </w:rPr>
              <w:t xml:space="preserve">Клаузи на договори и разпоредби на нормативни и административни актове, които обвързват бюджетните организации с бъдещи плащания за разходи и/или нови задължения за разходи с </w:t>
            </w:r>
            <w:proofErr w:type="spellStart"/>
            <w:r w:rsidRPr="001A28D2">
              <w:rPr>
                <w:color w:val="000000"/>
              </w:rPr>
              <w:t>определима</w:t>
            </w:r>
            <w:proofErr w:type="spellEnd"/>
            <w:r w:rsidRPr="001A28D2">
              <w:rPr>
                <w:color w:val="000000"/>
              </w:rPr>
              <w:t xml:space="preserve"> стойност, с изключение на: разходите за персонал, пенсии, лихви по дълга, както и разходите за данъци и други публични държавни и общински вземания</w:t>
            </w:r>
          </w:p>
        </w:tc>
      </w:tr>
      <w:tr w:rsidR="00FE77F4" w:rsidRPr="001A28D2" w14:paraId="7AAE2C4A" w14:textId="77777777" w:rsidTr="00334438">
        <w:trPr>
          <w:jc w:val="center"/>
        </w:trPr>
        <w:tc>
          <w:tcPr>
            <w:tcW w:w="2638" w:type="dxa"/>
          </w:tcPr>
          <w:p w14:paraId="55067767" w14:textId="77777777" w:rsidR="00FE77F4" w:rsidRPr="001A28D2" w:rsidRDefault="00FE77F4" w:rsidP="00334438">
            <w:pPr>
              <w:tabs>
                <w:tab w:val="left" w:pos="720"/>
              </w:tabs>
              <w:jc w:val="both"/>
              <w:rPr>
                <w:color w:val="000000"/>
              </w:rPr>
            </w:pPr>
            <w:r w:rsidRPr="001A28D2">
              <w:rPr>
                <w:color w:val="000000"/>
              </w:rPr>
              <w:t>Помощи и дарения</w:t>
            </w:r>
          </w:p>
        </w:tc>
        <w:tc>
          <w:tcPr>
            <w:tcW w:w="6938" w:type="dxa"/>
          </w:tcPr>
          <w:p w14:paraId="741F9543" w14:textId="77777777" w:rsidR="00FE77F4" w:rsidRPr="001A28D2" w:rsidRDefault="00FE77F4" w:rsidP="00334438">
            <w:pPr>
              <w:tabs>
                <w:tab w:val="left" w:pos="720"/>
              </w:tabs>
              <w:jc w:val="both"/>
              <w:rPr>
                <w:color w:val="000000"/>
              </w:rPr>
            </w:pPr>
            <w:r w:rsidRPr="001A28D2">
              <w:rPr>
                <w:color w:val="000000"/>
              </w:rPr>
              <w:t>Средствата от ЕС и по други международни програми и договори, както и всички други безвъзмездно предоставени на бюджетните организации средства, които не са глоби, санкции, неустойки или конфискувани активи</w:t>
            </w:r>
          </w:p>
        </w:tc>
      </w:tr>
      <w:tr w:rsidR="00FE77F4" w:rsidRPr="001A28D2" w14:paraId="446E191B" w14:textId="77777777" w:rsidTr="00334438">
        <w:trPr>
          <w:jc w:val="center"/>
        </w:trPr>
        <w:tc>
          <w:tcPr>
            <w:tcW w:w="2638" w:type="dxa"/>
          </w:tcPr>
          <w:p w14:paraId="06E603F4" w14:textId="77777777" w:rsidR="00FE77F4" w:rsidRPr="001A28D2" w:rsidRDefault="00FE77F4" w:rsidP="00334438">
            <w:pPr>
              <w:tabs>
                <w:tab w:val="left" w:pos="720"/>
              </w:tabs>
              <w:jc w:val="both"/>
              <w:rPr>
                <w:color w:val="000000"/>
              </w:rPr>
            </w:pPr>
            <w:r w:rsidRPr="001A28D2">
              <w:rPr>
                <w:color w:val="000000"/>
              </w:rPr>
              <w:t>Приходи</w:t>
            </w:r>
          </w:p>
        </w:tc>
        <w:tc>
          <w:tcPr>
            <w:tcW w:w="6938" w:type="dxa"/>
          </w:tcPr>
          <w:p w14:paraId="41325EDD" w14:textId="77777777" w:rsidR="00FE77F4" w:rsidRPr="001A28D2" w:rsidRDefault="00FE77F4" w:rsidP="00334438">
            <w:pPr>
              <w:tabs>
                <w:tab w:val="left" w:pos="720"/>
              </w:tabs>
              <w:jc w:val="both"/>
              <w:rPr>
                <w:color w:val="000000"/>
              </w:rPr>
            </w:pPr>
            <w:r w:rsidRPr="001A28D2">
              <w:rPr>
                <w:color w:val="000000"/>
              </w:rPr>
              <w:t>Паричните постъпления за съответната бюджетна година от: публични държавни и общински вземания, глоби, санкции и неустойки, конфискувани активи, лихви, дивиденти и други доходи от финансови активи, както и всички други парични нетни постъпления на бюджетните организации.</w:t>
            </w:r>
          </w:p>
        </w:tc>
      </w:tr>
      <w:tr w:rsidR="00FE77F4" w:rsidRPr="001A28D2" w14:paraId="2B43D4A4" w14:textId="77777777" w:rsidTr="00334438">
        <w:trPr>
          <w:jc w:val="center"/>
        </w:trPr>
        <w:tc>
          <w:tcPr>
            <w:tcW w:w="2638" w:type="dxa"/>
          </w:tcPr>
          <w:p w14:paraId="4EC5EBF6" w14:textId="77777777" w:rsidR="00FE77F4" w:rsidRPr="001A28D2" w:rsidRDefault="00FE77F4" w:rsidP="00334438">
            <w:pPr>
              <w:tabs>
                <w:tab w:val="left" w:pos="720"/>
              </w:tabs>
              <w:jc w:val="both"/>
              <w:rPr>
                <w:color w:val="000000"/>
              </w:rPr>
            </w:pPr>
            <w:r w:rsidRPr="001A28D2">
              <w:rPr>
                <w:color w:val="000000"/>
              </w:rPr>
              <w:t>Разходи</w:t>
            </w:r>
          </w:p>
        </w:tc>
        <w:tc>
          <w:tcPr>
            <w:tcW w:w="6938" w:type="dxa"/>
          </w:tcPr>
          <w:p w14:paraId="19FA1D54" w14:textId="77777777" w:rsidR="00FE77F4" w:rsidRPr="001A28D2" w:rsidRDefault="00FE77F4" w:rsidP="00334438">
            <w:pPr>
              <w:tabs>
                <w:tab w:val="left" w:pos="720"/>
              </w:tabs>
              <w:jc w:val="both"/>
              <w:rPr>
                <w:color w:val="000000"/>
              </w:rPr>
            </w:pPr>
            <w:r w:rsidRPr="001A28D2">
              <w:rPr>
                <w:color w:val="000000"/>
              </w:rPr>
              <w:t xml:space="preserve">Плащанията за съответната бюджетна година за: персонал и свързаните с него осигурителни вноски, доставки на нефинансови активи, услуги, лихви, възмездно използване на </w:t>
            </w:r>
            <w:r w:rsidRPr="001A28D2">
              <w:rPr>
                <w:color w:val="000000"/>
              </w:rPr>
              <w:lastRenderedPageBreak/>
              <w:t>ресурси на трети лица, обезщетения, санкции и неустойки, както и за безвъзмездно предоставени средства на физически и юридически лица.</w:t>
            </w:r>
          </w:p>
        </w:tc>
      </w:tr>
      <w:tr w:rsidR="00FE77F4" w:rsidRPr="001A28D2" w14:paraId="433FAF06" w14:textId="77777777" w:rsidTr="00334438">
        <w:trPr>
          <w:jc w:val="center"/>
        </w:trPr>
        <w:tc>
          <w:tcPr>
            <w:tcW w:w="2638" w:type="dxa"/>
          </w:tcPr>
          <w:p w14:paraId="64416919" w14:textId="77777777" w:rsidR="00FE77F4" w:rsidRPr="001A28D2" w:rsidRDefault="00FE77F4" w:rsidP="00334438">
            <w:pPr>
              <w:tabs>
                <w:tab w:val="left" w:pos="720"/>
              </w:tabs>
              <w:jc w:val="both"/>
              <w:rPr>
                <w:color w:val="000000"/>
              </w:rPr>
            </w:pPr>
            <w:proofErr w:type="spellStart"/>
            <w:r w:rsidRPr="001A28D2">
              <w:rPr>
                <w:color w:val="000000"/>
              </w:rPr>
              <w:lastRenderedPageBreak/>
              <w:t>Социалноосигурителни</w:t>
            </w:r>
            <w:proofErr w:type="spellEnd"/>
            <w:r w:rsidRPr="001A28D2">
              <w:rPr>
                <w:color w:val="000000"/>
              </w:rPr>
              <w:t xml:space="preserve"> фондове</w:t>
            </w:r>
          </w:p>
        </w:tc>
        <w:tc>
          <w:tcPr>
            <w:tcW w:w="6938" w:type="dxa"/>
          </w:tcPr>
          <w:p w14:paraId="3C69D5E6" w14:textId="77777777" w:rsidR="00FE77F4" w:rsidRPr="001A28D2" w:rsidRDefault="00FE77F4" w:rsidP="00334438">
            <w:pPr>
              <w:tabs>
                <w:tab w:val="left" w:pos="720"/>
              </w:tabs>
              <w:jc w:val="both"/>
              <w:rPr>
                <w:color w:val="000000"/>
              </w:rPr>
            </w:pPr>
            <w:r w:rsidRPr="001A28D2">
              <w:rPr>
                <w:color w:val="000000"/>
              </w:rPr>
              <w:t>Националният осигурителен институт и фондовете на ДОО, на НЗОК и всички други юридически лица и фондове, които се включват в обхвата на подсектор „</w:t>
            </w:r>
            <w:proofErr w:type="spellStart"/>
            <w:r w:rsidRPr="001A28D2">
              <w:rPr>
                <w:color w:val="000000"/>
              </w:rPr>
              <w:t>Социалноосигурителни</w:t>
            </w:r>
            <w:proofErr w:type="spellEnd"/>
            <w:r w:rsidRPr="001A28D2">
              <w:rPr>
                <w:color w:val="000000"/>
              </w:rPr>
              <w:t xml:space="preserve"> фондове“</w:t>
            </w:r>
          </w:p>
        </w:tc>
      </w:tr>
      <w:tr w:rsidR="00FE77F4" w:rsidRPr="001A28D2" w14:paraId="1A9F8673" w14:textId="77777777" w:rsidTr="00334438">
        <w:trPr>
          <w:jc w:val="center"/>
        </w:trPr>
        <w:tc>
          <w:tcPr>
            <w:tcW w:w="2638" w:type="dxa"/>
          </w:tcPr>
          <w:p w14:paraId="7D2A442E" w14:textId="77777777" w:rsidR="00FE77F4" w:rsidRPr="001A28D2" w:rsidRDefault="00FE77F4" w:rsidP="00334438">
            <w:pPr>
              <w:tabs>
                <w:tab w:val="left" w:pos="720"/>
              </w:tabs>
              <w:jc w:val="both"/>
              <w:rPr>
                <w:color w:val="000000"/>
              </w:rPr>
            </w:pPr>
            <w:r w:rsidRPr="001A28D2">
              <w:rPr>
                <w:color w:val="000000"/>
              </w:rPr>
              <w:t>Средносрочен период</w:t>
            </w:r>
          </w:p>
        </w:tc>
        <w:tc>
          <w:tcPr>
            <w:tcW w:w="6938" w:type="dxa"/>
          </w:tcPr>
          <w:p w14:paraId="59869218" w14:textId="77777777" w:rsidR="00FE77F4" w:rsidRPr="001A28D2" w:rsidRDefault="00FE77F4" w:rsidP="00334438">
            <w:pPr>
              <w:tabs>
                <w:tab w:val="left" w:pos="720"/>
              </w:tabs>
              <w:jc w:val="both"/>
              <w:rPr>
                <w:color w:val="000000"/>
              </w:rPr>
            </w:pPr>
            <w:r w:rsidRPr="001A28D2">
              <w:rPr>
                <w:color w:val="000000"/>
              </w:rPr>
              <w:t>Период от три години</w:t>
            </w:r>
          </w:p>
        </w:tc>
      </w:tr>
      <w:tr w:rsidR="00FE77F4" w:rsidRPr="001A28D2" w14:paraId="05D0BD3D" w14:textId="77777777" w:rsidTr="00334438">
        <w:trPr>
          <w:jc w:val="center"/>
        </w:trPr>
        <w:tc>
          <w:tcPr>
            <w:tcW w:w="2638" w:type="dxa"/>
          </w:tcPr>
          <w:p w14:paraId="74F5BA8C" w14:textId="77777777" w:rsidR="00FE77F4" w:rsidRPr="001A28D2" w:rsidRDefault="00FE77F4" w:rsidP="00334438">
            <w:pPr>
              <w:tabs>
                <w:tab w:val="left" w:pos="720"/>
              </w:tabs>
              <w:jc w:val="both"/>
              <w:rPr>
                <w:color w:val="000000"/>
              </w:rPr>
            </w:pPr>
            <w:r w:rsidRPr="001A28D2">
              <w:rPr>
                <w:color w:val="000000"/>
              </w:rPr>
              <w:t>Средства от ЕС</w:t>
            </w:r>
          </w:p>
        </w:tc>
        <w:tc>
          <w:tcPr>
            <w:tcW w:w="6938" w:type="dxa"/>
          </w:tcPr>
          <w:p w14:paraId="120285B9" w14:textId="77777777" w:rsidR="00FE77F4" w:rsidRPr="001A28D2" w:rsidRDefault="00FE77F4" w:rsidP="00334438">
            <w:pPr>
              <w:tabs>
                <w:tab w:val="left" w:pos="720"/>
              </w:tabs>
              <w:jc w:val="both"/>
              <w:rPr>
                <w:color w:val="000000"/>
              </w:rPr>
            </w:pPr>
            <w:r w:rsidRPr="001A28D2">
              <w:rPr>
                <w:color w:val="000000"/>
              </w:rPr>
              <w:t>Помощи и дарения, както и средства, които са елемент на финансирането, предоставени от ЕС</w:t>
            </w:r>
          </w:p>
        </w:tc>
      </w:tr>
      <w:tr w:rsidR="00FE77F4" w:rsidRPr="001A28D2" w14:paraId="7EE4C6CC" w14:textId="77777777" w:rsidTr="00334438">
        <w:trPr>
          <w:jc w:val="center"/>
        </w:trPr>
        <w:tc>
          <w:tcPr>
            <w:tcW w:w="2638" w:type="dxa"/>
          </w:tcPr>
          <w:p w14:paraId="33F87506" w14:textId="77777777" w:rsidR="00FE77F4" w:rsidRPr="001A28D2" w:rsidRDefault="00FE77F4" w:rsidP="00334438">
            <w:pPr>
              <w:tabs>
                <w:tab w:val="left" w:pos="720"/>
              </w:tabs>
              <w:jc w:val="both"/>
              <w:rPr>
                <w:color w:val="000000"/>
              </w:rPr>
            </w:pPr>
            <w:r w:rsidRPr="001A28D2">
              <w:rPr>
                <w:color w:val="000000"/>
              </w:rPr>
              <w:t>Средства по други международни програми и договори</w:t>
            </w:r>
          </w:p>
        </w:tc>
        <w:tc>
          <w:tcPr>
            <w:tcW w:w="6938" w:type="dxa"/>
          </w:tcPr>
          <w:p w14:paraId="5DAE32EE" w14:textId="77777777" w:rsidR="00FE77F4" w:rsidRPr="001A28D2" w:rsidRDefault="00FE77F4" w:rsidP="00334438">
            <w:pPr>
              <w:tabs>
                <w:tab w:val="left" w:pos="720"/>
              </w:tabs>
              <w:jc w:val="both"/>
              <w:rPr>
                <w:color w:val="000000"/>
              </w:rPr>
            </w:pPr>
            <w:r w:rsidRPr="001A28D2">
              <w:rPr>
                <w:color w:val="000000"/>
              </w:rPr>
              <w:t>Заеми, помощи и др. безвъзмездно получени средства по международни програми и договори извън средствата от ЕС</w:t>
            </w:r>
          </w:p>
        </w:tc>
      </w:tr>
      <w:tr w:rsidR="00FE77F4" w:rsidRPr="001A28D2" w14:paraId="74C51D47" w14:textId="77777777" w:rsidTr="00334438">
        <w:trPr>
          <w:jc w:val="center"/>
        </w:trPr>
        <w:tc>
          <w:tcPr>
            <w:tcW w:w="2638" w:type="dxa"/>
          </w:tcPr>
          <w:p w14:paraId="29AB875B" w14:textId="77777777" w:rsidR="00FE77F4" w:rsidRPr="001A28D2" w:rsidRDefault="00FE77F4" w:rsidP="00334438">
            <w:pPr>
              <w:tabs>
                <w:tab w:val="left" w:pos="720"/>
              </w:tabs>
              <w:jc w:val="both"/>
              <w:rPr>
                <w:color w:val="000000"/>
              </w:rPr>
            </w:pPr>
            <w:r w:rsidRPr="001A28D2">
              <w:rPr>
                <w:color w:val="000000"/>
              </w:rPr>
              <w:t>Структурен баланс</w:t>
            </w:r>
          </w:p>
        </w:tc>
        <w:tc>
          <w:tcPr>
            <w:tcW w:w="6938" w:type="dxa"/>
          </w:tcPr>
          <w:p w14:paraId="347482A7" w14:textId="77777777" w:rsidR="00FE77F4" w:rsidRPr="001A28D2" w:rsidRDefault="00FE77F4" w:rsidP="00334438">
            <w:pPr>
              <w:tabs>
                <w:tab w:val="left" w:pos="720"/>
              </w:tabs>
              <w:jc w:val="both"/>
              <w:rPr>
                <w:color w:val="000000"/>
              </w:rPr>
            </w:pPr>
            <w:r w:rsidRPr="001A28D2">
              <w:rPr>
                <w:color w:val="000000"/>
              </w:rPr>
              <w:t>Годишното салдо на сектор „Държавно управление“, коригиран спрямо икономическия цикъл, без отчитане на еднократните и временните мерки</w:t>
            </w:r>
          </w:p>
        </w:tc>
      </w:tr>
      <w:tr w:rsidR="00FE77F4" w:rsidRPr="001A28D2" w14:paraId="05ECC784" w14:textId="77777777" w:rsidTr="00334438">
        <w:trPr>
          <w:jc w:val="center"/>
        </w:trPr>
        <w:tc>
          <w:tcPr>
            <w:tcW w:w="2638" w:type="dxa"/>
          </w:tcPr>
          <w:p w14:paraId="49011A1D" w14:textId="77777777" w:rsidR="00FE77F4" w:rsidRPr="001A28D2" w:rsidRDefault="00FE77F4" w:rsidP="00334438">
            <w:pPr>
              <w:tabs>
                <w:tab w:val="left" w:pos="720"/>
              </w:tabs>
              <w:jc w:val="both"/>
              <w:rPr>
                <w:color w:val="000000"/>
              </w:rPr>
            </w:pPr>
            <w:r w:rsidRPr="001A28D2">
              <w:rPr>
                <w:color w:val="000000"/>
              </w:rPr>
              <w:t>Трансфер</w:t>
            </w:r>
          </w:p>
        </w:tc>
        <w:tc>
          <w:tcPr>
            <w:tcW w:w="6938" w:type="dxa"/>
          </w:tcPr>
          <w:p w14:paraId="4A53A4F9" w14:textId="77777777" w:rsidR="00FE77F4" w:rsidRPr="001A28D2" w:rsidRDefault="00FE77F4" w:rsidP="00334438">
            <w:pPr>
              <w:tabs>
                <w:tab w:val="left" w:pos="720"/>
              </w:tabs>
              <w:jc w:val="both"/>
              <w:rPr>
                <w:color w:val="000000"/>
              </w:rPr>
            </w:pPr>
            <w:r w:rsidRPr="001A28D2">
              <w:rPr>
                <w:color w:val="000000"/>
              </w:rPr>
              <w:t>Безвъзмездно прехвърляне на парични средства между ЦБ, бюджетите, сметките за средства от ЕС и сметките за чужди средства</w:t>
            </w:r>
          </w:p>
        </w:tc>
      </w:tr>
      <w:tr w:rsidR="00FE77F4" w:rsidRPr="001A28D2" w14:paraId="66C6DC06" w14:textId="77777777" w:rsidTr="00334438">
        <w:trPr>
          <w:jc w:val="center"/>
        </w:trPr>
        <w:tc>
          <w:tcPr>
            <w:tcW w:w="2638" w:type="dxa"/>
          </w:tcPr>
          <w:p w14:paraId="67AECB5F" w14:textId="77777777" w:rsidR="00FE77F4" w:rsidRPr="001A28D2" w:rsidRDefault="00FE77F4" w:rsidP="00334438">
            <w:pPr>
              <w:tabs>
                <w:tab w:val="left" w:pos="720"/>
              </w:tabs>
              <w:jc w:val="both"/>
              <w:rPr>
                <w:color w:val="000000"/>
              </w:rPr>
            </w:pPr>
            <w:r w:rsidRPr="001A28D2">
              <w:rPr>
                <w:color w:val="000000"/>
              </w:rPr>
              <w:t>Фискален резерв</w:t>
            </w:r>
          </w:p>
        </w:tc>
        <w:tc>
          <w:tcPr>
            <w:tcW w:w="6938" w:type="dxa"/>
          </w:tcPr>
          <w:p w14:paraId="37BCF319" w14:textId="77777777" w:rsidR="00FE77F4" w:rsidRPr="001A28D2" w:rsidRDefault="00FE77F4" w:rsidP="00334438">
            <w:pPr>
              <w:jc w:val="both"/>
              <w:textAlignment w:val="center"/>
              <w:rPr>
                <w:color w:val="000000"/>
              </w:rPr>
            </w:pPr>
            <w:r w:rsidRPr="001A28D2">
              <w:rPr>
                <w:color w:val="000000"/>
              </w:rPr>
              <w:t>Показател, който включва салдата по всички банкови сметки на бюджетните организации, без тези на общините и техните разпоредители с бюджет, активите на Държавния фонд за гарантиране устойчивост на държавната пенсионна система, вземания от фондове на ЕС за сертифицирани разходи, аванси и др.</w:t>
            </w:r>
          </w:p>
        </w:tc>
      </w:tr>
      <w:tr w:rsidR="00FE77F4" w:rsidRPr="001A28D2" w14:paraId="2B03B0BE" w14:textId="77777777" w:rsidTr="00334438">
        <w:trPr>
          <w:jc w:val="center"/>
        </w:trPr>
        <w:tc>
          <w:tcPr>
            <w:tcW w:w="2638" w:type="dxa"/>
          </w:tcPr>
          <w:p w14:paraId="75F3B921" w14:textId="77777777" w:rsidR="00FE77F4" w:rsidRPr="001A28D2" w:rsidRDefault="00FE77F4" w:rsidP="00334438">
            <w:pPr>
              <w:tabs>
                <w:tab w:val="left" w:pos="720"/>
              </w:tabs>
              <w:jc w:val="both"/>
              <w:rPr>
                <w:color w:val="000000"/>
              </w:rPr>
            </w:pPr>
            <w:r w:rsidRPr="001A28D2">
              <w:rPr>
                <w:color w:val="000000"/>
              </w:rPr>
              <w:t>Чужди средства</w:t>
            </w:r>
          </w:p>
        </w:tc>
        <w:tc>
          <w:tcPr>
            <w:tcW w:w="6938" w:type="dxa"/>
          </w:tcPr>
          <w:p w14:paraId="221216DC" w14:textId="77777777" w:rsidR="00FE77F4" w:rsidRPr="001A28D2" w:rsidRDefault="00FE77F4" w:rsidP="00334438">
            <w:pPr>
              <w:jc w:val="both"/>
              <w:textAlignment w:val="center"/>
              <w:rPr>
                <w:color w:val="000000"/>
              </w:rPr>
            </w:pPr>
            <w:r w:rsidRPr="001A28D2">
              <w:rPr>
                <w:color w:val="000000"/>
              </w:rPr>
              <w:t>Съдебни гаранции, гаранциите за обезпечаване на временен внос, депозити за участие в конкурси и търгове, др. гаранции, депозити и средства, временно съхранявани от бюджетната организация за сметка на други лица, вкл. събиране, разходване или временно съхраняване на средства за сметка на бюджети или на сметки за средства от ЕС</w:t>
            </w:r>
          </w:p>
        </w:tc>
      </w:tr>
    </w:tbl>
    <w:p w14:paraId="47A0330D" w14:textId="77777777" w:rsidR="00FE77F4" w:rsidRPr="001A28D2" w:rsidRDefault="00FE77F4" w:rsidP="00FE77F4">
      <w:pPr>
        <w:tabs>
          <w:tab w:val="left" w:pos="0"/>
        </w:tabs>
        <w:ind w:firstLine="709"/>
        <w:jc w:val="both"/>
        <w:rPr>
          <w:b/>
          <w:sz w:val="12"/>
          <w:szCs w:val="12"/>
        </w:rPr>
      </w:pPr>
      <w:r w:rsidRPr="001A28D2">
        <w:br w:type="page"/>
      </w:r>
      <w:r w:rsidRPr="001A28D2">
        <w:rPr>
          <w:b/>
        </w:rPr>
        <w:lastRenderedPageBreak/>
        <w:t>Част първа</w:t>
      </w:r>
    </w:p>
    <w:p w14:paraId="67D3653E" w14:textId="77777777" w:rsidR="00FE77F4" w:rsidRPr="001A28D2" w:rsidRDefault="00FE77F4" w:rsidP="00FE77F4">
      <w:pPr>
        <w:tabs>
          <w:tab w:val="left" w:pos="0"/>
        </w:tabs>
        <w:spacing w:before="120" w:after="120"/>
        <w:ind w:firstLine="709"/>
        <w:jc w:val="both"/>
        <w:rPr>
          <w:b/>
        </w:rPr>
      </w:pPr>
      <w:r w:rsidRPr="001A28D2">
        <w:rPr>
          <w:b/>
        </w:rPr>
        <w:t>РЕЗЮМЕ</w:t>
      </w:r>
    </w:p>
    <w:p w14:paraId="33DFEE77" w14:textId="77777777" w:rsidR="00FE77F4" w:rsidRPr="001A28D2" w:rsidRDefault="00FE77F4" w:rsidP="00FE77F4">
      <w:pPr>
        <w:tabs>
          <w:tab w:val="left" w:pos="0"/>
          <w:tab w:val="left" w:pos="993"/>
        </w:tabs>
        <w:ind w:firstLine="709"/>
        <w:jc w:val="both"/>
        <w:rPr>
          <w:lang w:eastAsia="en-US"/>
        </w:rPr>
      </w:pPr>
      <w:r w:rsidRPr="001A28D2">
        <w:rPr>
          <w:lang w:eastAsia="en-US"/>
        </w:rPr>
        <w:t xml:space="preserve">Предмет на одита е отчетът за изпълнението на държавния бюджет (ДБ) на Република България (РБ) за 2016 г. </w:t>
      </w:r>
    </w:p>
    <w:p w14:paraId="30CC1722" w14:textId="032F3E3A" w:rsidR="00FE77F4" w:rsidRPr="001A28D2" w:rsidRDefault="00FE77F4" w:rsidP="00FE77F4">
      <w:pPr>
        <w:tabs>
          <w:tab w:val="left" w:pos="0"/>
        </w:tabs>
        <w:ind w:firstLine="709"/>
        <w:jc w:val="both"/>
        <w:rPr>
          <w:lang w:eastAsia="en-US"/>
        </w:rPr>
      </w:pPr>
      <w:r w:rsidRPr="001A28D2">
        <w:rPr>
          <w:lang w:eastAsia="en-US"/>
        </w:rPr>
        <w:t xml:space="preserve">Определената област на изследване е „Изготвяне, структура, съдържание и представяне на отчета за изпълнението на </w:t>
      </w:r>
      <w:r w:rsidR="0097677D" w:rsidRPr="001A28D2">
        <w:rPr>
          <w:lang w:eastAsia="en-US"/>
        </w:rPr>
        <w:t>ДБ</w:t>
      </w:r>
      <w:r w:rsidRPr="001A28D2">
        <w:rPr>
          <w:lang w:eastAsia="en-US"/>
        </w:rPr>
        <w:t xml:space="preserve"> на РБ за 2016 г. и мониторинг</w:t>
      </w:r>
      <w:r w:rsidRPr="001A28D2">
        <w:rPr>
          <w:szCs w:val="28"/>
          <w:lang w:eastAsia="en-US"/>
        </w:rPr>
        <w:t xml:space="preserve"> </w:t>
      </w:r>
      <w:r w:rsidRPr="001A28D2">
        <w:rPr>
          <w:lang w:eastAsia="en-US"/>
        </w:rPr>
        <w:t xml:space="preserve">на процесите, </w:t>
      </w:r>
      <w:proofErr w:type="spellStart"/>
      <w:r w:rsidRPr="001A28D2">
        <w:rPr>
          <w:lang w:eastAsia="en-US"/>
        </w:rPr>
        <w:t>относими</w:t>
      </w:r>
      <w:proofErr w:type="spellEnd"/>
      <w:r w:rsidRPr="001A28D2">
        <w:rPr>
          <w:lang w:eastAsia="en-US"/>
        </w:rPr>
        <w:t xml:space="preserve"> към изпълнението на бюджета”, за което са формулирани следните цели:</w:t>
      </w:r>
    </w:p>
    <w:p w14:paraId="018D01C4" w14:textId="4672E8E6" w:rsidR="00360C11" w:rsidRPr="001A28D2" w:rsidRDefault="00360C11" w:rsidP="00360C11">
      <w:pPr>
        <w:ind w:firstLine="709"/>
        <w:jc w:val="both"/>
        <w:rPr>
          <w:lang w:eastAsia="en-US"/>
        </w:rPr>
      </w:pPr>
      <w:r w:rsidRPr="001A28D2">
        <w:rPr>
          <w:lang w:eastAsia="en-US"/>
        </w:rPr>
        <w:t xml:space="preserve">1. Да се установи съответствието в област на изследване „Изготвяне, структура, съдържание и представяне на отчета за изпълнение на </w:t>
      </w:r>
      <w:r w:rsidR="0097677D" w:rsidRPr="001A28D2">
        <w:rPr>
          <w:lang w:eastAsia="en-US"/>
        </w:rPr>
        <w:t>ДБ</w:t>
      </w:r>
      <w:r w:rsidRPr="001A28D2">
        <w:rPr>
          <w:lang w:eastAsia="en-US"/>
        </w:rPr>
        <w:t xml:space="preserve"> за 2016 г. и мониторинг на процесите, </w:t>
      </w:r>
      <w:proofErr w:type="spellStart"/>
      <w:r w:rsidRPr="001A28D2">
        <w:rPr>
          <w:lang w:eastAsia="en-US"/>
        </w:rPr>
        <w:t>относими</w:t>
      </w:r>
      <w:proofErr w:type="spellEnd"/>
      <w:r w:rsidRPr="001A28D2">
        <w:rPr>
          <w:lang w:eastAsia="en-US"/>
        </w:rPr>
        <w:t xml:space="preserve"> към изпълнението на бюджета“ с изискванията на правната рамка.</w:t>
      </w:r>
    </w:p>
    <w:p w14:paraId="1989797F" w14:textId="415D9161" w:rsidR="00360C11" w:rsidRPr="001A28D2" w:rsidRDefault="00360C11" w:rsidP="00360C11">
      <w:pPr>
        <w:ind w:firstLine="709"/>
        <w:jc w:val="both"/>
        <w:rPr>
          <w:lang w:eastAsia="en-US"/>
        </w:rPr>
      </w:pPr>
      <w:r w:rsidRPr="001A28D2">
        <w:rPr>
          <w:lang w:eastAsia="en-US"/>
        </w:rPr>
        <w:t xml:space="preserve">2. Да се установи състоянието на системите за финансово управление и контрол по отношение на изготвянето, структурата, съдържанието и представянето на отчета за изпълнението на </w:t>
      </w:r>
      <w:r w:rsidR="0097677D" w:rsidRPr="001A28D2">
        <w:rPr>
          <w:lang w:eastAsia="en-US"/>
        </w:rPr>
        <w:t>ДБ</w:t>
      </w:r>
      <w:r w:rsidRPr="001A28D2">
        <w:rPr>
          <w:lang w:eastAsia="en-US"/>
        </w:rPr>
        <w:t xml:space="preserve"> на РБ за 2016 г.</w:t>
      </w:r>
    </w:p>
    <w:p w14:paraId="4A06C6F1" w14:textId="77777777" w:rsidR="00360C11" w:rsidRPr="001A28D2" w:rsidRDefault="00360C11" w:rsidP="00360C11">
      <w:pPr>
        <w:ind w:firstLine="709"/>
        <w:jc w:val="both"/>
        <w:rPr>
          <w:lang w:eastAsia="en-US"/>
        </w:rPr>
      </w:pPr>
      <w:r w:rsidRPr="001A28D2">
        <w:rPr>
          <w:lang w:eastAsia="en-US"/>
        </w:rPr>
        <w:t xml:space="preserve">3. Да се провери изпълнението на дадените препоръки в резултат на извършения одит на отчета за изпълнението на ДБ на РБ за 2015 г. </w:t>
      </w:r>
    </w:p>
    <w:p w14:paraId="010AEDAC" w14:textId="167BE383" w:rsidR="00360C11" w:rsidRPr="001A28D2" w:rsidRDefault="00360C11" w:rsidP="00360C11">
      <w:pPr>
        <w:ind w:firstLine="709"/>
        <w:jc w:val="both"/>
        <w:rPr>
          <w:lang w:eastAsia="en-US"/>
        </w:rPr>
      </w:pPr>
      <w:r w:rsidRPr="001A28D2">
        <w:rPr>
          <w:lang w:eastAsia="en-US"/>
        </w:rPr>
        <w:t xml:space="preserve">4. Да се изготви доклад със становище за изпълнението на </w:t>
      </w:r>
      <w:r w:rsidR="0097677D" w:rsidRPr="001A28D2">
        <w:rPr>
          <w:lang w:eastAsia="en-US"/>
        </w:rPr>
        <w:t>ДБ</w:t>
      </w:r>
      <w:r w:rsidRPr="001A28D2">
        <w:rPr>
          <w:lang w:eastAsia="en-US"/>
        </w:rPr>
        <w:t xml:space="preserve"> </w:t>
      </w:r>
      <w:r w:rsidR="0060355B" w:rsidRPr="001A28D2">
        <w:rPr>
          <w:lang w:eastAsia="en-US"/>
        </w:rPr>
        <w:t>на РБ за 2016 г.</w:t>
      </w:r>
      <w:r w:rsidRPr="001A28D2">
        <w:rPr>
          <w:lang w:eastAsia="en-US"/>
        </w:rPr>
        <w:t xml:space="preserve"> за внасяне в Народното събрание на основание чл. 6, ал. 5 от Закона за Сметната палата</w:t>
      </w:r>
      <w:r w:rsidR="0097677D" w:rsidRPr="001A28D2">
        <w:rPr>
          <w:lang w:eastAsia="en-US"/>
        </w:rPr>
        <w:t xml:space="preserve"> (ЗСП)</w:t>
      </w:r>
      <w:r w:rsidRPr="001A28D2">
        <w:rPr>
          <w:lang w:eastAsia="en-US"/>
        </w:rPr>
        <w:t>.</w:t>
      </w:r>
      <w:r w:rsidRPr="001A28D2">
        <w:rPr>
          <w:vertAlign w:val="superscript"/>
          <w:lang w:eastAsia="en-US"/>
        </w:rPr>
        <w:t xml:space="preserve"> </w:t>
      </w:r>
    </w:p>
    <w:p w14:paraId="244C55C3" w14:textId="77777777" w:rsidR="00FE77F4" w:rsidRPr="001A28D2" w:rsidRDefault="00FE77F4" w:rsidP="00FE77F4">
      <w:pPr>
        <w:tabs>
          <w:tab w:val="left" w:pos="0"/>
        </w:tabs>
        <w:ind w:firstLine="709"/>
        <w:jc w:val="both"/>
        <w:rPr>
          <w:lang w:eastAsia="en-US"/>
        </w:rPr>
      </w:pPr>
      <w:r w:rsidRPr="001A28D2">
        <w:rPr>
          <w:lang w:eastAsia="en-US"/>
        </w:rPr>
        <w:t xml:space="preserve">От областта на изследване са изключени бюджетните взаимоотношения с общините, поради големия им брой и широкия кръг от разнородни функции и дейности, свързани с голям обем информация и невъзможност в рамките на ограничените времеви ресурси да бъдат обхванати, в резултат на което е невъзможно събирането на достатъчни и уместни </w:t>
      </w:r>
      <w:proofErr w:type="spellStart"/>
      <w:r w:rsidRPr="001A28D2">
        <w:rPr>
          <w:lang w:eastAsia="en-US"/>
        </w:rPr>
        <w:t>одитни</w:t>
      </w:r>
      <w:proofErr w:type="spellEnd"/>
      <w:r w:rsidRPr="001A28D2">
        <w:rPr>
          <w:lang w:eastAsia="en-US"/>
        </w:rPr>
        <w:t xml:space="preserve"> доказателства.</w:t>
      </w:r>
    </w:p>
    <w:p w14:paraId="1F82E213" w14:textId="5DB0819D" w:rsidR="00FE77F4" w:rsidRPr="001A28D2" w:rsidRDefault="00FE77F4" w:rsidP="00FE77F4">
      <w:pPr>
        <w:tabs>
          <w:tab w:val="left" w:pos="0"/>
        </w:tabs>
        <w:ind w:firstLine="709"/>
        <w:jc w:val="both"/>
        <w:rPr>
          <w:lang w:eastAsia="en-US"/>
        </w:rPr>
      </w:pPr>
      <w:r w:rsidRPr="001A28D2">
        <w:rPr>
          <w:lang w:eastAsia="en-US"/>
        </w:rPr>
        <w:t xml:space="preserve">Приложени са следните критерии за оценка: съответствие на изготвянето, структурата, съдържанието и представянето на отчета за изпълнение на държавния бюджет за 2016 г. и мониторинг на процесите, </w:t>
      </w:r>
      <w:proofErr w:type="spellStart"/>
      <w:r w:rsidRPr="001A28D2">
        <w:rPr>
          <w:lang w:eastAsia="en-US"/>
        </w:rPr>
        <w:t>относими</w:t>
      </w:r>
      <w:proofErr w:type="spellEnd"/>
      <w:r w:rsidRPr="001A28D2">
        <w:rPr>
          <w:lang w:eastAsia="en-US"/>
        </w:rPr>
        <w:t xml:space="preserve"> към изпълнението на бюджета с изискванията на правната рамка; степен на изпълнение на показателите по отчета за изпълнението на държавния бюджет за 2016 г. спрямо утвърдените със Закона за държавния бюджет на Република България </w:t>
      </w:r>
      <w:r w:rsidR="0097677D" w:rsidRPr="001A28D2">
        <w:rPr>
          <w:lang w:eastAsia="en-US"/>
        </w:rPr>
        <w:t xml:space="preserve">(ЗДБРБ) </w:t>
      </w:r>
      <w:r w:rsidRPr="001A28D2">
        <w:rPr>
          <w:lang w:eastAsia="en-US"/>
        </w:rPr>
        <w:t>за 2016 г.</w:t>
      </w:r>
      <w:r w:rsidR="005924F5" w:rsidRPr="001A28D2">
        <w:rPr>
          <w:lang w:eastAsia="en-US"/>
        </w:rPr>
        <w:t>;</w:t>
      </w:r>
      <w:r w:rsidRPr="001A28D2">
        <w:rPr>
          <w:lang w:eastAsia="en-US"/>
        </w:rPr>
        <w:t xml:space="preserve"> </w:t>
      </w:r>
      <w:r w:rsidR="005924F5" w:rsidRPr="001A28D2">
        <w:rPr>
          <w:lang w:eastAsia="en-US"/>
        </w:rPr>
        <w:t xml:space="preserve">степен на изпълнение на дадените препоръки в резултат на извършения одит на изпълнението на отчета на ДБ на РБ за 2015 г. </w:t>
      </w:r>
      <w:r w:rsidRPr="001A28D2">
        <w:rPr>
          <w:lang w:eastAsia="en-US"/>
        </w:rPr>
        <w:t xml:space="preserve">и съответствие на системите за финансово управление и контрол с приложимата правна рамка по отношение на изготвянето, структурата, съдържанието и представянето на отчета за изпълнението на ДБ на РБ за 2016 г. </w:t>
      </w:r>
    </w:p>
    <w:p w14:paraId="7B27AA45" w14:textId="77777777" w:rsidR="00FE77F4" w:rsidRPr="001A28D2" w:rsidRDefault="00FE77F4" w:rsidP="00FE77F4">
      <w:pPr>
        <w:ind w:firstLine="709"/>
        <w:jc w:val="both"/>
        <w:rPr>
          <w:color w:val="000000"/>
          <w:lang w:eastAsia="en-US"/>
        </w:rPr>
      </w:pPr>
      <w:r w:rsidRPr="001A28D2">
        <w:rPr>
          <w:rFonts w:cs="Tahoma"/>
          <w:lang w:eastAsia="en-US"/>
        </w:rPr>
        <w:t xml:space="preserve">От извършения одит е установено, че изготвеният и представен в </w:t>
      </w:r>
      <w:r w:rsidRPr="001A28D2">
        <w:t>Сметната палата</w:t>
      </w:r>
      <w:r w:rsidRPr="001A28D2">
        <w:rPr>
          <w:rFonts w:cs="Tahoma"/>
          <w:lang w:eastAsia="en-US"/>
        </w:rPr>
        <w:t xml:space="preserve"> (СП) отчет е в съответствие с изискванията на Закона за публичните финанси (ЗПФ), действащите вътрешни актове и дадените от министъра на финансите указания. </w:t>
      </w:r>
    </w:p>
    <w:p w14:paraId="3BBC2230" w14:textId="77777777" w:rsidR="00FE77F4" w:rsidRPr="001A28D2" w:rsidRDefault="00FE77F4" w:rsidP="00FE77F4">
      <w:pPr>
        <w:ind w:firstLine="709"/>
        <w:jc w:val="both"/>
        <w:textAlignment w:val="center"/>
        <w:rPr>
          <w:highlight w:val="yellow"/>
        </w:rPr>
      </w:pPr>
      <w:r w:rsidRPr="001A28D2">
        <w:rPr>
          <w:rFonts w:eastAsiaTheme="minorHAnsi"/>
          <w:lang w:eastAsia="en-US"/>
        </w:rPr>
        <w:t>Приходите са отчетени по показателите, по които са приети със ЗДБРБ за 2016 г.</w:t>
      </w:r>
    </w:p>
    <w:p w14:paraId="3B784E80" w14:textId="7681D084" w:rsidR="00FE77F4" w:rsidRPr="001A28D2" w:rsidRDefault="00FE77F4" w:rsidP="00FE77F4">
      <w:pPr>
        <w:ind w:firstLine="709"/>
        <w:jc w:val="both"/>
        <w:textAlignment w:val="center"/>
        <w:rPr>
          <w:rFonts w:eastAsiaTheme="minorHAnsi"/>
          <w:lang w:eastAsia="en-US"/>
        </w:rPr>
      </w:pPr>
      <w:r w:rsidRPr="001A28D2">
        <w:rPr>
          <w:rFonts w:eastAsiaTheme="minorHAnsi"/>
          <w:lang w:eastAsia="en-US"/>
        </w:rPr>
        <w:t>Изпълнението на разчетените със ЗДБРБ за 2016 г. приходи, помощи и дарения е 100,3 на сто, което се дължи на преизпълнение на планираните данъчни приходи.</w:t>
      </w:r>
      <w:r w:rsidRPr="001A28D2">
        <w:rPr>
          <w:rFonts w:asciiTheme="minorHAnsi" w:eastAsiaTheme="minorHAnsi" w:hAnsiTheme="minorHAnsi" w:cstheme="minorBidi"/>
          <w:sz w:val="22"/>
          <w:szCs w:val="22"/>
          <w:lang w:eastAsia="en-US"/>
        </w:rPr>
        <w:t xml:space="preserve"> </w:t>
      </w:r>
      <w:r w:rsidRPr="001A28D2">
        <w:rPr>
          <w:rFonts w:eastAsiaTheme="minorHAnsi"/>
          <w:lang w:eastAsia="en-US"/>
        </w:rPr>
        <w:t xml:space="preserve">Отчетените приходи по </w:t>
      </w:r>
      <w:r w:rsidR="005A2614" w:rsidRPr="001A28D2">
        <w:rPr>
          <w:rFonts w:eastAsiaTheme="minorHAnsi"/>
          <w:lang w:eastAsia="en-US"/>
        </w:rPr>
        <w:t>централния бюджет (</w:t>
      </w:r>
      <w:r w:rsidRPr="001A28D2">
        <w:rPr>
          <w:rFonts w:eastAsiaTheme="minorHAnsi"/>
          <w:lang w:eastAsia="en-US"/>
        </w:rPr>
        <w:t>ЦБ</w:t>
      </w:r>
      <w:r w:rsidR="005A2614" w:rsidRPr="001A28D2">
        <w:rPr>
          <w:rFonts w:eastAsiaTheme="minorHAnsi"/>
          <w:lang w:eastAsia="en-US"/>
        </w:rPr>
        <w:t>)</w:t>
      </w:r>
      <w:r w:rsidRPr="001A28D2">
        <w:rPr>
          <w:rFonts w:eastAsiaTheme="minorHAnsi"/>
          <w:lang w:eastAsia="en-US"/>
        </w:rPr>
        <w:t xml:space="preserve"> представляват 91,6 на сто от приходите по ДБ за 2016 г.</w:t>
      </w:r>
    </w:p>
    <w:p w14:paraId="11684DC8" w14:textId="19F0C42C" w:rsidR="00FE77F4" w:rsidRPr="001A28D2" w:rsidRDefault="00FE77F4" w:rsidP="00FE77F4">
      <w:pPr>
        <w:ind w:firstLine="709"/>
        <w:jc w:val="both"/>
      </w:pPr>
      <w:r w:rsidRPr="001A28D2">
        <w:t xml:space="preserve">Изискването на чл. 88 от ЗПФ по отношение на </w:t>
      </w:r>
      <w:proofErr w:type="spellStart"/>
      <w:r w:rsidRPr="001A28D2">
        <w:t>превишението</w:t>
      </w:r>
      <w:proofErr w:type="spellEnd"/>
      <w:r w:rsidRPr="001A28D2">
        <w:t xml:space="preserve"> на уточнения план на м</w:t>
      </w:r>
      <w:r w:rsidRPr="001A28D2">
        <w:rPr>
          <w:color w:val="000000"/>
        </w:rPr>
        <w:t xml:space="preserve">аксималния размер на ангажиментите за разходи, поети през 2016 г. и </w:t>
      </w:r>
      <w:r w:rsidRPr="001A28D2">
        <w:t xml:space="preserve">на максималния размер на новите задължения за разходи, натрупани през 2016 г. </w:t>
      </w:r>
      <w:r w:rsidR="00184066" w:rsidRPr="001A28D2">
        <w:t>не е спазено</w:t>
      </w:r>
      <w:r w:rsidRPr="001A28D2">
        <w:t xml:space="preserve"> съответно от 3 и от 2 ПРБ, с което е нарушена бюджетната дисциплина.</w:t>
      </w:r>
    </w:p>
    <w:p w14:paraId="697CBDDB" w14:textId="7A5F695E" w:rsidR="00FE77F4" w:rsidRPr="001A28D2" w:rsidRDefault="00FE77F4" w:rsidP="00FE77F4">
      <w:pPr>
        <w:autoSpaceDE w:val="0"/>
        <w:autoSpaceDN w:val="0"/>
        <w:adjustRightInd w:val="0"/>
        <w:ind w:firstLine="709"/>
        <w:jc w:val="both"/>
      </w:pPr>
      <w:r w:rsidRPr="001A28D2">
        <w:lastRenderedPageBreak/>
        <w:t xml:space="preserve">Най-голямо увеличение на капиталови разходи през годината спрямо приетите със закона е извършено по бюджета на Министерството на регионалното развитие и благоустройството (МРРБ). Уточненият план е по-висок с 1 096 492,1 хил. лв. спрямо закона, което до голяма степен се дължи на одобрени допълнителни разходи по бюджета на МРРБ за 2016 г. за изпълнение на Националната програма за енергийна ефективност на </w:t>
      </w:r>
      <w:proofErr w:type="spellStart"/>
      <w:r w:rsidRPr="001A28D2">
        <w:t>многофамилните</w:t>
      </w:r>
      <w:proofErr w:type="spellEnd"/>
      <w:r w:rsidRPr="001A28D2">
        <w:t xml:space="preserve"> жилищни сгради. </w:t>
      </w:r>
      <w:r w:rsidR="005924F5" w:rsidRPr="001A28D2">
        <w:t xml:space="preserve">Съгласно разпоредбата  на чл. 119, ал. 2 ЗПФ, не се допуска започването на програми или проекти, разходите за които не са предвидени в закона за държавния бюджет, а съгласно постановлението за приемането на Националната програма, разходите за безвъзмездна финансова помощ за следващите години следва да се предвиждат по ЦБ за съответната година, което не спазено. </w:t>
      </w:r>
      <w:r w:rsidRPr="001A28D2">
        <w:t>Не е предвиден интересът към програмата, който възниква в течение на годината.</w:t>
      </w:r>
    </w:p>
    <w:p w14:paraId="718C7058" w14:textId="77777777" w:rsidR="00FE77F4" w:rsidRPr="001A28D2" w:rsidRDefault="00FE77F4" w:rsidP="00FE77F4">
      <w:pPr>
        <w:autoSpaceDE w:val="0"/>
        <w:autoSpaceDN w:val="0"/>
        <w:adjustRightInd w:val="0"/>
        <w:ind w:firstLine="709"/>
        <w:jc w:val="both"/>
      </w:pPr>
      <w:r w:rsidRPr="001A28D2">
        <w:t xml:space="preserve">Не е установено </w:t>
      </w:r>
      <w:proofErr w:type="spellStart"/>
      <w:r w:rsidRPr="001A28D2">
        <w:t>превишение</w:t>
      </w:r>
      <w:proofErr w:type="spellEnd"/>
      <w:r w:rsidRPr="001A28D2">
        <w:t xml:space="preserve"> на извършените капиталови разходи по области на политики и бюджетни програми над планираните с изключение на Политиката в областта на опазване на движимото и недвижимото културно наследство и Политиката в областта на земеделието и селските райони (общо с 625 хил. лв.), поради неправилно отчетени разходи и ненавременното им коригиране.</w:t>
      </w:r>
    </w:p>
    <w:p w14:paraId="33BECE7D" w14:textId="0B3AD37D" w:rsidR="00FE77F4" w:rsidRPr="001A28D2" w:rsidRDefault="00FE77F4" w:rsidP="00FE77F4">
      <w:pPr>
        <w:ind w:firstLine="709"/>
        <w:jc w:val="both"/>
        <w:rPr>
          <w:rFonts w:eastAsiaTheme="minorHAnsi"/>
          <w:lang w:eastAsia="en-US"/>
        </w:rPr>
      </w:pPr>
      <w:r w:rsidRPr="001A28D2">
        <w:rPr>
          <w:rFonts w:eastAsiaTheme="minorHAnsi"/>
          <w:lang w:eastAsia="en-US"/>
        </w:rPr>
        <w:t xml:space="preserve">В отчета за изпълнението на ДБ за 2016 г. отразените разходи, бюджетни взаимоотношения (нето) и вноска в общия бюджет на </w:t>
      </w:r>
      <w:r w:rsidR="00255347" w:rsidRPr="001A28D2">
        <w:rPr>
          <w:rFonts w:eastAsiaTheme="minorHAnsi"/>
          <w:lang w:eastAsia="en-US"/>
        </w:rPr>
        <w:t>Европейския съюз (</w:t>
      </w:r>
      <w:r w:rsidRPr="001A28D2">
        <w:rPr>
          <w:rFonts w:eastAsiaTheme="minorHAnsi"/>
          <w:lang w:eastAsia="en-US"/>
        </w:rPr>
        <w:t>ЕС</w:t>
      </w:r>
      <w:r w:rsidR="00255347" w:rsidRPr="001A28D2">
        <w:rPr>
          <w:rFonts w:eastAsiaTheme="minorHAnsi"/>
          <w:lang w:eastAsia="en-US"/>
        </w:rPr>
        <w:t>)</w:t>
      </w:r>
      <w:r w:rsidRPr="001A28D2">
        <w:rPr>
          <w:rFonts w:eastAsiaTheme="minorHAnsi"/>
          <w:lang w:eastAsia="en-US"/>
        </w:rPr>
        <w:t xml:space="preserve"> са изпълнени на 97,2 на сто от приетите със ЗДБРБ за 2016 г. или с 623</w:t>
      </w:r>
      <w:r w:rsidR="00F53FA4" w:rsidRPr="001A28D2">
        <w:rPr>
          <w:rFonts w:eastAsiaTheme="minorHAnsi"/>
          <w:lang w:eastAsia="en-US"/>
        </w:rPr>
        <w:t> </w:t>
      </w:r>
      <w:r w:rsidRPr="001A28D2">
        <w:rPr>
          <w:rFonts w:eastAsiaTheme="minorHAnsi"/>
          <w:lang w:eastAsia="en-US"/>
        </w:rPr>
        <w:t>14</w:t>
      </w:r>
      <w:r w:rsidR="00F53FA4" w:rsidRPr="001A28D2">
        <w:rPr>
          <w:rFonts w:eastAsiaTheme="minorHAnsi"/>
          <w:lang w:eastAsia="en-US"/>
        </w:rPr>
        <w:t>8,</w:t>
      </w:r>
      <w:r w:rsidR="00251258" w:rsidRPr="001A28D2">
        <w:rPr>
          <w:rFonts w:eastAsiaTheme="minorHAnsi"/>
          <w:lang w:eastAsia="en-US"/>
        </w:rPr>
        <w:t>8</w:t>
      </w:r>
      <w:r w:rsidRPr="001A28D2">
        <w:rPr>
          <w:rFonts w:eastAsiaTheme="minorHAnsi"/>
          <w:lang w:eastAsia="en-US"/>
        </w:rPr>
        <w:t xml:space="preserve"> хил. лв. по-малко от очакваното. </w:t>
      </w:r>
    </w:p>
    <w:p w14:paraId="3A046841" w14:textId="5F014FBA" w:rsidR="00FE77F4" w:rsidRPr="001A28D2" w:rsidRDefault="00FE77F4" w:rsidP="00FE77F4">
      <w:pPr>
        <w:ind w:firstLine="709"/>
        <w:jc w:val="both"/>
        <w:textAlignment w:val="center"/>
        <w:rPr>
          <w:rFonts w:eastAsiaTheme="minorHAnsi"/>
          <w:lang w:eastAsia="en-US"/>
        </w:rPr>
      </w:pPr>
      <w:r w:rsidRPr="001A28D2">
        <w:rPr>
          <w:rFonts w:eastAsiaTheme="minorHAnsi"/>
          <w:lang w:eastAsia="en-US"/>
        </w:rPr>
        <w:t xml:space="preserve">Отчетените разходи (без трансфери и вноска за ЕС) по ДБ за 2016 г. са с 840 162,1 хил. лв. по-малко от приетите със ЗДБРБ за 2016 г. </w:t>
      </w:r>
    </w:p>
    <w:p w14:paraId="56204D18" w14:textId="42F2B4D4" w:rsidR="00FE77F4" w:rsidRPr="001A28D2" w:rsidRDefault="00FE77F4" w:rsidP="00FE77F4">
      <w:pPr>
        <w:ind w:firstLine="709"/>
        <w:jc w:val="both"/>
        <w:rPr>
          <w:rFonts w:eastAsia="Calibri"/>
          <w:szCs w:val="22"/>
          <w:lang w:eastAsia="en-US"/>
        </w:rPr>
      </w:pPr>
      <w:r w:rsidRPr="001A28D2">
        <w:rPr>
          <w:rFonts w:eastAsia="Calibri"/>
          <w:szCs w:val="22"/>
          <w:lang w:eastAsia="en-US"/>
        </w:rPr>
        <w:t xml:space="preserve">Реализиран е излишък по Консолидираната фискална програма </w:t>
      </w:r>
      <w:r w:rsidR="00FC3CA4" w:rsidRPr="001A28D2">
        <w:rPr>
          <w:rFonts w:eastAsia="Calibri"/>
          <w:szCs w:val="22"/>
          <w:lang w:eastAsia="en-US"/>
        </w:rPr>
        <w:t xml:space="preserve">(КФП) </w:t>
      </w:r>
      <w:r w:rsidRPr="001A28D2">
        <w:rPr>
          <w:rFonts w:eastAsia="Calibri"/>
          <w:szCs w:val="22"/>
          <w:lang w:eastAsia="en-US"/>
        </w:rPr>
        <w:t>за 2016 г. в размер на 1 46</w:t>
      </w:r>
      <w:r w:rsidR="00F53FA4" w:rsidRPr="001A28D2">
        <w:rPr>
          <w:rFonts w:eastAsia="Calibri"/>
          <w:szCs w:val="22"/>
          <w:lang w:eastAsia="en-US"/>
        </w:rPr>
        <w:t>8</w:t>
      </w:r>
      <w:r w:rsidRPr="001A28D2">
        <w:rPr>
          <w:rFonts w:eastAsia="Calibri"/>
          <w:szCs w:val="22"/>
          <w:lang w:eastAsia="en-US"/>
        </w:rPr>
        <w:t> </w:t>
      </w:r>
      <w:r w:rsidR="00F53FA4" w:rsidRPr="001A28D2">
        <w:rPr>
          <w:rFonts w:eastAsia="Calibri"/>
          <w:szCs w:val="22"/>
          <w:lang w:eastAsia="en-US"/>
        </w:rPr>
        <w:t>081</w:t>
      </w:r>
      <w:r w:rsidRPr="001A28D2">
        <w:rPr>
          <w:rFonts w:eastAsia="Calibri"/>
          <w:szCs w:val="22"/>
          <w:lang w:eastAsia="en-US"/>
        </w:rPr>
        <w:t>,</w:t>
      </w:r>
      <w:r w:rsidR="00F53FA4" w:rsidRPr="001A28D2">
        <w:rPr>
          <w:rFonts w:eastAsia="Calibri"/>
          <w:szCs w:val="22"/>
          <w:lang w:eastAsia="en-US"/>
        </w:rPr>
        <w:t>8</w:t>
      </w:r>
      <w:r w:rsidRPr="001A28D2">
        <w:rPr>
          <w:rFonts w:eastAsia="Calibri"/>
          <w:szCs w:val="22"/>
          <w:lang w:eastAsia="en-US"/>
        </w:rPr>
        <w:t> хил. лв., което се дължи основно на отчетените с 5,</w:t>
      </w:r>
      <w:proofErr w:type="spellStart"/>
      <w:r w:rsidRPr="001A28D2">
        <w:rPr>
          <w:rFonts w:eastAsia="Calibri"/>
          <w:szCs w:val="22"/>
          <w:lang w:eastAsia="en-US"/>
        </w:rPr>
        <w:t>5</w:t>
      </w:r>
      <w:proofErr w:type="spellEnd"/>
      <w:r w:rsidRPr="001A28D2">
        <w:rPr>
          <w:rFonts w:eastAsia="Calibri"/>
          <w:szCs w:val="22"/>
          <w:lang w:eastAsia="en-US"/>
        </w:rPr>
        <w:t xml:space="preserve"> на сто повече приходи и 6,3 на сто по-малко разходи спрямо предходната година. </w:t>
      </w:r>
    </w:p>
    <w:p w14:paraId="303A7680" w14:textId="08BF7D4A" w:rsidR="00FE77F4" w:rsidRPr="001A28D2" w:rsidRDefault="00FE77F4" w:rsidP="00FE77F4">
      <w:pPr>
        <w:ind w:firstLine="709"/>
        <w:contextualSpacing/>
        <w:jc w:val="both"/>
        <w:rPr>
          <w:rFonts w:eastAsiaTheme="minorHAnsi"/>
          <w:lang w:eastAsia="en-US"/>
        </w:rPr>
      </w:pPr>
      <w:r w:rsidRPr="001A28D2">
        <w:rPr>
          <w:rFonts w:eastAsiaTheme="minorHAnsi"/>
          <w:lang w:eastAsia="en-US"/>
        </w:rPr>
        <w:t>Бюджетното салдо по ДБ за 2016 г. е отрицателно и е с 687 89</w:t>
      </w:r>
      <w:r w:rsidR="00D96A8E" w:rsidRPr="001A28D2">
        <w:rPr>
          <w:rFonts w:eastAsiaTheme="minorHAnsi"/>
          <w:lang w:eastAsia="en-US"/>
        </w:rPr>
        <w:t>8</w:t>
      </w:r>
      <w:r w:rsidRPr="001A28D2">
        <w:rPr>
          <w:rFonts w:eastAsiaTheme="minorHAnsi"/>
          <w:lang w:eastAsia="en-US"/>
        </w:rPr>
        <w:t>,</w:t>
      </w:r>
      <w:r w:rsidR="00D96A8E" w:rsidRPr="001A28D2">
        <w:rPr>
          <w:rFonts w:eastAsiaTheme="minorHAnsi"/>
          <w:lang w:eastAsia="en-US"/>
        </w:rPr>
        <w:t>3</w:t>
      </w:r>
      <w:r w:rsidRPr="001A28D2">
        <w:rPr>
          <w:rFonts w:eastAsiaTheme="minorHAnsi"/>
          <w:lang w:eastAsia="en-US"/>
        </w:rPr>
        <w:t> хил. лв. по-малко от заложеното в ЗДБРБ за 2016 г.</w:t>
      </w:r>
    </w:p>
    <w:p w14:paraId="4DE0CBBD" w14:textId="42FACEDB" w:rsidR="00FE77F4" w:rsidRPr="001A28D2" w:rsidRDefault="00FE77F4" w:rsidP="00FE77F4">
      <w:pPr>
        <w:tabs>
          <w:tab w:val="left" w:pos="993"/>
        </w:tabs>
        <w:ind w:firstLine="709"/>
        <w:jc w:val="both"/>
        <w:rPr>
          <w:rFonts w:eastAsiaTheme="minorHAnsi"/>
          <w:lang w:eastAsia="en-US"/>
        </w:rPr>
      </w:pPr>
      <w:r w:rsidRPr="001A28D2">
        <w:rPr>
          <w:rFonts w:eastAsiaTheme="minorHAnsi"/>
          <w:lang w:eastAsia="en-US"/>
        </w:rPr>
        <w:t>В отчета за изпълнението на ДБ за 2016 г., операциите в частта на финансирането (нето) са в размер на 1 099 6</w:t>
      </w:r>
      <w:r w:rsidR="00D96A8E" w:rsidRPr="001A28D2">
        <w:rPr>
          <w:rFonts w:eastAsiaTheme="minorHAnsi"/>
          <w:lang w:eastAsia="en-US"/>
        </w:rPr>
        <w:t>55</w:t>
      </w:r>
      <w:r w:rsidRPr="001A28D2">
        <w:rPr>
          <w:rFonts w:eastAsiaTheme="minorHAnsi"/>
          <w:lang w:eastAsia="en-US"/>
        </w:rPr>
        <w:t>,</w:t>
      </w:r>
      <w:r w:rsidR="00D96A8E" w:rsidRPr="001A28D2">
        <w:rPr>
          <w:rFonts w:eastAsiaTheme="minorHAnsi"/>
          <w:lang w:eastAsia="en-US"/>
        </w:rPr>
        <w:t>8</w:t>
      </w:r>
      <w:r w:rsidRPr="001A28D2">
        <w:rPr>
          <w:rFonts w:eastAsiaTheme="minorHAnsi"/>
          <w:lang w:eastAsia="en-US"/>
        </w:rPr>
        <w:t> хил. лв., в т.ч. външно финансиране (нето) в размер на 3</w:t>
      </w:r>
      <w:r w:rsidR="00D96A8E" w:rsidRPr="001A28D2">
        <w:rPr>
          <w:rFonts w:eastAsiaTheme="minorHAnsi"/>
          <w:lang w:eastAsia="en-US"/>
        </w:rPr>
        <w:t> </w:t>
      </w:r>
      <w:r w:rsidRPr="001A28D2">
        <w:rPr>
          <w:rFonts w:eastAsiaTheme="minorHAnsi"/>
          <w:lang w:eastAsia="en-US"/>
        </w:rPr>
        <w:t>521 799,8 хил. лв., вътрешно финансиране (нето) - (– 2 422</w:t>
      </w:r>
      <w:r w:rsidR="00D96A8E" w:rsidRPr="001A28D2">
        <w:rPr>
          <w:rFonts w:eastAsiaTheme="minorHAnsi"/>
          <w:lang w:eastAsia="en-US"/>
        </w:rPr>
        <w:t> </w:t>
      </w:r>
      <w:r w:rsidRPr="001A28D2">
        <w:rPr>
          <w:rFonts w:eastAsiaTheme="minorHAnsi"/>
          <w:lang w:eastAsia="en-US"/>
        </w:rPr>
        <w:t>4</w:t>
      </w:r>
      <w:r w:rsidR="00D96A8E" w:rsidRPr="001A28D2">
        <w:rPr>
          <w:rFonts w:eastAsiaTheme="minorHAnsi"/>
          <w:lang w:eastAsia="en-US"/>
        </w:rPr>
        <w:t>72,1</w:t>
      </w:r>
      <w:r w:rsidRPr="001A28D2">
        <w:rPr>
          <w:rFonts w:eastAsiaTheme="minorHAnsi"/>
          <w:lang w:eastAsia="en-US"/>
        </w:rPr>
        <w:t>) хил. лв. и приватизация в размер на 328,2 хил. лв.</w:t>
      </w:r>
    </w:p>
    <w:p w14:paraId="43F4F730" w14:textId="77777777" w:rsidR="00FE77F4" w:rsidRPr="001A28D2" w:rsidRDefault="00FE77F4" w:rsidP="00FE77F4">
      <w:pPr>
        <w:ind w:firstLine="709"/>
        <w:jc w:val="both"/>
        <w:rPr>
          <w:color w:val="000000"/>
          <w:lang w:eastAsia="en-US"/>
        </w:rPr>
      </w:pPr>
      <w:r w:rsidRPr="001A28D2">
        <w:rPr>
          <w:lang w:eastAsia="en-US"/>
        </w:rPr>
        <w:t xml:space="preserve">Системите за финансово управление и контрол в изследваната област са в съответствие с изискванията на правната рамка, функционират ефективни контролни механизми и процедури за текущо наблюдение на </w:t>
      </w:r>
      <w:r w:rsidRPr="001A28D2">
        <w:rPr>
          <w:color w:val="000000"/>
          <w:lang w:eastAsia="en-US"/>
        </w:rPr>
        <w:t>съставянето, изпълнението и отчитането на държавния бюджет.</w:t>
      </w:r>
    </w:p>
    <w:p w14:paraId="27BBCB00" w14:textId="35F58CC4" w:rsidR="00FE77F4" w:rsidRPr="001A28D2" w:rsidRDefault="00D96A8E" w:rsidP="00FE77F4">
      <w:pPr>
        <w:ind w:firstLine="709"/>
        <w:jc w:val="both"/>
        <w:rPr>
          <w:color w:val="000000"/>
          <w:lang w:eastAsia="en-US"/>
        </w:rPr>
      </w:pPr>
      <w:r w:rsidRPr="001A28D2">
        <w:rPr>
          <w:color w:val="000000"/>
          <w:lang w:eastAsia="en-US"/>
        </w:rPr>
        <w:t>От д</w:t>
      </w:r>
      <w:r w:rsidR="00FE77F4" w:rsidRPr="001A28D2">
        <w:rPr>
          <w:color w:val="000000"/>
          <w:lang w:eastAsia="en-US"/>
        </w:rPr>
        <w:t>адените с предходн</w:t>
      </w:r>
      <w:r w:rsidR="00E333A0" w:rsidRPr="001A28D2">
        <w:rPr>
          <w:color w:val="000000"/>
          <w:lang w:eastAsia="en-US"/>
        </w:rPr>
        <w:t>ия</w:t>
      </w:r>
      <w:r w:rsidR="00FE77F4" w:rsidRPr="001A28D2">
        <w:rPr>
          <w:color w:val="000000"/>
          <w:lang w:eastAsia="en-US"/>
        </w:rPr>
        <w:t xml:space="preserve"> одит на Сметната палата </w:t>
      </w:r>
      <w:r w:rsidR="00E333A0" w:rsidRPr="001A28D2">
        <w:rPr>
          <w:color w:val="000000"/>
          <w:lang w:eastAsia="en-US"/>
        </w:rPr>
        <w:t xml:space="preserve">общо 6 (шест) </w:t>
      </w:r>
      <w:r w:rsidR="00FE77F4" w:rsidRPr="001A28D2">
        <w:rPr>
          <w:color w:val="000000"/>
          <w:lang w:eastAsia="en-US"/>
        </w:rPr>
        <w:t xml:space="preserve">препоръки </w:t>
      </w:r>
      <w:r w:rsidRPr="001A28D2">
        <w:rPr>
          <w:color w:val="000000"/>
          <w:lang w:eastAsia="en-US"/>
        </w:rPr>
        <w:t xml:space="preserve">са </w:t>
      </w:r>
      <w:r w:rsidR="00FE77F4" w:rsidRPr="001A28D2">
        <w:rPr>
          <w:color w:val="000000"/>
          <w:lang w:eastAsia="en-US"/>
        </w:rPr>
        <w:t>изпълнени</w:t>
      </w:r>
      <w:r w:rsidR="00E333A0" w:rsidRPr="001A28D2">
        <w:rPr>
          <w:color w:val="000000"/>
          <w:lang w:eastAsia="en-US"/>
        </w:rPr>
        <w:t xml:space="preserve"> 5 (пет)</w:t>
      </w:r>
      <w:r w:rsidRPr="001A28D2">
        <w:rPr>
          <w:color w:val="000000"/>
          <w:lang w:eastAsia="en-US"/>
        </w:rPr>
        <w:t xml:space="preserve">, </w:t>
      </w:r>
      <w:r w:rsidR="00E333A0" w:rsidRPr="001A28D2">
        <w:rPr>
          <w:color w:val="000000"/>
          <w:lang w:eastAsia="en-US"/>
        </w:rPr>
        <w:t xml:space="preserve">а </w:t>
      </w:r>
      <w:r w:rsidRPr="001A28D2">
        <w:rPr>
          <w:color w:val="000000"/>
          <w:lang w:eastAsia="en-US"/>
        </w:rPr>
        <w:t>една е изпълнена частично</w:t>
      </w:r>
      <w:r w:rsidR="00FE77F4" w:rsidRPr="001A28D2">
        <w:rPr>
          <w:color w:val="000000"/>
          <w:lang w:eastAsia="en-US"/>
        </w:rPr>
        <w:t>.</w:t>
      </w:r>
    </w:p>
    <w:p w14:paraId="09E2E864" w14:textId="52D8A195" w:rsidR="000D76C4" w:rsidRPr="001A28D2" w:rsidRDefault="000D76C4">
      <w:pPr>
        <w:spacing w:after="200" w:line="276" w:lineRule="auto"/>
        <w:rPr>
          <w:b/>
        </w:rPr>
      </w:pPr>
      <w:r w:rsidRPr="001A28D2">
        <w:rPr>
          <w:b/>
        </w:rPr>
        <w:br w:type="page"/>
      </w:r>
    </w:p>
    <w:p w14:paraId="60F9EC6A" w14:textId="77777777" w:rsidR="00FE77F4" w:rsidRPr="001A28D2" w:rsidRDefault="00FE77F4" w:rsidP="00FE77F4">
      <w:pPr>
        <w:tabs>
          <w:tab w:val="left" w:pos="0"/>
        </w:tabs>
        <w:ind w:firstLine="709"/>
        <w:jc w:val="both"/>
        <w:rPr>
          <w:b/>
        </w:rPr>
      </w:pPr>
      <w:r w:rsidRPr="001A28D2">
        <w:rPr>
          <w:b/>
        </w:rPr>
        <w:lastRenderedPageBreak/>
        <w:t>Част втора</w:t>
      </w:r>
    </w:p>
    <w:p w14:paraId="6EEF7F2A" w14:textId="77777777" w:rsidR="00FE77F4" w:rsidRPr="001A28D2" w:rsidRDefault="00FE77F4" w:rsidP="00FE77F4">
      <w:pPr>
        <w:tabs>
          <w:tab w:val="left" w:pos="0"/>
        </w:tabs>
        <w:spacing w:before="120" w:after="120"/>
        <w:ind w:firstLine="709"/>
        <w:jc w:val="both"/>
        <w:rPr>
          <w:b/>
        </w:rPr>
      </w:pPr>
      <w:r w:rsidRPr="001A28D2">
        <w:rPr>
          <w:b/>
        </w:rPr>
        <w:t>ВЪВЕДЕНИЕ</w:t>
      </w:r>
    </w:p>
    <w:p w14:paraId="2552AD2F" w14:textId="77777777" w:rsidR="004012F2" w:rsidRPr="001A28D2" w:rsidRDefault="004012F2" w:rsidP="004012F2">
      <w:pPr>
        <w:tabs>
          <w:tab w:val="left" w:pos="720"/>
        </w:tabs>
        <w:ind w:firstLine="709"/>
        <w:jc w:val="both"/>
        <w:rPr>
          <w:b/>
          <w:bCs/>
        </w:rPr>
      </w:pPr>
      <w:r w:rsidRPr="001A28D2">
        <w:rPr>
          <w:b/>
          <w:bCs/>
        </w:rPr>
        <w:t xml:space="preserve">1. Основание за извършване на одита </w:t>
      </w:r>
    </w:p>
    <w:p w14:paraId="1EC37946" w14:textId="3365BA3B" w:rsidR="00B26871" w:rsidRPr="001A28D2" w:rsidRDefault="00FE77F4" w:rsidP="00FE77F4">
      <w:pPr>
        <w:tabs>
          <w:tab w:val="left" w:pos="0"/>
        </w:tabs>
        <w:ind w:firstLine="709"/>
        <w:jc w:val="both"/>
        <w:rPr>
          <w:lang w:eastAsia="en-US"/>
        </w:rPr>
      </w:pPr>
      <w:r w:rsidRPr="001A28D2">
        <w:rPr>
          <w:lang w:eastAsia="en-US"/>
        </w:rPr>
        <w:t xml:space="preserve">Одитът на отчета за изпълнението на </w:t>
      </w:r>
      <w:r w:rsidR="008B782B" w:rsidRPr="001A28D2">
        <w:rPr>
          <w:lang w:eastAsia="en-US"/>
        </w:rPr>
        <w:t>ДБ</w:t>
      </w:r>
      <w:r w:rsidRPr="001A28D2">
        <w:rPr>
          <w:lang w:eastAsia="en-US"/>
        </w:rPr>
        <w:t xml:space="preserve"> на </w:t>
      </w:r>
      <w:r w:rsidR="008B782B" w:rsidRPr="001A28D2">
        <w:rPr>
          <w:lang w:eastAsia="en-US"/>
        </w:rPr>
        <w:t>РБ</w:t>
      </w:r>
      <w:r w:rsidRPr="001A28D2">
        <w:rPr>
          <w:lang w:eastAsia="en-US"/>
        </w:rPr>
        <w:t xml:space="preserve"> за 2016 г. е осъществен на основание чл. 5, ал. 1, т. 4 и чл. 38, ал. 1 от Закона за Сметната палата, </w:t>
      </w:r>
      <w:proofErr w:type="spellStart"/>
      <w:r w:rsidRPr="001A28D2">
        <w:rPr>
          <w:lang w:eastAsia="en-US"/>
        </w:rPr>
        <w:t>одитна</w:t>
      </w:r>
      <w:proofErr w:type="spellEnd"/>
      <w:r w:rsidRPr="001A28D2">
        <w:rPr>
          <w:lang w:eastAsia="en-US"/>
        </w:rPr>
        <w:t xml:space="preserve"> задача № 330 от Програмата за одитната дейност на Сметната палата за 2016 г. и в изпълнение на Заповед № ОД-06-02-005 от 16.05.2017 г. на Тошко Тодоров, заместник-председател на Сметната палата. </w:t>
      </w:r>
    </w:p>
    <w:p w14:paraId="74EE543B" w14:textId="08C23DA4" w:rsidR="00FE77F4" w:rsidRPr="001A28D2" w:rsidRDefault="00FE77F4" w:rsidP="00FE77F4">
      <w:pPr>
        <w:tabs>
          <w:tab w:val="left" w:pos="0"/>
        </w:tabs>
        <w:ind w:firstLine="709"/>
        <w:jc w:val="both"/>
        <w:rPr>
          <w:lang w:eastAsia="en-US"/>
        </w:rPr>
      </w:pPr>
      <w:proofErr w:type="spellStart"/>
      <w:r w:rsidRPr="001A28D2">
        <w:rPr>
          <w:lang w:eastAsia="en-US"/>
        </w:rPr>
        <w:t>Одитираният</w:t>
      </w:r>
      <w:proofErr w:type="spellEnd"/>
      <w:r w:rsidRPr="001A28D2">
        <w:rPr>
          <w:lang w:eastAsia="en-US"/>
        </w:rPr>
        <w:t xml:space="preserve"> период е от 01.</w:t>
      </w:r>
      <w:proofErr w:type="spellStart"/>
      <w:r w:rsidRPr="001A28D2">
        <w:rPr>
          <w:lang w:eastAsia="en-US"/>
        </w:rPr>
        <w:t>01</w:t>
      </w:r>
      <w:proofErr w:type="spellEnd"/>
      <w:r w:rsidRPr="001A28D2">
        <w:rPr>
          <w:lang w:eastAsia="en-US"/>
        </w:rPr>
        <w:t>.2016 г. до 31.12.2016 г.</w:t>
      </w:r>
    </w:p>
    <w:p w14:paraId="3A0EDBB2" w14:textId="77777777" w:rsidR="004012F2" w:rsidRPr="001A28D2" w:rsidRDefault="004012F2" w:rsidP="00FE77F4">
      <w:pPr>
        <w:tabs>
          <w:tab w:val="left" w:pos="0"/>
        </w:tabs>
        <w:ind w:firstLine="709"/>
        <w:jc w:val="both"/>
        <w:rPr>
          <w:lang w:eastAsia="en-US"/>
        </w:rPr>
      </w:pPr>
    </w:p>
    <w:p w14:paraId="7D728D2A" w14:textId="77777777" w:rsidR="004012F2" w:rsidRPr="001A28D2" w:rsidRDefault="004012F2" w:rsidP="004012F2">
      <w:pPr>
        <w:tabs>
          <w:tab w:val="left" w:pos="720"/>
        </w:tabs>
        <w:ind w:firstLine="709"/>
        <w:jc w:val="both"/>
        <w:rPr>
          <w:b/>
          <w:bCs/>
        </w:rPr>
      </w:pPr>
      <w:r w:rsidRPr="001A28D2">
        <w:rPr>
          <w:b/>
          <w:bCs/>
        </w:rPr>
        <w:t xml:space="preserve">2. Информация за </w:t>
      </w:r>
      <w:proofErr w:type="spellStart"/>
      <w:r w:rsidRPr="001A28D2">
        <w:rPr>
          <w:b/>
          <w:bCs/>
        </w:rPr>
        <w:t>одитирания</w:t>
      </w:r>
      <w:proofErr w:type="spellEnd"/>
      <w:r w:rsidRPr="001A28D2">
        <w:rPr>
          <w:b/>
          <w:bCs/>
        </w:rPr>
        <w:t xml:space="preserve"> обект</w:t>
      </w:r>
    </w:p>
    <w:p w14:paraId="762263E0" w14:textId="0D673221" w:rsidR="00FE77F4" w:rsidRPr="001A28D2" w:rsidRDefault="00FE77F4" w:rsidP="00FE77F4">
      <w:pPr>
        <w:tabs>
          <w:tab w:val="left" w:pos="0"/>
        </w:tabs>
        <w:ind w:firstLine="709"/>
        <w:jc w:val="both"/>
        <w:rPr>
          <w:lang w:eastAsia="en-US"/>
        </w:rPr>
      </w:pPr>
      <w:r w:rsidRPr="001A28D2">
        <w:rPr>
          <w:lang w:eastAsia="en-US"/>
        </w:rPr>
        <w:t>Министърът на финансите изготвя годишен отчет за изпълнението на държавния бюджет на Република България и отчет на консолидираната фискална програма</w:t>
      </w:r>
      <w:r w:rsidRPr="001A28D2">
        <w:rPr>
          <w:vertAlign w:val="superscript"/>
          <w:lang w:eastAsia="en-US"/>
        </w:rPr>
        <w:footnoteReference w:id="1"/>
      </w:r>
      <w:r w:rsidRPr="001A28D2">
        <w:rPr>
          <w:lang w:eastAsia="en-US"/>
        </w:rPr>
        <w:t xml:space="preserve"> за съответната година, въз основа на годишните отчети на първостепенните разпоредители с бюджет (ПРБ) и отчета на централния бюджет.</w:t>
      </w:r>
      <w:r w:rsidRPr="001A28D2">
        <w:rPr>
          <w:rStyle w:val="FootnoteReference"/>
          <w:lang w:eastAsia="en-US"/>
        </w:rPr>
        <w:footnoteReference w:id="2"/>
      </w:r>
      <w:r w:rsidRPr="001A28D2">
        <w:rPr>
          <w:lang w:eastAsia="en-US"/>
        </w:rPr>
        <w:t xml:space="preserve"> </w:t>
      </w:r>
    </w:p>
    <w:p w14:paraId="205E7FBD" w14:textId="444A99A2" w:rsidR="00FE77F4" w:rsidRPr="001A28D2" w:rsidRDefault="00FE77F4" w:rsidP="00FE77F4">
      <w:pPr>
        <w:tabs>
          <w:tab w:val="left" w:pos="0"/>
        </w:tabs>
        <w:ind w:firstLine="709"/>
        <w:jc w:val="both"/>
        <w:rPr>
          <w:lang w:eastAsia="en-US"/>
        </w:rPr>
      </w:pPr>
      <w:r w:rsidRPr="001A28D2">
        <w:rPr>
          <w:lang w:eastAsia="en-US"/>
        </w:rPr>
        <w:t xml:space="preserve">В </w:t>
      </w:r>
      <w:r w:rsidR="009E5535" w:rsidRPr="001A28D2">
        <w:rPr>
          <w:lang w:eastAsia="en-US"/>
        </w:rPr>
        <w:t>ДБ</w:t>
      </w:r>
      <w:r w:rsidRPr="001A28D2">
        <w:rPr>
          <w:lang w:eastAsia="en-US"/>
        </w:rPr>
        <w:t xml:space="preserve"> са включени </w:t>
      </w:r>
      <w:r w:rsidR="009E5535" w:rsidRPr="001A28D2">
        <w:rPr>
          <w:lang w:eastAsia="en-US"/>
        </w:rPr>
        <w:t>ЦБ</w:t>
      </w:r>
      <w:r w:rsidRPr="001A28D2">
        <w:rPr>
          <w:lang w:eastAsia="en-US"/>
        </w:rPr>
        <w:t>, самостоятелните бюджети на НС и на съдебната власт, бюджетите на органите на изпълнителната власт, на другите държавни органи и бюджетни организации</w:t>
      </w:r>
      <w:r w:rsidR="009E5535" w:rsidRPr="001A28D2">
        <w:rPr>
          <w:lang w:eastAsia="en-US"/>
        </w:rPr>
        <w:t xml:space="preserve">, извън посочените в чл. </w:t>
      </w:r>
      <w:r w:rsidR="004560BD" w:rsidRPr="001A28D2">
        <w:rPr>
          <w:lang w:eastAsia="en-US"/>
        </w:rPr>
        <w:t>13, ал. 3 и ал. 4</w:t>
      </w:r>
      <w:r w:rsidR="009E5535" w:rsidRPr="001A28D2">
        <w:rPr>
          <w:lang w:eastAsia="en-US"/>
        </w:rPr>
        <w:t xml:space="preserve"> от ЗПФ</w:t>
      </w:r>
      <w:r w:rsidRPr="001A28D2">
        <w:rPr>
          <w:lang w:eastAsia="en-US"/>
        </w:rPr>
        <w:t>.</w:t>
      </w:r>
      <w:r w:rsidRPr="001A28D2">
        <w:rPr>
          <w:vertAlign w:val="superscript"/>
          <w:lang w:eastAsia="en-US"/>
        </w:rPr>
        <w:footnoteReference w:id="3"/>
      </w:r>
    </w:p>
    <w:p w14:paraId="520651BD" w14:textId="77777777" w:rsidR="00B26871" w:rsidRPr="001A28D2" w:rsidRDefault="00B26871" w:rsidP="00B26871">
      <w:pPr>
        <w:tabs>
          <w:tab w:val="left" w:pos="0"/>
        </w:tabs>
        <w:ind w:firstLine="709"/>
        <w:jc w:val="both"/>
      </w:pPr>
      <w:r w:rsidRPr="001A28D2">
        <w:rPr>
          <w:lang w:eastAsia="en-US"/>
        </w:rPr>
        <w:t>В държавния бюджет не се включват</w:t>
      </w:r>
      <w:r w:rsidRPr="001A28D2">
        <w:rPr>
          <w:vertAlign w:val="superscript"/>
          <w:lang w:eastAsia="en-US"/>
        </w:rPr>
        <w:footnoteReference w:id="4"/>
      </w:r>
      <w:r w:rsidRPr="001A28D2">
        <w:rPr>
          <w:lang w:eastAsia="en-US"/>
        </w:rPr>
        <w:t xml:space="preserve"> самостоятелните бюджети на общините, бюджетите на </w:t>
      </w:r>
      <w:proofErr w:type="spellStart"/>
      <w:r w:rsidRPr="001A28D2">
        <w:rPr>
          <w:lang w:eastAsia="en-US"/>
        </w:rPr>
        <w:t>социалноосигурителните</w:t>
      </w:r>
      <w:proofErr w:type="spellEnd"/>
      <w:r w:rsidRPr="001A28D2">
        <w:rPr>
          <w:lang w:eastAsia="en-US"/>
        </w:rPr>
        <w:t xml:space="preserve"> фондове, </w:t>
      </w:r>
      <w:r w:rsidRPr="001A28D2">
        <w:t>Българската академия на науките (БАН), държавните висши училища (ДВУ), Българската телеграфна агенция (БТА), Българската национална телевизия (БНТ), Българското национално радио (БНР) и др.</w:t>
      </w:r>
      <w:r w:rsidRPr="001A28D2">
        <w:rPr>
          <w:vertAlign w:val="superscript"/>
          <w:lang w:eastAsia="en-US"/>
        </w:rPr>
        <w:footnoteReference w:id="5"/>
      </w:r>
    </w:p>
    <w:p w14:paraId="577A9BD2" w14:textId="77777777" w:rsidR="00B26871" w:rsidRPr="001A28D2" w:rsidRDefault="00B26871" w:rsidP="00B26871">
      <w:pPr>
        <w:tabs>
          <w:tab w:val="left" w:pos="0"/>
        </w:tabs>
        <w:ind w:firstLine="709"/>
        <w:jc w:val="both"/>
        <w:rPr>
          <w:lang w:eastAsia="en-US"/>
        </w:rPr>
      </w:pPr>
      <w:r w:rsidRPr="001A28D2">
        <w:rPr>
          <w:lang w:eastAsia="en-US"/>
        </w:rPr>
        <w:t>Пряко ангажирани с изпълнението и отчитането на държавния бюджет в Министерството на финансите (МФ) са дирекциите: „Държавно съкровище“, „Държавни разходи“, „Финанси на общините“ и др.</w:t>
      </w:r>
    </w:p>
    <w:p w14:paraId="15B8B12A" w14:textId="077282B3" w:rsidR="00B26871" w:rsidRPr="001A28D2" w:rsidRDefault="00B26871" w:rsidP="00B26871">
      <w:pPr>
        <w:tabs>
          <w:tab w:val="left" w:pos="0"/>
        </w:tabs>
        <w:ind w:firstLine="709"/>
        <w:jc w:val="both"/>
        <w:rPr>
          <w:lang w:eastAsia="en-US"/>
        </w:rPr>
      </w:pPr>
      <w:r w:rsidRPr="001A28D2">
        <w:rPr>
          <w:lang w:eastAsia="en-US"/>
        </w:rPr>
        <w:t xml:space="preserve">Отговорност за управленските решения по смисъла на чл. 6, ал. 1 от Закона за финансовото управление и контрол в публичния сектор </w:t>
      </w:r>
      <w:r w:rsidR="00A131F9" w:rsidRPr="001A28D2">
        <w:rPr>
          <w:lang w:eastAsia="en-US"/>
        </w:rPr>
        <w:t xml:space="preserve">за </w:t>
      </w:r>
      <w:proofErr w:type="spellStart"/>
      <w:r w:rsidR="00A131F9" w:rsidRPr="001A28D2">
        <w:rPr>
          <w:lang w:eastAsia="en-US"/>
        </w:rPr>
        <w:t>одитирания</w:t>
      </w:r>
      <w:proofErr w:type="spellEnd"/>
      <w:r w:rsidR="00A131F9" w:rsidRPr="001A28D2">
        <w:rPr>
          <w:lang w:eastAsia="en-US"/>
        </w:rPr>
        <w:t xml:space="preserve"> период </w:t>
      </w:r>
      <w:r w:rsidRPr="001A28D2">
        <w:rPr>
          <w:lang w:eastAsia="en-US"/>
        </w:rPr>
        <w:t>носи Владислав Иванов Горанов – министър на финансите.</w:t>
      </w:r>
      <w:r w:rsidRPr="001A28D2">
        <w:rPr>
          <w:vertAlign w:val="superscript"/>
          <w:lang w:eastAsia="en-US"/>
        </w:rPr>
        <w:footnoteReference w:id="6"/>
      </w:r>
    </w:p>
    <w:p w14:paraId="517C129B" w14:textId="77777777" w:rsidR="00B26871" w:rsidRPr="001A28D2" w:rsidRDefault="00B26871" w:rsidP="00FE77F4">
      <w:pPr>
        <w:tabs>
          <w:tab w:val="left" w:pos="0"/>
        </w:tabs>
        <w:ind w:firstLine="709"/>
        <w:jc w:val="both"/>
        <w:rPr>
          <w:lang w:eastAsia="en-US"/>
        </w:rPr>
      </w:pPr>
    </w:p>
    <w:p w14:paraId="700A5AE2" w14:textId="77777777" w:rsidR="004012F2" w:rsidRPr="001A28D2" w:rsidRDefault="004012F2" w:rsidP="004012F2">
      <w:pPr>
        <w:tabs>
          <w:tab w:val="left" w:pos="720"/>
        </w:tabs>
        <w:ind w:firstLine="709"/>
        <w:jc w:val="both"/>
        <w:rPr>
          <w:b/>
          <w:bCs/>
        </w:rPr>
      </w:pPr>
      <w:r w:rsidRPr="001A28D2">
        <w:rPr>
          <w:b/>
          <w:bCs/>
        </w:rPr>
        <w:t>3. Цели на одита</w:t>
      </w:r>
    </w:p>
    <w:p w14:paraId="645736C5" w14:textId="77777777" w:rsidR="00FE77F4" w:rsidRPr="001A28D2" w:rsidRDefault="00FE77F4" w:rsidP="00FE77F4">
      <w:pPr>
        <w:tabs>
          <w:tab w:val="left" w:pos="0"/>
        </w:tabs>
        <w:ind w:firstLine="709"/>
        <w:jc w:val="both"/>
        <w:rPr>
          <w:lang w:eastAsia="en-US"/>
        </w:rPr>
      </w:pPr>
      <w:r w:rsidRPr="001A28D2">
        <w:rPr>
          <w:lang w:eastAsia="en-US"/>
        </w:rPr>
        <w:t>Формулираните цели на одита са:</w:t>
      </w:r>
    </w:p>
    <w:p w14:paraId="0399B569" w14:textId="6633CD4B" w:rsidR="00360C11" w:rsidRPr="001A28D2" w:rsidRDefault="004012F2" w:rsidP="00360C11">
      <w:pPr>
        <w:ind w:firstLine="709"/>
        <w:jc w:val="both"/>
        <w:rPr>
          <w:lang w:eastAsia="en-US"/>
        </w:rPr>
      </w:pPr>
      <w:r w:rsidRPr="001A28D2">
        <w:rPr>
          <w:lang w:eastAsia="en-US"/>
        </w:rPr>
        <w:t>3.</w:t>
      </w:r>
      <w:r w:rsidR="00360C11" w:rsidRPr="001A28D2">
        <w:rPr>
          <w:lang w:eastAsia="en-US"/>
        </w:rPr>
        <w:t xml:space="preserve">1. Да се установи съответствието в област на изследване „Изготвяне, структура, съдържание и представяне на отчета за изпълнение на държавния бюджет за 2016 г. и мониторинг на процесите, </w:t>
      </w:r>
      <w:proofErr w:type="spellStart"/>
      <w:r w:rsidR="00360C11" w:rsidRPr="001A28D2">
        <w:rPr>
          <w:lang w:eastAsia="en-US"/>
        </w:rPr>
        <w:t>относими</w:t>
      </w:r>
      <w:proofErr w:type="spellEnd"/>
      <w:r w:rsidR="00360C11" w:rsidRPr="001A28D2">
        <w:rPr>
          <w:lang w:eastAsia="en-US"/>
        </w:rPr>
        <w:t xml:space="preserve"> към изпълнението на бюджета“ с изискванията на правната рамка.</w:t>
      </w:r>
    </w:p>
    <w:p w14:paraId="3AD12BE7" w14:textId="3D4C6696" w:rsidR="00360C11" w:rsidRPr="001A28D2" w:rsidRDefault="004012F2" w:rsidP="00360C11">
      <w:pPr>
        <w:ind w:firstLine="709"/>
        <w:jc w:val="both"/>
        <w:rPr>
          <w:lang w:eastAsia="en-US"/>
        </w:rPr>
      </w:pPr>
      <w:r w:rsidRPr="001A28D2">
        <w:rPr>
          <w:lang w:eastAsia="en-US"/>
        </w:rPr>
        <w:t>3.</w:t>
      </w:r>
      <w:r w:rsidR="00360C11" w:rsidRPr="001A28D2">
        <w:rPr>
          <w:lang w:eastAsia="en-US"/>
        </w:rPr>
        <w:t>2. Да се установи състоянието на системите за финансово управление и контрол по отношение на изготвянето, структурата, съдържанието и представянето на отчета за изпълнението на държавния бюджет на РБ за 2016 г.</w:t>
      </w:r>
    </w:p>
    <w:p w14:paraId="058DFD96" w14:textId="0CB054D7" w:rsidR="00360C11" w:rsidRPr="001A28D2" w:rsidRDefault="004012F2" w:rsidP="00360C11">
      <w:pPr>
        <w:ind w:firstLine="709"/>
        <w:jc w:val="both"/>
        <w:rPr>
          <w:lang w:eastAsia="en-US"/>
        </w:rPr>
      </w:pPr>
      <w:r w:rsidRPr="001A28D2">
        <w:rPr>
          <w:lang w:eastAsia="en-US"/>
        </w:rPr>
        <w:lastRenderedPageBreak/>
        <w:t>3.</w:t>
      </w:r>
      <w:proofErr w:type="spellStart"/>
      <w:r w:rsidR="00360C11" w:rsidRPr="001A28D2">
        <w:rPr>
          <w:lang w:eastAsia="en-US"/>
        </w:rPr>
        <w:t>3</w:t>
      </w:r>
      <w:proofErr w:type="spellEnd"/>
      <w:r w:rsidR="00360C11" w:rsidRPr="001A28D2">
        <w:rPr>
          <w:lang w:eastAsia="en-US"/>
        </w:rPr>
        <w:t xml:space="preserve">. Да се провери изпълнението на дадените препоръки в резултат на извършения одит на отчета за изпълнението на ДБ на РБ за 2015 г. </w:t>
      </w:r>
    </w:p>
    <w:p w14:paraId="33460D9A" w14:textId="5ECEA02A" w:rsidR="00360C11" w:rsidRPr="001A28D2" w:rsidRDefault="004012F2" w:rsidP="00360C11">
      <w:pPr>
        <w:ind w:firstLine="709"/>
        <w:jc w:val="both"/>
        <w:rPr>
          <w:lang w:eastAsia="en-US"/>
        </w:rPr>
      </w:pPr>
      <w:r w:rsidRPr="001A28D2">
        <w:rPr>
          <w:lang w:eastAsia="en-US"/>
        </w:rPr>
        <w:t>3.</w:t>
      </w:r>
      <w:r w:rsidR="00360C11" w:rsidRPr="001A28D2">
        <w:rPr>
          <w:lang w:eastAsia="en-US"/>
        </w:rPr>
        <w:t>4. Да се изготви доклад със становище за изпълнението на държавния бюджет за 2016 г., за внасяне в Народното събрание на основание чл. 6, ал. 5 от Закона за Сметната палата.</w:t>
      </w:r>
      <w:r w:rsidR="00360C11" w:rsidRPr="001A28D2">
        <w:rPr>
          <w:vertAlign w:val="superscript"/>
          <w:lang w:eastAsia="en-US"/>
        </w:rPr>
        <w:t xml:space="preserve"> </w:t>
      </w:r>
    </w:p>
    <w:p w14:paraId="71AFEA49" w14:textId="77777777" w:rsidR="00B26871" w:rsidRPr="001A28D2" w:rsidRDefault="00B26871" w:rsidP="00B26871">
      <w:pPr>
        <w:tabs>
          <w:tab w:val="left" w:pos="720"/>
        </w:tabs>
        <w:ind w:firstLine="709"/>
        <w:jc w:val="both"/>
        <w:rPr>
          <w:b/>
          <w:bCs/>
        </w:rPr>
      </w:pPr>
      <w:r w:rsidRPr="001A28D2">
        <w:rPr>
          <w:b/>
          <w:bCs/>
        </w:rPr>
        <w:t>4. Обхват на одита и ограничения в обхвата</w:t>
      </w:r>
    </w:p>
    <w:p w14:paraId="514321E4" w14:textId="081F4890" w:rsidR="00FE77F4" w:rsidRPr="001A28D2" w:rsidRDefault="00FE77F4" w:rsidP="00FE77F4">
      <w:pPr>
        <w:tabs>
          <w:tab w:val="left" w:pos="0"/>
        </w:tabs>
        <w:ind w:firstLine="709"/>
        <w:jc w:val="both"/>
        <w:rPr>
          <w:lang w:eastAsia="en-US"/>
        </w:rPr>
      </w:pPr>
      <w:r w:rsidRPr="001A28D2">
        <w:rPr>
          <w:lang w:eastAsia="en-US"/>
        </w:rPr>
        <w:t>Определена е област на изследване „Изготвяне, структура, съдържание и представяне на отчета за изпълнението на държавния бюджет на РБ за 2016 г. и мониторинг</w:t>
      </w:r>
      <w:r w:rsidRPr="001A28D2">
        <w:rPr>
          <w:szCs w:val="28"/>
          <w:lang w:eastAsia="en-US"/>
        </w:rPr>
        <w:t xml:space="preserve"> </w:t>
      </w:r>
      <w:r w:rsidRPr="001A28D2">
        <w:rPr>
          <w:lang w:eastAsia="en-US"/>
        </w:rPr>
        <w:t xml:space="preserve">на процесите, </w:t>
      </w:r>
      <w:proofErr w:type="spellStart"/>
      <w:r w:rsidRPr="001A28D2">
        <w:rPr>
          <w:lang w:eastAsia="en-US"/>
        </w:rPr>
        <w:t>относими</w:t>
      </w:r>
      <w:proofErr w:type="spellEnd"/>
      <w:r w:rsidRPr="001A28D2">
        <w:rPr>
          <w:lang w:eastAsia="en-US"/>
        </w:rPr>
        <w:t xml:space="preserve"> към изпълнението на бюджета”. Изключени са бюджетните взаимоотношения с общините, поради големия им брой и широкия кръг от разнородни функции и дейности, свързани с голям обем информация и невъзможност в рамките на ограничените времеви ресурси да бъдат обхванати, в резултат на което е невъзможно събирането на достатъчни и уместни </w:t>
      </w:r>
      <w:proofErr w:type="spellStart"/>
      <w:r w:rsidRPr="001A28D2">
        <w:rPr>
          <w:lang w:eastAsia="en-US"/>
        </w:rPr>
        <w:t>одитни</w:t>
      </w:r>
      <w:proofErr w:type="spellEnd"/>
      <w:r w:rsidRPr="001A28D2">
        <w:rPr>
          <w:lang w:eastAsia="en-US"/>
        </w:rPr>
        <w:t xml:space="preserve"> доказателства.</w:t>
      </w:r>
    </w:p>
    <w:p w14:paraId="332F770F" w14:textId="77777777" w:rsidR="00E00EA9" w:rsidRPr="001A28D2" w:rsidRDefault="00E00EA9" w:rsidP="00FE77F4">
      <w:pPr>
        <w:tabs>
          <w:tab w:val="left" w:pos="0"/>
        </w:tabs>
        <w:ind w:firstLine="709"/>
        <w:jc w:val="both"/>
        <w:rPr>
          <w:lang w:eastAsia="en-US"/>
        </w:rPr>
      </w:pPr>
    </w:p>
    <w:p w14:paraId="138C1DC0" w14:textId="77777777" w:rsidR="00B26871" w:rsidRPr="001A28D2" w:rsidRDefault="00B26871" w:rsidP="00B26871">
      <w:pPr>
        <w:tabs>
          <w:tab w:val="left" w:pos="720"/>
        </w:tabs>
        <w:ind w:firstLine="709"/>
        <w:jc w:val="both"/>
        <w:rPr>
          <w:b/>
          <w:bCs/>
        </w:rPr>
      </w:pPr>
      <w:r w:rsidRPr="001A28D2">
        <w:rPr>
          <w:b/>
          <w:bCs/>
        </w:rPr>
        <w:t>5. Критерии за оценка</w:t>
      </w:r>
    </w:p>
    <w:p w14:paraId="17781B98" w14:textId="2BD4E652" w:rsidR="00FE77F4" w:rsidRPr="001A28D2" w:rsidRDefault="00FE77F4" w:rsidP="00FE77F4">
      <w:pPr>
        <w:tabs>
          <w:tab w:val="left" w:pos="0"/>
        </w:tabs>
        <w:ind w:firstLine="709"/>
        <w:jc w:val="both"/>
        <w:rPr>
          <w:lang w:eastAsia="en-US"/>
        </w:rPr>
      </w:pPr>
      <w:r w:rsidRPr="001A28D2">
        <w:rPr>
          <w:lang w:eastAsia="en-US"/>
        </w:rPr>
        <w:t xml:space="preserve">Приложени са следните критерии за оценка: съответствие на изготвянето, структурата, съдържанието и представянето на отчета за изпълнение на държавния бюджет за 2016 г. и мониторинг на процесите, </w:t>
      </w:r>
      <w:proofErr w:type="spellStart"/>
      <w:r w:rsidRPr="001A28D2">
        <w:rPr>
          <w:lang w:eastAsia="en-US"/>
        </w:rPr>
        <w:t>относими</w:t>
      </w:r>
      <w:proofErr w:type="spellEnd"/>
      <w:r w:rsidRPr="001A28D2">
        <w:rPr>
          <w:lang w:eastAsia="en-US"/>
        </w:rPr>
        <w:t xml:space="preserve"> към изпълнението на бюджета с изискванията на правната рамка; степен на изпълнение на показателите по отчета за изпълнението на държавния бюджет за 2016 г. </w:t>
      </w:r>
      <w:r w:rsidRPr="001A28D2">
        <w:rPr>
          <w:spacing w:val="-2"/>
          <w:lang w:eastAsia="en-US"/>
        </w:rPr>
        <w:t>спрямо утвърдените със Закона за държавния бюджет на Република България за 2016 г.</w:t>
      </w:r>
      <w:r w:rsidR="00303718" w:rsidRPr="001A28D2">
        <w:rPr>
          <w:spacing w:val="-2"/>
          <w:lang w:eastAsia="en-US"/>
        </w:rPr>
        <w:t>; степен на изпълнение на дадените препоръки в резултат на извършения одит на изпълнението на отчета на ДБ на РБ за 2015 г.;</w:t>
      </w:r>
      <w:r w:rsidRPr="001A28D2">
        <w:rPr>
          <w:lang w:eastAsia="en-US"/>
        </w:rPr>
        <w:t xml:space="preserve"> и съответствие на системите за финансово управление и контрол с приложимата правна рамка по отношение на изготвянето, структурата, съдържанието и представянето на отчета за изпълнението на ДБ на РБ за 2016 г. </w:t>
      </w:r>
    </w:p>
    <w:p w14:paraId="2194A6D7" w14:textId="77777777" w:rsidR="00E00EA9" w:rsidRPr="001A28D2" w:rsidRDefault="00E00EA9" w:rsidP="00FE77F4">
      <w:pPr>
        <w:tabs>
          <w:tab w:val="left" w:pos="0"/>
        </w:tabs>
        <w:ind w:firstLine="709"/>
        <w:jc w:val="both"/>
        <w:rPr>
          <w:lang w:eastAsia="en-US"/>
        </w:rPr>
      </w:pPr>
    </w:p>
    <w:p w14:paraId="0C943D2A" w14:textId="77777777" w:rsidR="00FC3CA4" w:rsidRPr="001A28D2" w:rsidRDefault="00FC3CA4" w:rsidP="00FC3CA4">
      <w:pPr>
        <w:tabs>
          <w:tab w:val="left" w:pos="720"/>
        </w:tabs>
        <w:ind w:firstLine="709"/>
        <w:jc w:val="both"/>
        <w:rPr>
          <w:b/>
          <w:bCs/>
        </w:rPr>
      </w:pPr>
      <w:r w:rsidRPr="001A28D2">
        <w:rPr>
          <w:b/>
          <w:bCs/>
        </w:rPr>
        <w:t>6. Одитни стандарти</w:t>
      </w:r>
    </w:p>
    <w:p w14:paraId="1A3F6DED" w14:textId="77777777" w:rsidR="00FE77F4" w:rsidRPr="001A28D2" w:rsidRDefault="00FE77F4" w:rsidP="00FE77F4">
      <w:pPr>
        <w:ind w:firstLine="709"/>
        <w:jc w:val="both"/>
        <w:rPr>
          <w:lang w:eastAsia="en-US"/>
        </w:rPr>
      </w:pPr>
      <w:r w:rsidRPr="001A28D2">
        <w:rPr>
          <w:lang w:eastAsia="en-US"/>
        </w:rPr>
        <w:t xml:space="preserve">Одитът е изпълнен в съответствие с МСВОИ 100 Основни принципи на одита в публичния сектор, МСВОИ 400 Основни принципи на одита за съответствие и МСВОИ 4100 Указания за одит за съответствие - за одити, извършени отделно от одити на финансовите отчети. </w:t>
      </w:r>
    </w:p>
    <w:p w14:paraId="0E68CBB5" w14:textId="77777777" w:rsidR="00FE77F4" w:rsidRPr="001A28D2" w:rsidRDefault="00FE77F4" w:rsidP="00FE77F4">
      <w:pPr>
        <w:tabs>
          <w:tab w:val="left" w:pos="0"/>
        </w:tabs>
        <w:ind w:firstLine="709"/>
        <w:jc w:val="both"/>
      </w:pPr>
    </w:p>
    <w:p w14:paraId="655B917A" w14:textId="77777777" w:rsidR="00FE77F4" w:rsidRPr="001A28D2" w:rsidRDefault="00FE77F4" w:rsidP="00FE77F4">
      <w:pPr>
        <w:tabs>
          <w:tab w:val="left" w:pos="0"/>
        </w:tabs>
        <w:ind w:firstLine="709"/>
        <w:jc w:val="both"/>
        <w:rPr>
          <w:b/>
        </w:rPr>
      </w:pPr>
      <w:r w:rsidRPr="001A28D2">
        <w:rPr>
          <w:b/>
        </w:rPr>
        <w:t>Част трета</w:t>
      </w:r>
    </w:p>
    <w:p w14:paraId="04E8F467" w14:textId="77777777" w:rsidR="00FE77F4" w:rsidRPr="001A28D2" w:rsidRDefault="00FE77F4" w:rsidP="00FE77F4">
      <w:pPr>
        <w:tabs>
          <w:tab w:val="left" w:pos="0"/>
        </w:tabs>
        <w:spacing w:before="120" w:after="120"/>
        <w:ind w:firstLine="709"/>
        <w:jc w:val="both"/>
        <w:rPr>
          <w:b/>
        </w:rPr>
      </w:pPr>
      <w:r w:rsidRPr="001A28D2">
        <w:rPr>
          <w:b/>
        </w:rPr>
        <w:t>КОНСТАТАЦИИ</w:t>
      </w:r>
    </w:p>
    <w:p w14:paraId="1F20E3E1" w14:textId="37253E23" w:rsidR="00AA2171" w:rsidRPr="001A28D2" w:rsidRDefault="009446E7" w:rsidP="007E77CC">
      <w:pPr>
        <w:pStyle w:val="ListParagraph"/>
        <w:numPr>
          <w:ilvl w:val="0"/>
          <w:numId w:val="2"/>
        </w:numPr>
        <w:tabs>
          <w:tab w:val="left" w:pos="0"/>
          <w:tab w:val="left" w:pos="993"/>
        </w:tabs>
        <w:ind w:left="0" w:firstLine="709"/>
        <w:jc w:val="both"/>
        <w:rPr>
          <w:rFonts w:ascii="Times New Roman" w:hAnsi="Times New Roman" w:cs="Times New Roman"/>
          <w:b/>
          <w:lang w:val="bg-BG"/>
        </w:rPr>
      </w:pPr>
      <w:r w:rsidRPr="001A28D2">
        <w:rPr>
          <w:rFonts w:ascii="Times New Roman" w:hAnsi="Times New Roman" w:cs="Times New Roman"/>
          <w:b/>
          <w:lang w:val="bg-BG"/>
        </w:rPr>
        <w:t>Съответствие на и</w:t>
      </w:r>
      <w:r w:rsidR="00AA2171" w:rsidRPr="001A28D2">
        <w:rPr>
          <w:rFonts w:ascii="Times New Roman" w:hAnsi="Times New Roman" w:cs="Times New Roman"/>
          <w:b/>
          <w:lang w:val="bg-BG"/>
        </w:rPr>
        <w:t>зготвяне</w:t>
      </w:r>
      <w:r w:rsidRPr="001A28D2">
        <w:rPr>
          <w:rFonts w:ascii="Times New Roman" w:hAnsi="Times New Roman" w:cs="Times New Roman"/>
          <w:b/>
          <w:lang w:val="bg-BG"/>
        </w:rPr>
        <w:t>то,</w:t>
      </w:r>
      <w:r w:rsidR="00AA2171" w:rsidRPr="001A28D2">
        <w:rPr>
          <w:rFonts w:ascii="Times New Roman" w:hAnsi="Times New Roman" w:cs="Times New Roman"/>
          <w:b/>
          <w:lang w:val="bg-BG"/>
        </w:rPr>
        <w:t xml:space="preserve"> структура</w:t>
      </w:r>
      <w:r w:rsidRPr="001A28D2">
        <w:rPr>
          <w:rFonts w:ascii="Times New Roman" w:hAnsi="Times New Roman" w:cs="Times New Roman"/>
          <w:b/>
          <w:lang w:val="bg-BG"/>
        </w:rPr>
        <w:t>та</w:t>
      </w:r>
      <w:r w:rsidR="00AA2171" w:rsidRPr="001A28D2">
        <w:rPr>
          <w:rFonts w:ascii="Times New Roman" w:hAnsi="Times New Roman" w:cs="Times New Roman"/>
          <w:b/>
          <w:lang w:val="bg-BG"/>
        </w:rPr>
        <w:t>, съдържание</w:t>
      </w:r>
      <w:r w:rsidRPr="001A28D2">
        <w:rPr>
          <w:rFonts w:ascii="Times New Roman" w:hAnsi="Times New Roman" w:cs="Times New Roman"/>
          <w:b/>
          <w:lang w:val="bg-BG"/>
        </w:rPr>
        <w:t>то</w:t>
      </w:r>
      <w:r w:rsidR="00AA2171" w:rsidRPr="001A28D2">
        <w:rPr>
          <w:rFonts w:ascii="Times New Roman" w:hAnsi="Times New Roman" w:cs="Times New Roman"/>
          <w:b/>
          <w:lang w:val="bg-BG"/>
        </w:rPr>
        <w:t xml:space="preserve"> и представяне</w:t>
      </w:r>
      <w:r w:rsidRPr="001A28D2">
        <w:rPr>
          <w:rFonts w:ascii="Times New Roman" w:hAnsi="Times New Roman" w:cs="Times New Roman"/>
          <w:b/>
          <w:lang w:val="bg-BG"/>
        </w:rPr>
        <w:t>то</w:t>
      </w:r>
      <w:r w:rsidR="00AA2171" w:rsidRPr="001A28D2">
        <w:rPr>
          <w:rFonts w:ascii="Times New Roman" w:hAnsi="Times New Roman" w:cs="Times New Roman"/>
          <w:b/>
          <w:lang w:val="bg-BG"/>
        </w:rPr>
        <w:t xml:space="preserve"> на отчета за изпълнението на държавния бюджет на Република България</w:t>
      </w:r>
      <w:r w:rsidRPr="001A28D2">
        <w:rPr>
          <w:rFonts w:ascii="Times New Roman" w:hAnsi="Times New Roman" w:cs="Times New Roman"/>
          <w:b/>
          <w:lang w:val="bg-BG"/>
        </w:rPr>
        <w:t xml:space="preserve"> с изискванията на нормативните и вътрешните актове</w:t>
      </w:r>
    </w:p>
    <w:p w14:paraId="4BD3043B" w14:textId="77777777" w:rsidR="00ED36C9" w:rsidRPr="001A28D2" w:rsidRDefault="00ED36C9" w:rsidP="007E77CC">
      <w:pPr>
        <w:pStyle w:val="ListParagraph"/>
        <w:tabs>
          <w:tab w:val="left" w:pos="0"/>
          <w:tab w:val="left" w:pos="993"/>
        </w:tabs>
        <w:ind w:left="709" w:firstLine="709"/>
        <w:jc w:val="both"/>
        <w:rPr>
          <w:rFonts w:ascii="Times New Roman" w:hAnsi="Times New Roman" w:cs="Times New Roman"/>
          <w:b/>
          <w:lang w:val="bg-BG"/>
        </w:rPr>
      </w:pPr>
    </w:p>
    <w:p w14:paraId="79562EEF" w14:textId="543D90AC" w:rsidR="00B23797" w:rsidRPr="001A28D2" w:rsidRDefault="00B23797" w:rsidP="007E77CC">
      <w:pPr>
        <w:ind w:firstLine="709"/>
        <w:jc w:val="both"/>
      </w:pPr>
      <w:r w:rsidRPr="001A28D2">
        <w:t xml:space="preserve">В </w:t>
      </w:r>
      <w:r w:rsidR="00FC3CA4" w:rsidRPr="001A28D2">
        <w:t>ДБ</w:t>
      </w:r>
      <w:r w:rsidR="00120BD0" w:rsidRPr="001A28D2">
        <w:t xml:space="preserve"> се включват</w:t>
      </w:r>
      <w:r w:rsidRPr="001A28D2">
        <w:t xml:space="preserve"> </w:t>
      </w:r>
      <w:r w:rsidR="00FC3CA4" w:rsidRPr="001A28D2">
        <w:t>ЦБ</w:t>
      </w:r>
      <w:r w:rsidRPr="001A28D2">
        <w:t>,</w:t>
      </w:r>
      <w:r w:rsidRPr="001A28D2" w:rsidDel="00DF4B22">
        <w:t xml:space="preserve"> </w:t>
      </w:r>
      <w:r w:rsidRPr="001A28D2">
        <w:t xml:space="preserve">самостоятелните бюджети на </w:t>
      </w:r>
      <w:r w:rsidR="009A3646" w:rsidRPr="001A28D2">
        <w:t>НС</w:t>
      </w:r>
      <w:r w:rsidRPr="001A28D2">
        <w:t xml:space="preserve">, на съдебната власт, бюджетите на органите на изпълнителната власт, на другите държавни органи и на бюджетните организации </w:t>
      </w:r>
      <w:r w:rsidR="00120BD0" w:rsidRPr="001A28D2">
        <w:t xml:space="preserve">с изключение на бюджетите на общините, бюджетите на </w:t>
      </w:r>
      <w:proofErr w:type="spellStart"/>
      <w:r w:rsidR="00120BD0" w:rsidRPr="001A28D2">
        <w:t>социалноосигурителните</w:t>
      </w:r>
      <w:proofErr w:type="spellEnd"/>
      <w:r w:rsidR="00120BD0" w:rsidRPr="001A28D2">
        <w:t xml:space="preserve"> фондове</w:t>
      </w:r>
      <w:r w:rsidR="00120BD0" w:rsidRPr="001A28D2">
        <w:rPr>
          <w:rStyle w:val="FootnoteReference"/>
        </w:rPr>
        <w:footnoteReference w:id="7"/>
      </w:r>
      <w:r w:rsidR="00120BD0" w:rsidRPr="001A28D2">
        <w:t xml:space="preserve"> и бюджетите на БАН, ДВУ, БТА, БНТ, БНР</w:t>
      </w:r>
      <w:r w:rsidR="00120BD0" w:rsidRPr="001A28D2">
        <w:rPr>
          <w:rStyle w:val="FootnoteReference"/>
        </w:rPr>
        <w:footnoteReference w:id="8"/>
      </w:r>
      <w:r w:rsidR="00120BD0" w:rsidRPr="001A28D2">
        <w:t xml:space="preserve"> и други </w:t>
      </w:r>
      <w:r w:rsidR="00120BD0" w:rsidRPr="001A28D2">
        <w:lastRenderedPageBreak/>
        <w:t xml:space="preserve">икономически обособени лица и структурни единици, включени в </w:t>
      </w:r>
      <w:r w:rsidR="00E01A76" w:rsidRPr="001A28D2">
        <w:t>Ко</w:t>
      </w:r>
      <w:r w:rsidR="000C18D9" w:rsidRPr="001A28D2">
        <w:t>нсолидираната фискална програма</w:t>
      </w:r>
      <w:r w:rsidRPr="001A28D2">
        <w:t>.</w:t>
      </w:r>
      <w:r w:rsidR="00120BD0" w:rsidRPr="001A28D2">
        <w:rPr>
          <w:rStyle w:val="FootnoteReference"/>
        </w:rPr>
        <w:footnoteReference w:id="9"/>
      </w:r>
    </w:p>
    <w:p w14:paraId="7A538F6A" w14:textId="77777777" w:rsidR="00421FE9" w:rsidRPr="001A28D2" w:rsidRDefault="00421FE9" w:rsidP="007E77CC">
      <w:pPr>
        <w:pStyle w:val="ListParagraph"/>
        <w:tabs>
          <w:tab w:val="left" w:pos="0"/>
          <w:tab w:val="left" w:pos="993"/>
        </w:tabs>
        <w:ind w:left="0" w:firstLine="709"/>
        <w:jc w:val="both"/>
        <w:rPr>
          <w:rFonts w:ascii="Times New Roman" w:hAnsi="Times New Roman" w:cs="Times New Roman"/>
          <w:lang w:val="bg-BG"/>
        </w:rPr>
      </w:pPr>
      <w:r w:rsidRPr="001A28D2">
        <w:rPr>
          <w:rFonts w:ascii="Times New Roman" w:hAnsi="Times New Roman" w:cs="Times New Roman"/>
          <w:lang w:val="bg-BG"/>
        </w:rPr>
        <w:t>Годишният отчет за изпълнението на ДБ за 201</w:t>
      </w:r>
      <w:r w:rsidR="006729C7" w:rsidRPr="001A28D2">
        <w:rPr>
          <w:rFonts w:ascii="Times New Roman" w:hAnsi="Times New Roman" w:cs="Times New Roman"/>
          <w:lang w:val="bg-BG"/>
        </w:rPr>
        <w:t>6</w:t>
      </w:r>
      <w:r w:rsidR="00C61991" w:rsidRPr="001A28D2">
        <w:rPr>
          <w:rFonts w:ascii="Times New Roman" w:hAnsi="Times New Roman" w:cs="Times New Roman"/>
          <w:lang w:val="bg-BG"/>
        </w:rPr>
        <w:t> </w:t>
      </w:r>
      <w:r w:rsidRPr="001A28D2">
        <w:rPr>
          <w:rFonts w:ascii="Times New Roman" w:hAnsi="Times New Roman" w:cs="Times New Roman"/>
          <w:lang w:val="bg-BG"/>
        </w:rPr>
        <w:t>г. е изготвен по показателите, по които е приет</w:t>
      </w:r>
      <w:r w:rsidR="00A658A4" w:rsidRPr="001A28D2">
        <w:rPr>
          <w:rFonts w:ascii="Times New Roman" w:hAnsi="Times New Roman" w:cs="Times New Roman"/>
          <w:lang w:val="bg-BG"/>
        </w:rPr>
        <w:t>, с което е с</w:t>
      </w:r>
      <w:r w:rsidRPr="001A28D2">
        <w:rPr>
          <w:rFonts w:ascii="Times New Roman" w:hAnsi="Times New Roman" w:cs="Times New Roman"/>
          <w:lang w:val="bg-BG"/>
        </w:rPr>
        <w:t>пазено изискването на чл.</w:t>
      </w:r>
      <w:r w:rsidR="0016339D" w:rsidRPr="001A28D2">
        <w:rPr>
          <w:rFonts w:ascii="Times New Roman" w:hAnsi="Times New Roman" w:cs="Times New Roman"/>
          <w:lang w:val="bg-BG"/>
        </w:rPr>
        <w:t> </w:t>
      </w:r>
      <w:r w:rsidRPr="001A28D2">
        <w:rPr>
          <w:rFonts w:ascii="Times New Roman" w:hAnsi="Times New Roman" w:cs="Times New Roman"/>
          <w:lang w:val="bg-BG"/>
        </w:rPr>
        <w:t>138, ал.</w:t>
      </w:r>
      <w:r w:rsidR="0016339D" w:rsidRPr="001A28D2">
        <w:rPr>
          <w:rFonts w:ascii="Times New Roman" w:hAnsi="Times New Roman" w:cs="Times New Roman"/>
          <w:lang w:val="bg-BG"/>
        </w:rPr>
        <w:t> </w:t>
      </w:r>
      <w:r w:rsidRPr="001A28D2">
        <w:rPr>
          <w:rFonts w:ascii="Times New Roman" w:hAnsi="Times New Roman" w:cs="Times New Roman"/>
          <w:lang w:val="bg-BG"/>
        </w:rPr>
        <w:t>1 от З</w:t>
      </w:r>
      <w:r w:rsidR="00F8294F" w:rsidRPr="001A28D2">
        <w:rPr>
          <w:rFonts w:ascii="Times New Roman" w:hAnsi="Times New Roman" w:cs="Times New Roman"/>
          <w:lang w:val="bg-BG"/>
        </w:rPr>
        <w:t>ПФ</w:t>
      </w:r>
      <w:r w:rsidRPr="001A28D2">
        <w:rPr>
          <w:rFonts w:ascii="Times New Roman" w:hAnsi="Times New Roman" w:cs="Times New Roman"/>
          <w:lang w:val="bg-BG"/>
        </w:rPr>
        <w:t>. Допълнително отразени</w:t>
      </w:r>
      <w:r w:rsidR="00A658A4" w:rsidRPr="001A28D2">
        <w:rPr>
          <w:rFonts w:ascii="Times New Roman" w:hAnsi="Times New Roman" w:cs="Times New Roman"/>
          <w:lang w:val="bg-BG"/>
        </w:rPr>
        <w:t>те</w:t>
      </w:r>
      <w:r w:rsidRPr="001A28D2">
        <w:rPr>
          <w:rFonts w:ascii="Times New Roman" w:hAnsi="Times New Roman" w:cs="Times New Roman"/>
          <w:lang w:val="bg-BG"/>
        </w:rPr>
        <w:t xml:space="preserve"> в отчета </w:t>
      </w:r>
      <w:proofErr w:type="spellStart"/>
      <w:r w:rsidR="00A658A4" w:rsidRPr="001A28D2">
        <w:rPr>
          <w:rFonts w:ascii="Times New Roman" w:hAnsi="Times New Roman" w:cs="Times New Roman"/>
          <w:lang w:val="bg-BG"/>
        </w:rPr>
        <w:t>под</w:t>
      </w:r>
      <w:r w:rsidRPr="001A28D2">
        <w:rPr>
          <w:rFonts w:ascii="Times New Roman" w:hAnsi="Times New Roman" w:cs="Times New Roman"/>
          <w:lang w:val="bg-BG"/>
        </w:rPr>
        <w:t>показатели</w:t>
      </w:r>
      <w:proofErr w:type="spellEnd"/>
      <w:r w:rsidRPr="001A28D2">
        <w:rPr>
          <w:rFonts w:ascii="Times New Roman" w:hAnsi="Times New Roman" w:cs="Times New Roman"/>
          <w:lang w:val="bg-BG"/>
        </w:rPr>
        <w:t xml:space="preserve"> допринасят за </w:t>
      </w:r>
      <w:r w:rsidR="00F8294F" w:rsidRPr="001A28D2">
        <w:rPr>
          <w:rFonts w:ascii="Times New Roman" w:hAnsi="Times New Roman" w:cs="Times New Roman"/>
          <w:lang w:val="bg-BG"/>
        </w:rPr>
        <w:t xml:space="preserve">подобряване на </w:t>
      </w:r>
      <w:r w:rsidRPr="001A28D2">
        <w:rPr>
          <w:rFonts w:ascii="Times New Roman" w:hAnsi="Times New Roman" w:cs="Times New Roman"/>
          <w:lang w:val="bg-BG"/>
        </w:rPr>
        <w:t>неговата изчерпателност и прозрачност, докладване и контрол.</w:t>
      </w:r>
      <w:r w:rsidR="00A658A4" w:rsidRPr="001A28D2">
        <w:rPr>
          <w:rStyle w:val="FootnoteReference"/>
          <w:rFonts w:ascii="Times New Roman" w:hAnsi="Times New Roman" w:cs="Times New Roman"/>
          <w:lang w:val="bg-BG"/>
        </w:rPr>
        <w:footnoteReference w:id="10"/>
      </w:r>
    </w:p>
    <w:p w14:paraId="72B1DACD" w14:textId="180B554E" w:rsidR="009219BB" w:rsidRPr="001A28D2" w:rsidRDefault="009219BB" w:rsidP="007E77CC">
      <w:pPr>
        <w:pStyle w:val="ListParagraph"/>
        <w:tabs>
          <w:tab w:val="left" w:pos="0"/>
          <w:tab w:val="left" w:pos="993"/>
        </w:tabs>
        <w:spacing w:before="120" w:after="120"/>
        <w:ind w:left="0" w:firstLine="709"/>
        <w:jc w:val="both"/>
        <w:rPr>
          <w:rFonts w:ascii="Times New Roman" w:hAnsi="Times New Roman" w:cs="Times New Roman"/>
          <w:lang w:val="bg-BG"/>
        </w:rPr>
      </w:pPr>
      <w:r w:rsidRPr="001A28D2">
        <w:rPr>
          <w:rFonts w:ascii="Times New Roman" w:hAnsi="Times New Roman" w:cs="Times New Roman"/>
          <w:lang w:val="bg-BG"/>
        </w:rPr>
        <w:t>Отчетът за изпълнението на ДБ за 2016 г. и отчетът на КФП за 2016</w:t>
      </w:r>
      <w:r w:rsidR="00FC2727" w:rsidRPr="001A28D2">
        <w:rPr>
          <w:rFonts w:ascii="Times New Roman" w:hAnsi="Times New Roman" w:cs="Times New Roman"/>
          <w:lang w:val="bg-BG"/>
        </w:rPr>
        <w:t> </w:t>
      </w:r>
      <w:r w:rsidRPr="001A28D2">
        <w:rPr>
          <w:rFonts w:ascii="Times New Roman" w:hAnsi="Times New Roman" w:cs="Times New Roman"/>
          <w:lang w:val="bg-BG"/>
        </w:rPr>
        <w:t xml:space="preserve">г. са представени в Сметната палата в </w:t>
      </w:r>
      <w:proofErr w:type="spellStart"/>
      <w:r w:rsidR="007B288C" w:rsidRPr="001A28D2">
        <w:rPr>
          <w:rFonts w:ascii="Times New Roman" w:hAnsi="Times New Roman" w:cs="Times New Roman"/>
          <w:lang w:val="bg-BG"/>
        </w:rPr>
        <w:t>законоустановения</w:t>
      </w:r>
      <w:proofErr w:type="spellEnd"/>
      <w:r w:rsidR="007B288C" w:rsidRPr="001A28D2">
        <w:rPr>
          <w:rFonts w:ascii="Times New Roman" w:hAnsi="Times New Roman" w:cs="Times New Roman"/>
          <w:lang w:val="bg-BG"/>
        </w:rPr>
        <w:t xml:space="preserve"> </w:t>
      </w:r>
      <w:r w:rsidRPr="001A28D2">
        <w:rPr>
          <w:rFonts w:ascii="Times New Roman" w:hAnsi="Times New Roman" w:cs="Times New Roman"/>
          <w:lang w:val="bg-BG"/>
        </w:rPr>
        <w:t>срок</w:t>
      </w:r>
      <w:r w:rsidRPr="001A28D2">
        <w:rPr>
          <w:rStyle w:val="FootnoteReference"/>
          <w:rFonts w:ascii="Times New Roman" w:hAnsi="Times New Roman" w:cs="Times New Roman"/>
          <w:lang w:val="bg-BG"/>
        </w:rPr>
        <w:footnoteReference w:id="11"/>
      </w:r>
      <w:r w:rsidRPr="001A28D2">
        <w:rPr>
          <w:rFonts w:ascii="Times New Roman" w:hAnsi="Times New Roman" w:cs="Times New Roman"/>
          <w:lang w:val="bg-BG"/>
        </w:rPr>
        <w:t xml:space="preserve"> с вх. № 04-01-37 от 30.06.2017</w:t>
      </w:r>
      <w:r w:rsidR="00C61991" w:rsidRPr="001A28D2">
        <w:rPr>
          <w:rFonts w:ascii="Times New Roman" w:hAnsi="Times New Roman" w:cs="Times New Roman"/>
          <w:lang w:val="bg-BG"/>
        </w:rPr>
        <w:t> </w:t>
      </w:r>
      <w:r w:rsidRPr="001A28D2">
        <w:rPr>
          <w:rFonts w:ascii="Times New Roman" w:hAnsi="Times New Roman" w:cs="Times New Roman"/>
          <w:lang w:val="bg-BG"/>
        </w:rPr>
        <w:t xml:space="preserve">г. </w:t>
      </w:r>
    </w:p>
    <w:p w14:paraId="2C23F012" w14:textId="102EE428" w:rsidR="009219BB" w:rsidRPr="001A28D2" w:rsidRDefault="009219BB" w:rsidP="007E77CC">
      <w:pPr>
        <w:pStyle w:val="ListParagraph"/>
        <w:tabs>
          <w:tab w:val="left" w:pos="0"/>
          <w:tab w:val="left" w:pos="993"/>
        </w:tabs>
        <w:spacing w:before="120" w:after="120"/>
        <w:ind w:left="0" w:firstLine="709"/>
        <w:jc w:val="both"/>
        <w:rPr>
          <w:rFonts w:ascii="Times New Roman" w:hAnsi="Times New Roman" w:cs="Times New Roman"/>
          <w:lang w:val="bg-BG"/>
        </w:rPr>
      </w:pPr>
      <w:r w:rsidRPr="001A28D2">
        <w:rPr>
          <w:rFonts w:ascii="Times New Roman" w:hAnsi="Times New Roman" w:cs="Times New Roman"/>
          <w:lang w:val="bg-BG"/>
        </w:rPr>
        <w:t xml:space="preserve">С </w:t>
      </w:r>
      <w:r w:rsidR="00AB5BBD" w:rsidRPr="001A28D2">
        <w:rPr>
          <w:rFonts w:ascii="Times New Roman" w:hAnsi="Times New Roman" w:cs="Times New Roman"/>
          <w:lang w:val="bg-BG"/>
        </w:rPr>
        <w:t>вх. № 04-01-37 от 11.07</w:t>
      </w:r>
      <w:r w:rsidR="00C2525B" w:rsidRPr="001A28D2">
        <w:rPr>
          <w:rFonts w:ascii="Times New Roman" w:hAnsi="Times New Roman" w:cs="Times New Roman"/>
          <w:lang w:val="bg-BG"/>
        </w:rPr>
        <w:t xml:space="preserve">.2017 г. и </w:t>
      </w:r>
      <w:r w:rsidRPr="001A28D2">
        <w:rPr>
          <w:rFonts w:ascii="Times New Roman" w:hAnsi="Times New Roman" w:cs="Times New Roman"/>
          <w:lang w:val="bg-BG"/>
        </w:rPr>
        <w:t xml:space="preserve">вх. № 04-01-37 от </w:t>
      </w:r>
      <w:r w:rsidR="008820C6" w:rsidRPr="001A28D2">
        <w:rPr>
          <w:rFonts w:ascii="Times New Roman" w:hAnsi="Times New Roman" w:cs="Times New Roman"/>
          <w:lang w:val="bg-BG"/>
        </w:rPr>
        <w:t>24</w:t>
      </w:r>
      <w:r w:rsidRPr="001A28D2">
        <w:rPr>
          <w:rFonts w:ascii="Times New Roman" w:hAnsi="Times New Roman" w:cs="Times New Roman"/>
          <w:lang w:val="bg-BG"/>
        </w:rPr>
        <w:t>.</w:t>
      </w:r>
      <w:r w:rsidR="008820C6" w:rsidRPr="001A28D2">
        <w:rPr>
          <w:rFonts w:ascii="Times New Roman" w:hAnsi="Times New Roman" w:cs="Times New Roman"/>
          <w:lang w:val="bg-BG"/>
        </w:rPr>
        <w:t>08</w:t>
      </w:r>
      <w:r w:rsidRPr="001A28D2">
        <w:rPr>
          <w:rFonts w:ascii="Times New Roman" w:hAnsi="Times New Roman" w:cs="Times New Roman"/>
          <w:lang w:val="bg-BG"/>
        </w:rPr>
        <w:t>.2017</w:t>
      </w:r>
      <w:r w:rsidR="00C61991" w:rsidRPr="001A28D2">
        <w:rPr>
          <w:rFonts w:ascii="Times New Roman" w:hAnsi="Times New Roman" w:cs="Times New Roman"/>
          <w:lang w:val="bg-BG"/>
        </w:rPr>
        <w:t> </w:t>
      </w:r>
      <w:r w:rsidRPr="001A28D2">
        <w:rPr>
          <w:rFonts w:ascii="Times New Roman" w:hAnsi="Times New Roman" w:cs="Times New Roman"/>
          <w:lang w:val="bg-BG"/>
        </w:rPr>
        <w:t>г. са представени коригирани отчети за изпълнение на ДБ и КФП за 2016</w:t>
      </w:r>
      <w:r w:rsidR="00C61991" w:rsidRPr="001A28D2">
        <w:rPr>
          <w:rFonts w:ascii="Times New Roman" w:hAnsi="Times New Roman" w:cs="Times New Roman"/>
          <w:lang w:val="bg-BG"/>
        </w:rPr>
        <w:t> </w:t>
      </w:r>
      <w:r w:rsidRPr="001A28D2">
        <w:rPr>
          <w:rFonts w:ascii="Times New Roman" w:hAnsi="Times New Roman" w:cs="Times New Roman"/>
          <w:lang w:val="bg-BG"/>
        </w:rPr>
        <w:t xml:space="preserve">г. </w:t>
      </w:r>
      <w:r w:rsidR="00A60079" w:rsidRPr="001A28D2">
        <w:rPr>
          <w:rStyle w:val="FootnoteReference"/>
          <w:rFonts w:ascii="Times New Roman" w:hAnsi="Times New Roman" w:cs="Times New Roman"/>
          <w:lang w:val="bg-BG"/>
        </w:rPr>
        <w:footnoteReference w:id="12"/>
      </w:r>
    </w:p>
    <w:p w14:paraId="79BDB748" w14:textId="77777777" w:rsidR="004A3A22" w:rsidRPr="001A28D2" w:rsidRDefault="004A3A22" w:rsidP="007E77CC">
      <w:pPr>
        <w:pStyle w:val="ListParagraph"/>
        <w:tabs>
          <w:tab w:val="left" w:pos="0"/>
          <w:tab w:val="left" w:pos="993"/>
        </w:tabs>
        <w:ind w:left="0" w:firstLine="709"/>
        <w:jc w:val="both"/>
        <w:rPr>
          <w:rFonts w:ascii="Times New Roman" w:hAnsi="Times New Roman" w:cs="Times New Roman"/>
          <w:lang w:val="bg-BG"/>
        </w:rPr>
      </w:pPr>
      <w:r w:rsidRPr="001A28D2">
        <w:rPr>
          <w:rFonts w:ascii="Times New Roman" w:hAnsi="Times New Roman" w:cs="Times New Roman"/>
          <w:lang w:val="bg-BG"/>
        </w:rPr>
        <w:t>Годишният отчет за изпълнението на ДБ и отчетът на КФП за 201</w:t>
      </w:r>
      <w:r w:rsidR="00C12383" w:rsidRPr="001A28D2">
        <w:rPr>
          <w:rFonts w:ascii="Times New Roman" w:hAnsi="Times New Roman" w:cs="Times New Roman"/>
          <w:lang w:val="bg-BG"/>
        </w:rPr>
        <w:t>6</w:t>
      </w:r>
      <w:r w:rsidRPr="001A28D2">
        <w:rPr>
          <w:rFonts w:ascii="Times New Roman" w:hAnsi="Times New Roman" w:cs="Times New Roman"/>
          <w:lang w:val="bg-BG"/>
        </w:rPr>
        <w:t xml:space="preserve"> г. са изготвени и представени в съответствие с изискванията на чл.</w:t>
      </w:r>
      <w:r w:rsidR="00FC2727" w:rsidRPr="001A28D2">
        <w:rPr>
          <w:rFonts w:ascii="Times New Roman" w:hAnsi="Times New Roman" w:cs="Times New Roman"/>
          <w:lang w:val="bg-BG"/>
        </w:rPr>
        <w:t> </w:t>
      </w:r>
      <w:r w:rsidRPr="001A28D2">
        <w:rPr>
          <w:rFonts w:ascii="Times New Roman" w:hAnsi="Times New Roman" w:cs="Times New Roman"/>
          <w:lang w:val="bg-BG"/>
        </w:rPr>
        <w:t>138, ал.</w:t>
      </w:r>
      <w:r w:rsidR="00FC2727" w:rsidRPr="001A28D2">
        <w:rPr>
          <w:rFonts w:ascii="Times New Roman" w:hAnsi="Times New Roman" w:cs="Times New Roman"/>
          <w:lang w:val="bg-BG"/>
        </w:rPr>
        <w:t> </w:t>
      </w:r>
      <w:r w:rsidRPr="001A28D2">
        <w:rPr>
          <w:rFonts w:ascii="Times New Roman" w:hAnsi="Times New Roman" w:cs="Times New Roman"/>
          <w:lang w:val="bg-BG"/>
        </w:rPr>
        <w:t>1 и ал.</w:t>
      </w:r>
      <w:r w:rsidR="00FC2727" w:rsidRPr="001A28D2">
        <w:rPr>
          <w:rFonts w:ascii="Times New Roman" w:hAnsi="Times New Roman" w:cs="Times New Roman"/>
          <w:lang w:val="bg-BG"/>
        </w:rPr>
        <w:t> </w:t>
      </w:r>
      <w:r w:rsidRPr="001A28D2">
        <w:rPr>
          <w:rFonts w:ascii="Times New Roman" w:hAnsi="Times New Roman" w:cs="Times New Roman"/>
          <w:lang w:val="bg-BG"/>
        </w:rPr>
        <w:t>2 от З</w:t>
      </w:r>
      <w:r w:rsidR="00F67EEF" w:rsidRPr="001A28D2">
        <w:rPr>
          <w:rFonts w:ascii="Times New Roman" w:hAnsi="Times New Roman" w:cs="Times New Roman"/>
          <w:lang w:val="bg-BG"/>
        </w:rPr>
        <w:t>ПФ</w:t>
      </w:r>
      <w:r w:rsidRPr="001A28D2">
        <w:rPr>
          <w:rFonts w:ascii="Times New Roman" w:hAnsi="Times New Roman" w:cs="Times New Roman"/>
          <w:lang w:val="bg-BG"/>
        </w:rPr>
        <w:t>.</w:t>
      </w:r>
    </w:p>
    <w:p w14:paraId="7E2D2FB3" w14:textId="77777777" w:rsidR="005076D9" w:rsidRPr="001A28D2" w:rsidRDefault="00AD5EC4" w:rsidP="007E77CC">
      <w:pPr>
        <w:ind w:firstLine="709"/>
        <w:jc w:val="both"/>
        <w:rPr>
          <w:lang w:eastAsia="en-US"/>
        </w:rPr>
      </w:pPr>
      <w:r w:rsidRPr="001A28D2">
        <w:rPr>
          <w:lang w:eastAsia="en-US"/>
        </w:rPr>
        <w:t>Установено е, че системите за финансово управление и контрол</w:t>
      </w:r>
      <w:r w:rsidR="005076D9" w:rsidRPr="001A28D2">
        <w:rPr>
          <w:lang w:eastAsia="en-US"/>
        </w:rPr>
        <w:t xml:space="preserve"> в изследваната област са в съответствие с изискванията на правната рамка, </w:t>
      </w:r>
      <w:r w:rsidRPr="001A28D2">
        <w:rPr>
          <w:lang w:eastAsia="en-US"/>
        </w:rPr>
        <w:t xml:space="preserve">въведените </w:t>
      </w:r>
      <w:r w:rsidR="005076D9" w:rsidRPr="001A28D2">
        <w:rPr>
          <w:lang w:eastAsia="en-US"/>
        </w:rPr>
        <w:t>контролни механизми и процедури за текущо наблюдение на съставянето, изпълнението и отчитането на държавния бюджет</w:t>
      </w:r>
      <w:r w:rsidRPr="001A28D2">
        <w:rPr>
          <w:lang w:eastAsia="en-US"/>
        </w:rPr>
        <w:t xml:space="preserve"> функционират ефективно.</w:t>
      </w:r>
    </w:p>
    <w:p w14:paraId="268BF19F" w14:textId="77777777" w:rsidR="00AD5EC4" w:rsidRPr="001A28D2" w:rsidRDefault="00AD5EC4" w:rsidP="007E77CC">
      <w:pPr>
        <w:ind w:firstLine="709"/>
        <w:jc w:val="both"/>
        <w:rPr>
          <w:highlight w:val="yellow"/>
        </w:rPr>
      </w:pPr>
    </w:p>
    <w:p w14:paraId="61C12385" w14:textId="77777777" w:rsidR="00562620" w:rsidRPr="001A28D2" w:rsidRDefault="00421FE9" w:rsidP="007E77CC">
      <w:pPr>
        <w:ind w:firstLine="709"/>
        <w:jc w:val="both"/>
        <w:rPr>
          <w:rFonts w:cs="Tahoma"/>
          <w:i/>
          <w:lang w:eastAsia="en-US"/>
        </w:rPr>
      </w:pPr>
      <w:r w:rsidRPr="001A28D2">
        <w:rPr>
          <w:rFonts w:cs="Tahoma"/>
          <w:i/>
          <w:lang w:eastAsia="en-US"/>
        </w:rPr>
        <w:t xml:space="preserve">Представеният в </w:t>
      </w:r>
      <w:r w:rsidRPr="001A28D2">
        <w:rPr>
          <w:i/>
        </w:rPr>
        <w:t>СП</w:t>
      </w:r>
      <w:r w:rsidRPr="001A28D2">
        <w:rPr>
          <w:rFonts w:cs="Tahoma"/>
          <w:i/>
          <w:lang w:eastAsia="en-US"/>
        </w:rPr>
        <w:t xml:space="preserve"> отчет е в</w:t>
      </w:r>
      <w:r w:rsidRPr="001A28D2">
        <w:rPr>
          <w:rFonts w:cs="Tahoma"/>
          <w:lang w:eastAsia="en-US"/>
        </w:rPr>
        <w:t xml:space="preserve"> </w:t>
      </w:r>
      <w:r w:rsidRPr="001A28D2">
        <w:rPr>
          <w:rFonts w:cs="Tahoma"/>
          <w:i/>
          <w:lang w:eastAsia="en-US"/>
        </w:rPr>
        <w:t xml:space="preserve">съответствие с изискванията на ЗПФ, </w:t>
      </w:r>
      <w:r w:rsidR="00515425" w:rsidRPr="001A28D2">
        <w:rPr>
          <w:rFonts w:cs="Tahoma"/>
          <w:i/>
          <w:lang w:eastAsia="en-US"/>
        </w:rPr>
        <w:t xml:space="preserve">на </w:t>
      </w:r>
      <w:r w:rsidRPr="001A28D2">
        <w:rPr>
          <w:rFonts w:cs="Tahoma"/>
          <w:i/>
          <w:lang w:eastAsia="en-US"/>
        </w:rPr>
        <w:t xml:space="preserve">действащите през </w:t>
      </w:r>
      <w:proofErr w:type="spellStart"/>
      <w:r w:rsidRPr="001A28D2">
        <w:rPr>
          <w:rFonts w:cs="Tahoma"/>
          <w:i/>
          <w:lang w:eastAsia="en-US"/>
        </w:rPr>
        <w:t>одитирания</w:t>
      </w:r>
      <w:proofErr w:type="spellEnd"/>
      <w:r w:rsidRPr="001A28D2">
        <w:rPr>
          <w:rFonts w:cs="Tahoma"/>
          <w:i/>
          <w:lang w:eastAsia="en-US"/>
        </w:rPr>
        <w:t xml:space="preserve"> период вътрешни актове и дадените </w:t>
      </w:r>
      <w:r w:rsidR="004A3A22" w:rsidRPr="001A28D2">
        <w:rPr>
          <w:rFonts w:cs="Tahoma"/>
          <w:i/>
          <w:lang w:eastAsia="en-US"/>
        </w:rPr>
        <w:t xml:space="preserve">от министъра на финансите </w:t>
      </w:r>
      <w:r w:rsidRPr="001A28D2">
        <w:rPr>
          <w:rFonts w:cs="Tahoma"/>
          <w:i/>
          <w:lang w:eastAsia="en-US"/>
        </w:rPr>
        <w:t xml:space="preserve">указания. </w:t>
      </w:r>
    </w:p>
    <w:p w14:paraId="497C9F73" w14:textId="77777777" w:rsidR="00515425" w:rsidRPr="001A28D2" w:rsidRDefault="00515425" w:rsidP="007E77CC">
      <w:pPr>
        <w:ind w:firstLine="709"/>
        <w:jc w:val="both"/>
        <w:rPr>
          <w:highlight w:val="yellow"/>
        </w:rPr>
      </w:pPr>
    </w:p>
    <w:p w14:paraId="4CFDDB77" w14:textId="08B71AAC" w:rsidR="00AA2171" w:rsidRPr="001A28D2" w:rsidRDefault="00E13A4C" w:rsidP="007E77CC">
      <w:pPr>
        <w:pStyle w:val="ListParagraph"/>
        <w:numPr>
          <w:ilvl w:val="0"/>
          <w:numId w:val="2"/>
        </w:numPr>
        <w:tabs>
          <w:tab w:val="left" w:pos="0"/>
          <w:tab w:val="left" w:pos="993"/>
          <w:tab w:val="left" w:pos="1134"/>
        </w:tabs>
        <w:spacing w:before="120" w:after="120"/>
        <w:ind w:left="0" w:firstLine="709"/>
        <w:jc w:val="both"/>
        <w:rPr>
          <w:rFonts w:ascii="Times New Roman" w:hAnsi="Times New Roman" w:cs="Times New Roman"/>
          <w:b/>
          <w:lang w:val="bg-BG"/>
        </w:rPr>
      </w:pPr>
      <w:r w:rsidRPr="001A28D2">
        <w:rPr>
          <w:rFonts w:ascii="Times New Roman" w:hAnsi="Times New Roman" w:cs="Times New Roman"/>
          <w:b/>
          <w:lang w:val="bg-BG"/>
        </w:rPr>
        <w:t>Степен на и</w:t>
      </w:r>
      <w:r w:rsidR="00AA2171" w:rsidRPr="001A28D2">
        <w:rPr>
          <w:rFonts w:ascii="Times New Roman" w:hAnsi="Times New Roman" w:cs="Times New Roman"/>
          <w:b/>
          <w:lang w:val="bg-BG"/>
        </w:rPr>
        <w:t>зпълнение на показателите по отчета за изпълнението на държавния бюджет спрямо заложените в ЗДБРБ за 201</w:t>
      </w:r>
      <w:r w:rsidR="001B3AC9" w:rsidRPr="001A28D2">
        <w:rPr>
          <w:rFonts w:ascii="Times New Roman" w:hAnsi="Times New Roman" w:cs="Times New Roman"/>
          <w:b/>
          <w:lang w:val="bg-BG"/>
        </w:rPr>
        <w:t>6</w:t>
      </w:r>
      <w:r w:rsidR="007F4074" w:rsidRPr="001A28D2">
        <w:rPr>
          <w:rFonts w:ascii="Times New Roman" w:hAnsi="Times New Roman" w:cs="Times New Roman"/>
          <w:b/>
          <w:lang w:val="bg-BG"/>
        </w:rPr>
        <w:t> </w:t>
      </w:r>
      <w:r w:rsidR="00AA2171" w:rsidRPr="001A28D2">
        <w:rPr>
          <w:rFonts w:ascii="Times New Roman" w:hAnsi="Times New Roman" w:cs="Times New Roman"/>
          <w:b/>
          <w:lang w:val="bg-BG"/>
        </w:rPr>
        <w:t>г.</w:t>
      </w:r>
    </w:p>
    <w:p w14:paraId="7386DB66" w14:textId="77777777" w:rsidR="0004188C" w:rsidRPr="001A28D2" w:rsidRDefault="0004188C" w:rsidP="0004188C">
      <w:pPr>
        <w:pStyle w:val="ListParagraph"/>
        <w:tabs>
          <w:tab w:val="left" w:pos="0"/>
          <w:tab w:val="left" w:pos="993"/>
          <w:tab w:val="left" w:pos="1134"/>
        </w:tabs>
        <w:spacing w:before="120" w:after="120"/>
        <w:ind w:left="709"/>
        <w:jc w:val="both"/>
        <w:rPr>
          <w:rFonts w:ascii="Times New Roman" w:hAnsi="Times New Roman" w:cs="Times New Roman"/>
          <w:b/>
          <w:lang w:val="bg-BG"/>
        </w:rPr>
      </w:pPr>
    </w:p>
    <w:p w14:paraId="41D93228" w14:textId="77777777" w:rsidR="00B23797" w:rsidRPr="001A28D2" w:rsidRDefault="00227C91" w:rsidP="00790494">
      <w:pPr>
        <w:pStyle w:val="ListParagraph"/>
        <w:numPr>
          <w:ilvl w:val="0"/>
          <w:numId w:val="46"/>
        </w:numPr>
        <w:tabs>
          <w:tab w:val="left" w:pos="0"/>
          <w:tab w:val="left" w:pos="709"/>
          <w:tab w:val="left" w:pos="993"/>
        </w:tabs>
        <w:spacing w:before="120" w:after="120"/>
        <w:ind w:left="0" w:firstLine="709"/>
        <w:jc w:val="both"/>
        <w:rPr>
          <w:rFonts w:ascii="Times New Roman" w:hAnsi="Times New Roman" w:cs="Times New Roman"/>
          <w:b/>
          <w:lang w:val="bg-BG"/>
        </w:rPr>
      </w:pPr>
      <w:r w:rsidRPr="001A28D2">
        <w:rPr>
          <w:rFonts w:ascii="Times New Roman" w:hAnsi="Times New Roman" w:cs="Times New Roman"/>
          <w:b/>
          <w:lang w:val="bg-BG"/>
        </w:rPr>
        <w:t>Степен на изпълнение на основни показатели по отчета на държавния бюджет на Република България за периода 201</w:t>
      </w:r>
      <w:r w:rsidR="00F51A68" w:rsidRPr="001A28D2">
        <w:rPr>
          <w:rFonts w:ascii="Times New Roman" w:hAnsi="Times New Roman" w:cs="Times New Roman"/>
          <w:b/>
          <w:lang w:val="bg-BG"/>
        </w:rPr>
        <w:t>4</w:t>
      </w:r>
      <w:r w:rsidR="00FC2727" w:rsidRPr="001A28D2">
        <w:rPr>
          <w:rFonts w:ascii="Times New Roman" w:hAnsi="Times New Roman" w:cs="Times New Roman"/>
          <w:b/>
          <w:lang w:val="bg-BG"/>
        </w:rPr>
        <w:t> </w:t>
      </w:r>
      <w:r w:rsidRPr="001A28D2">
        <w:rPr>
          <w:rFonts w:ascii="Times New Roman" w:hAnsi="Times New Roman" w:cs="Times New Roman"/>
          <w:b/>
          <w:lang w:val="bg-BG"/>
        </w:rPr>
        <w:t>г. – 201</w:t>
      </w:r>
      <w:r w:rsidR="00F51A68" w:rsidRPr="001A28D2">
        <w:rPr>
          <w:rFonts w:ascii="Times New Roman" w:hAnsi="Times New Roman" w:cs="Times New Roman"/>
          <w:b/>
          <w:lang w:val="bg-BG"/>
        </w:rPr>
        <w:t>6</w:t>
      </w:r>
      <w:r w:rsidR="007F4074" w:rsidRPr="001A28D2">
        <w:rPr>
          <w:rFonts w:ascii="Times New Roman" w:hAnsi="Times New Roman" w:cs="Times New Roman"/>
          <w:b/>
          <w:lang w:val="bg-BG"/>
        </w:rPr>
        <w:t> </w:t>
      </w:r>
      <w:r w:rsidRPr="001A28D2">
        <w:rPr>
          <w:rFonts w:ascii="Times New Roman" w:hAnsi="Times New Roman" w:cs="Times New Roman"/>
          <w:b/>
          <w:lang w:val="bg-BG"/>
        </w:rPr>
        <w:t>г.</w:t>
      </w:r>
    </w:p>
    <w:p w14:paraId="4465FEC6" w14:textId="0CA854E1" w:rsidR="001315AC" w:rsidRPr="001A28D2" w:rsidRDefault="001315AC" w:rsidP="007E77CC">
      <w:pPr>
        <w:ind w:firstLine="709"/>
        <w:jc w:val="both"/>
        <w:textAlignment w:val="center"/>
        <w:rPr>
          <w:rFonts w:eastAsiaTheme="minorHAnsi"/>
          <w:b/>
          <w:lang w:eastAsia="en-US"/>
        </w:rPr>
      </w:pPr>
      <w:r w:rsidRPr="001A28D2">
        <w:rPr>
          <w:rFonts w:eastAsiaTheme="minorHAnsi"/>
          <w:lang w:eastAsia="en-US"/>
        </w:rPr>
        <w:t>Изпълнението на приходите, разходите, трансферите, вноската в бюджета на ЕС и дефицита/излишъка по държавния бюджет на Република България</w:t>
      </w:r>
      <w:r w:rsidR="00724640" w:rsidRPr="001A28D2">
        <w:rPr>
          <w:rStyle w:val="FootnoteReference"/>
          <w:rFonts w:eastAsiaTheme="minorHAnsi"/>
          <w:lang w:eastAsia="en-US"/>
        </w:rPr>
        <w:footnoteReference w:id="13"/>
      </w:r>
      <w:r w:rsidRPr="001A28D2">
        <w:rPr>
          <w:rFonts w:eastAsiaTheme="minorHAnsi"/>
          <w:lang w:eastAsia="en-US"/>
        </w:rPr>
        <w:t xml:space="preserve"> за периода 2014</w:t>
      </w:r>
      <w:r w:rsidR="00FC2727" w:rsidRPr="001A28D2">
        <w:rPr>
          <w:rFonts w:eastAsiaTheme="minorHAnsi"/>
          <w:lang w:eastAsia="en-US"/>
        </w:rPr>
        <w:t> </w:t>
      </w:r>
      <w:r w:rsidRPr="001A28D2">
        <w:rPr>
          <w:rFonts w:eastAsiaTheme="minorHAnsi"/>
          <w:lang w:eastAsia="en-US"/>
        </w:rPr>
        <w:t>г. – 2016</w:t>
      </w:r>
      <w:r w:rsidR="00FC2727" w:rsidRPr="001A28D2">
        <w:rPr>
          <w:rFonts w:eastAsiaTheme="minorHAnsi"/>
          <w:lang w:eastAsia="en-US"/>
        </w:rPr>
        <w:t> </w:t>
      </w:r>
      <w:r w:rsidRPr="001A28D2">
        <w:rPr>
          <w:rFonts w:eastAsiaTheme="minorHAnsi"/>
          <w:lang w:eastAsia="en-US"/>
        </w:rPr>
        <w:t>г. е представено в следната таблица:</w:t>
      </w:r>
    </w:p>
    <w:p w14:paraId="17EBCE65" w14:textId="3B3FE7EB" w:rsidR="001315AC" w:rsidRPr="001A28D2" w:rsidRDefault="001315AC" w:rsidP="001315AC">
      <w:pPr>
        <w:ind w:firstLine="720"/>
        <w:jc w:val="both"/>
        <w:textAlignment w:val="center"/>
        <w:rPr>
          <w:rFonts w:eastAsiaTheme="minorHAnsi"/>
          <w:lang w:eastAsia="en-US"/>
        </w:rPr>
      </w:pPr>
    </w:p>
    <w:p w14:paraId="1DB10880" w14:textId="20A08E72" w:rsidR="0004188C" w:rsidRPr="001A28D2" w:rsidRDefault="0004188C" w:rsidP="001315AC">
      <w:pPr>
        <w:ind w:firstLine="720"/>
        <w:jc w:val="both"/>
        <w:textAlignment w:val="center"/>
        <w:rPr>
          <w:rFonts w:eastAsiaTheme="minorHAnsi"/>
          <w:lang w:eastAsia="en-US"/>
        </w:rPr>
      </w:pPr>
    </w:p>
    <w:p w14:paraId="4A856914" w14:textId="0CAC9046" w:rsidR="0004188C" w:rsidRPr="001A28D2" w:rsidRDefault="0004188C" w:rsidP="001315AC">
      <w:pPr>
        <w:ind w:firstLine="720"/>
        <w:jc w:val="both"/>
        <w:textAlignment w:val="center"/>
        <w:rPr>
          <w:rFonts w:eastAsiaTheme="minorHAnsi"/>
          <w:lang w:eastAsia="en-US"/>
        </w:rPr>
      </w:pPr>
    </w:p>
    <w:p w14:paraId="53279150" w14:textId="694A0A76" w:rsidR="0004188C" w:rsidRPr="001A28D2" w:rsidRDefault="0004188C" w:rsidP="001315AC">
      <w:pPr>
        <w:ind w:firstLine="720"/>
        <w:jc w:val="both"/>
        <w:textAlignment w:val="center"/>
        <w:rPr>
          <w:rFonts w:eastAsiaTheme="minorHAnsi"/>
          <w:lang w:eastAsia="en-US"/>
        </w:rPr>
      </w:pPr>
    </w:p>
    <w:p w14:paraId="4C59B1B6" w14:textId="77777777" w:rsidR="001315AC" w:rsidRPr="001A28D2" w:rsidRDefault="001315AC" w:rsidP="001315AC">
      <w:pPr>
        <w:ind w:firstLine="720"/>
        <w:jc w:val="right"/>
        <w:textAlignment w:val="center"/>
        <w:rPr>
          <w:rFonts w:eastAsiaTheme="minorHAnsi"/>
          <w:sz w:val="20"/>
          <w:szCs w:val="20"/>
          <w:lang w:eastAsia="en-US"/>
        </w:rPr>
      </w:pPr>
      <w:r w:rsidRPr="001A28D2">
        <w:rPr>
          <w:rFonts w:eastAsiaTheme="minorHAnsi"/>
          <w:sz w:val="20"/>
          <w:szCs w:val="20"/>
          <w:lang w:eastAsia="en-US"/>
        </w:rPr>
        <w:lastRenderedPageBreak/>
        <w:t>(млн. лв.)</w:t>
      </w:r>
    </w:p>
    <w:tbl>
      <w:tblPr>
        <w:tblStyle w:val="TableGrid"/>
        <w:tblW w:w="10490" w:type="dxa"/>
        <w:tblInd w:w="-34" w:type="dxa"/>
        <w:tblLayout w:type="fixed"/>
        <w:tblLook w:val="04A0" w:firstRow="1" w:lastRow="0" w:firstColumn="1" w:lastColumn="0" w:noHBand="0" w:noVBand="1"/>
      </w:tblPr>
      <w:tblGrid>
        <w:gridCol w:w="1985"/>
        <w:gridCol w:w="992"/>
        <w:gridCol w:w="851"/>
        <w:gridCol w:w="992"/>
        <w:gridCol w:w="851"/>
        <w:gridCol w:w="992"/>
        <w:gridCol w:w="850"/>
        <w:gridCol w:w="1560"/>
        <w:gridCol w:w="1417"/>
      </w:tblGrid>
      <w:tr w:rsidR="001315AC" w:rsidRPr="001A28D2" w14:paraId="74748E3D" w14:textId="77777777" w:rsidTr="00045FC5">
        <w:tc>
          <w:tcPr>
            <w:tcW w:w="1985" w:type="dxa"/>
            <w:vMerge w:val="restart"/>
            <w:shd w:val="clear" w:color="auto" w:fill="B8CCE4" w:themeFill="accent1" w:themeFillTint="66"/>
            <w:vAlign w:val="center"/>
          </w:tcPr>
          <w:p w14:paraId="280375B9"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Показатели</w:t>
            </w:r>
          </w:p>
        </w:tc>
        <w:tc>
          <w:tcPr>
            <w:tcW w:w="1843" w:type="dxa"/>
            <w:gridSpan w:val="2"/>
            <w:shd w:val="clear" w:color="auto" w:fill="B8CCE4" w:themeFill="accent1" w:themeFillTint="66"/>
            <w:vAlign w:val="center"/>
          </w:tcPr>
          <w:p w14:paraId="27C8158C"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Отчет 2014 г.</w:t>
            </w:r>
          </w:p>
        </w:tc>
        <w:tc>
          <w:tcPr>
            <w:tcW w:w="1843" w:type="dxa"/>
            <w:gridSpan w:val="2"/>
            <w:shd w:val="clear" w:color="auto" w:fill="B8CCE4" w:themeFill="accent1" w:themeFillTint="66"/>
            <w:vAlign w:val="center"/>
          </w:tcPr>
          <w:p w14:paraId="41EF5F72"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Отчет 2015 г.</w:t>
            </w:r>
          </w:p>
        </w:tc>
        <w:tc>
          <w:tcPr>
            <w:tcW w:w="1842" w:type="dxa"/>
            <w:gridSpan w:val="2"/>
            <w:shd w:val="clear" w:color="auto" w:fill="B8CCE4" w:themeFill="accent1" w:themeFillTint="66"/>
            <w:vAlign w:val="center"/>
          </w:tcPr>
          <w:p w14:paraId="172D6C1D"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Отчет 2016 г.</w:t>
            </w:r>
          </w:p>
        </w:tc>
        <w:tc>
          <w:tcPr>
            <w:tcW w:w="1560" w:type="dxa"/>
            <w:vMerge w:val="restart"/>
            <w:shd w:val="clear" w:color="auto" w:fill="B8CCE4" w:themeFill="accent1" w:themeFillTint="66"/>
            <w:vAlign w:val="center"/>
          </w:tcPr>
          <w:p w14:paraId="449943E4"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Отчет 2015 г. към 2014 г. (%)</w:t>
            </w:r>
          </w:p>
        </w:tc>
        <w:tc>
          <w:tcPr>
            <w:tcW w:w="1417" w:type="dxa"/>
            <w:vMerge w:val="restart"/>
            <w:shd w:val="clear" w:color="auto" w:fill="B8CCE4" w:themeFill="accent1" w:themeFillTint="66"/>
            <w:vAlign w:val="center"/>
          </w:tcPr>
          <w:p w14:paraId="46CE53E0"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Отчет 2016 г. към 2015 г. (%)</w:t>
            </w:r>
          </w:p>
        </w:tc>
      </w:tr>
      <w:tr w:rsidR="00045FC5" w:rsidRPr="001A28D2" w14:paraId="63A0F104" w14:textId="77777777" w:rsidTr="00045FC5">
        <w:trPr>
          <w:trHeight w:val="488"/>
        </w:trPr>
        <w:tc>
          <w:tcPr>
            <w:tcW w:w="1985" w:type="dxa"/>
            <w:vMerge/>
            <w:shd w:val="clear" w:color="auto" w:fill="B8CCE4" w:themeFill="accent1" w:themeFillTint="66"/>
          </w:tcPr>
          <w:p w14:paraId="3681C082" w14:textId="77777777" w:rsidR="001315AC" w:rsidRPr="001A28D2" w:rsidRDefault="001315AC" w:rsidP="00045FC5">
            <w:pPr>
              <w:jc w:val="center"/>
              <w:textAlignment w:val="center"/>
              <w:rPr>
                <w:rFonts w:eastAsiaTheme="minorHAnsi"/>
                <w:b/>
                <w:sz w:val="20"/>
                <w:szCs w:val="20"/>
                <w:lang w:eastAsia="en-US"/>
              </w:rPr>
            </w:pPr>
          </w:p>
        </w:tc>
        <w:tc>
          <w:tcPr>
            <w:tcW w:w="992" w:type="dxa"/>
            <w:shd w:val="clear" w:color="auto" w:fill="B8CCE4" w:themeFill="accent1" w:themeFillTint="66"/>
          </w:tcPr>
          <w:p w14:paraId="2AC308EE"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размер</w:t>
            </w:r>
          </w:p>
        </w:tc>
        <w:tc>
          <w:tcPr>
            <w:tcW w:w="851" w:type="dxa"/>
            <w:shd w:val="clear" w:color="auto" w:fill="B8CCE4" w:themeFill="accent1" w:themeFillTint="66"/>
          </w:tcPr>
          <w:p w14:paraId="173A53CD" w14:textId="77777777" w:rsidR="001315AC" w:rsidRPr="001A28D2" w:rsidRDefault="001315AC" w:rsidP="00045FC5">
            <w:pPr>
              <w:jc w:val="center"/>
              <w:textAlignment w:val="center"/>
              <w:rPr>
                <w:rFonts w:eastAsiaTheme="minorHAnsi"/>
                <w:b/>
                <w:sz w:val="20"/>
                <w:szCs w:val="20"/>
                <w:lang w:eastAsia="en-US"/>
              </w:rPr>
            </w:pPr>
            <w:proofErr w:type="spellStart"/>
            <w:r w:rsidRPr="001A28D2">
              <w:rPr>
                <w:rFonts w:eastAsiaTheme="minorHAnsi"/>
                <w:b/>
                <w:sz w:val="20"/>
                <w:szCs w:val="20"/>
                <w:lang w:eastAsia="en-US"/>
              </w:rPr>
              <w:t>отн</w:t>
            </w:r>
            <w:proofErr w:type="spellEnd"/>
            <w:r w:rsidRPr="001A28D2">
              <w:rPr>
                <w:rFonts w:eastAsiaTheme="minorHAnsi"/>
                <w:b/>
                <w:sz w:val="20"/>
                <w:szCs w:val="20"/>
                <w:lang w:eastAsia="en-US"/>
              </w:rPr>
              <w:t>. дял %</w:t>
            </w:r>
          </w:p>
        </w:tc>
        <w:tc>
          <w:tcPr>
            <w:tcW w:w="992" w:type="dxa"/>
            <w:shd w:val="clear" w:color="auto" w:fill="B8CCE4" w:themeFill="accent1" w:themeFillTint="66"/>
          </w:tcPr>
          <w:p w14:paraId="33ADA1EF"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размер</w:t>
            </w:r>
          </w:p>
        </w:tc>
        <w:tc>
          <w:tcPr>
            <w:tcW w:w="851" w:type="dxa"/>
            <w:shd w:val="clear" w:color="auto" w:fill="B8CCE4" w:themeFill="accent1" w:themeFillTint="66"/>
          </w:tcPr>
          <w:p w14:paraId="272A2C16" w14:textId="77777777" w:rsidR="001315AC" w:rsidRPr="001A28D2" w:rsidRDefault="001315AC" w:rsidP="00045FC5">
            <w:pPr>
              <w:jc w:val="center"/>
              <w:textAlignment w:val="center"/>
              <w:rPr>
                <w:rFonts w:eastAsiaTheme="minorHAnsi"/>
                <w:b/>
                <w:sz w:val="20"/>
                <w:szCs w:val="20"/>
                <w:lang w:eastAsia="en-US"/>
              </w:rPr>
            </w:pPr>
            <w:proofErr w:type="spellStart"/>
            <w:r w:rsidRPr="001A28D2">
              <w:rPr>
                <w:rFonts w:eastAsiaTheme="minorHAnsi"/>
                <w:b/>
                <w:sz w:val="20"/>
                <w:szCs w:val="20"/>
                <w:lang w:eastAsia="en-US"/>
              </w:rPr>
              <w:t>отн</w:t>
            </w:r>
            <w:proofErr w:type="spellEnd"/>
            <w:r w:rsidRPr="001A28D2">
              <w:rPr>
                <w:rFonts w:eastAsiaTheme="minorHAnsi"/>
                <w:b/>
                <w:sz w:val="20"/>
                <w:szCs w:val="20"/>
                <w:lang w:eastAsia="en-US"/>
              </w:rPr>
              <w:t>. дял %</w:t>
            </w:r>
          </w:p>
        </w:tc>
        <w:tc>
          <w:tcPr>
            <w:tcW w:w="992" w:type="dxa"/>
            <w:shd w:val="clear" w:color="auto" w:fill="B8CCE4" w:themeFill="accent1" w:themeFillTint="66"/>
          </w:tcPr>
          <w:p w14:paraId="17EA0ECD"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размер</w:t>
            </w:r>
          </w:p>
        </w:tc>
        <w:tc>
          <w:tcPr>
            <w:tcW w:w="850" w:type="dxa"/>
            <w:shd w:val="clear" w:color="auto" w:fill="B8CCE4" w:themeFill="accent1" w:themeFillTint="66"/>
          </w:tcPr>
          <w:p w14:paraId="09469AE7" w14:textId="77777777" w:rsidR="001315AC" w:rsidRPr="001A28D2" w:rsidRDefault="001315AC" w:rsidP="00045FC5">
            <w:pPr>
              <w:jc w:val="center"/>
              <w:textAlignment w:val="center"/>
              <w:rPr>
                <w:rFonts w:eastAsiaTheme="minorHAnsi"/>
                <w:b/>
                <w:sz w:val="20"/>
                <w:szCs w:val="20"/>
                <w:lang w:eastAsia="en-US"/>
              </w:rPr>
            </w:pPr>
            <w:proofErr w:type="spellStart"/>
            <w:r w:rsidRPr="001A28D2">
              <w:rPr>
                <w:rFonts w:eastAsiaTheme="minorHAnsi"/>
                <w:b/>
                <w:sz w:val="20"/>
                <w:szCs w:val="20"/>
                <w:lang w:eastAsia="en-US"/>
              </w:rPr>
              <w:t>отн</w:t>
            </w:r>
            <w:proofErr w:type="spellEnd"/>
            <w:r w:rsidRPr="001A28D2">
              <w:rPr>
                <w:rFonts w:eastAsiaTheme="minorHAnsi"/>
                <w:b/>
                <w:sz w:val="20"/>
                <w:szCs w:val="20"/>
                <w:lang w:eastAsia="en-US"/>
              </w:rPr>
              <w:t>. дял %</w:t>
            </w:r>
          </w:p>
        </w:tc>
        <w:tc>
          <w:tcPr>
            <w:tcW w:w="1560" w:type="dxa"/>
            <w:vMerge/>
            <w:shd w:val="clear" w:color="auto" w:fill="B8CCE4" w:themeFill="accent1" w:themeFillTint="66"/>
          </w:tcPr>
          <w:p w14:paraId="74B14DE1" w14:textId="77777777" w:rsidR="001315AC" w:rsidRPr="001A28D2" w:rsidRDefault="001315AC" w:rsidP="00045FC5">
            <w:pPr>
              <w:jc w:val="center"/>
              <w:textAlignment w:val="center"/>
              <w:rPr>
                <w:rFonts w:eastAsiaTheme="minorHAnsi"/>
                <w:b/>
                <w:sz w:val="20"/>
                <w:szCs w:val="20"/>
                <w:lang w:eastAsia="en-US"/>
              </w:rPr>
            </w:pPr>
          </w:p>
        </w:tc>
        <w:tc>
          <w:tcPr>
            <w:tcW w:w="1417" w:type="dxa"/>
            <w:vMerge/>
            <w:shd w:val="clear" w:color="auto" w:fill="B8CCE4" w:themeFill="accent1" w:themeFillTint="66"/>
          </w:tcPr>
          <w:p w14:paraId="5105B942" w14:textId="77777777" w:rsidR="001315AC" w:rsidRPr="001A28D2" w:rsidRDefault="001315AC" w:rsidP="00045FC5">
            <w:pPr>
              <w:jc w:val="center"/>
              <w:textAlignment w:val="center"/>
              <w:rPr>
                <w:rFonts w:eastAsiaTheme="minorHAnsi"/>
                <w:b/>
                <w:sz w:val="20"/>
                <w:szCs w:val="20"/>
                <w:lang w:eastAsia="en-US"/>
              </w:rPr>
            </w:pPr>
          </w:p>
        </w:tc>
      </w:tr>
      <w:tr w:rsidR="00045FC5" w:rsidRPr="001A28D2" w14:paraId="73AC9C26" w14:textId="77777777" w:rsidTr="00045FC5">
        <w:trPr>
          <w:trHeight w:val="315"/>
        </w:trPr>
        <w:tc>
          <w:tcPr>
            <w:tcW w:w="1985" w:type="dxa"/>
            <w:shd w:val="clear" w:color="auto" w:fill="B8CCE4" w:themeFill="accent1" w:themeFillTint="66"/>
          </w:tcPr>
          <w:p w14:paraId="304B10B4"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1</w:t>
            </w:r>
          </w:p>
        </w:tc>
        <w:tc>
          <w:tcPr>
            <w:tcW w:w="992" w:type="dxa"/>
            <w:shd w:val="clear" w:color="auto" w:fill="B8CCE4" w:themeFill="accent1" w:themeFillTint="66"/>
          </w:tcPr>
          <w:p w14:paraId="4ACC9298"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2</w:t>
            </w:r>
          </w:p>
        </w:tc>
        <w:tc>
          <w:tcPr>
            <w:tcW w:w="851" w:type="dxa"/>
            <w:shd w:val="clear" w:color="auto" w:fill="B8CCE4" w:themeFill="accent1" w:themeFillTint="66"/>
          </w:tcPr>
          <w:p w14:paraId="2520BCD1"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3</w:t>
            </w:r>
          </w:p>
        </w:tc>
        <w:tc>
          <w:tcPr>
            <w:tcW w:w="992" w:type="dxa"/>
            <w:shd w:val="clear" w:color="auto" w:fill="B8CCE4" w:themeFill="accent1" w:themeFillTint="66"/>
          </w:tcPr>
          <w:p w14:paraId="73F87178"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4</w:t>
            </w:r>
          </w:p>
        </w:tc>
        <w:tc>
          <w:tcPr>
            <w:tcW w:w="851" w:type="dxa"/>
            <w:shd w:val="clear" w:color="auto" w:fill="B8CCE4" w:themeFill="accent1" w:themeFillTint="66"/>
          </w:tcPr>
          <w:p w14:paraId="1D25F6BE"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5</w:t>
            </w:r>
          </w:p>
        </w:tc>
        <w:tc>
          <w:tcPr>
            <w:tcW w:w="992" w:type="dxa"/>
            <w:shd w:val="clear" w:color="auto" w:fill="B8CCE4" w:themeFill="accent1" w:themeFillTint="66"/>
          </w:tcPr>
          <w:p w14:paraId="54778B19"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6</w:t>
            </w:r>
          </w:p>
        </w:tc>
        <w:tc>
          <w:tcPr>
            <w:tcW w:w="850" w:type="dxa"/>
            <w:shd w:val="clear" w:color="auto" w:fill="B8CCE4" w:themeFill="accent1" w:themeFillTint="66"/>
          </w:tcPr>
          <w:p w14:paraId="09202124"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7</w:t>
            </w:r>
          </w:p>
        </w:tc>
        <w:tc>
          <w:tcPr>
            <w:tcW w:w="1560" w:type="dxa"/>
            <w:shd w:val="clear" w:color="auto" w:fill="B8CCE4" w:themeFill="accent1" w:themeFillTint="66"/>
          </w:tcPr>
          <w:p w14:paraId="30A41A80"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8</w:t>
            </w:r>
          </w:p>
        </w:tc>
        <w:tc>
          <w:tcPr>
            <w:tcW w:w="1417" w:type="dxa"/>
            <w:shd w:val="clear" w:color="auto" w:fill="B8CCE4" w:themeFill="accent1" w:themeFillTint="66"/>
          </w:tcPr>
          <w:p w14:paraId="229971B9" w14:textId="77777777" w:rsidR="001315AC" w:rsidRPr="001A28D2" w:rsidRDefault="001315AC" w:rsidP="00045FC5">
            <w:pPr>
              <w:jc w:val="center"/>
              <w:textAlignment w:val="center"/>
              <w:rPr>
                <w:rFonts w:eastAsiaTheme="minorHAnsi"/>
                <w:b/>
                <w:sz w:val="20"/>
                <w:szCs w:val="20"/>
                <w:lang w:eastAsia="en-US"/>
              </w:rPr>
            </w:pPr>
            <w:r w:rsidRPr="001A28D2">
              <w:rPr>
                <w:rFonts w:eastAsiaTheme="minorHAnsi"/>
                <w:b/>
                <w:sz w:val="20"/>
                <w:szCs w:val="20"/>
                <w:lang w:eastAsia="en-US"/>
              </w:rPr>
              <w:t>9</w:t>
            </w:r>
          </w:p>
        </w:tc>
      </w:tr>
      <w:tr w:rsidR="00045FC5" w:rsidRPr="001A28D2" w14:paraId="5C54DEF7" w14:textId="77777777" w:rsidTr="002B3110">
        <w:tc>
          <w:tcPr>
            <w:tcW w:w="1985" w:type="dxa"/>
            <w:shd w:val="clear" w:color="auto" w:fill="DAEEF3" w:themeFill="accent5" w:themeFillTint="33"/>
          </w:tcPr>
          <w:p w14:paraId="3FEF44C2" w14:textId="77777777" w:rsidR="001315AC" w:rsidRPr="001A28D2" w:rsidRDefault="001315AC" w:rsidP="00045FC5">
            <w:pPr>
              <w:jc w:val="both"/>
              <w:textAlignment w:val="center"/>
              <w:rPr>
                <w:rFonts w:eastAsiaTheme="minorHAnsi"/>
                <w:b/>
                <w:sz w:val="20"/>
                <w:szCs w:val="20"/>
                <w:lang w:eastAsia="en-US"/>
              </w:rPr>
            </w:pPr>
            <w:r w:rsidRPr="001A28D2">
              <w:rPr>
                <w:rFonts w:eastAsiaTheme="minorHAnsi"/>
                <w:b/>
                <w:sz w:val="20"/>
                <w:szCs w:val="20"/>
                <w:lang w:eastAsia="en-US"/>
              </w:rPr>
              <w:t>ПРИХОДИ</w:t>
            </w:r>
          </w:p>
        </w:tc>
        <w:tc>
          <w:tcPr>
            <w:tcW w:w="992" w:type="dxa"/>
            <w:shd w:val="clear" w:color="auto" w:fill="DAEEF3" w:themeFill="accent5" w:themeFillTint="33"/>
            <w:vAlign w:val="center"/>
          </w:tcPr>
          <w:p w14:paraId="592D9021"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17 698,3</w:t>
            </w:r>
          </w:p>
        </w:tc>
        <w:tc>
          <w:tcPr>
            <w:tcW w:w="851" w:type="dxa"/>
            <w:shd w:val="clear" w:color="auto" w:fill="DAEEF3" w:themeFill="accent5" w:themeFillTint="33"/>
            <w:vAlign w:val="center"/>
          </w:tcPr>
          <w:p w14:paraId="43FF3108"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3008E117" w14:textId="77777777" w:rsidR="001315AC" w:rsidRPr="001A28D2" w:rsidRDefault="001315AC" w:rsidP="002B3110">
            <w:pPr>
              <w:jc w:val="right"/>
              <w:rPr>
                <w:rFonts w:eastAsiaTheme="minorHAnsi"/>
                <w:b/>
                <w:sz w:val="20"/>
                <w:szCs w:val="20"/>
                <w:lang w:eastAsia="en-US"/>
              </w:rPr>
            </w:pPr>
            <w:r w:rsidRPr="001A28D2">
              <w:rPr>
                <w:rFonts w:eastAsiaTheme="minorHAnsi"/>
                <w:b/>
                <w:sz w:val="20"/>
                <w:szCs w:val="20"/>
                <w:lang w:eastAsia="en-US"/>
              </w:rPr>
              <w:t>18 921,5</w:t>
            </w:r>
          </w:p>
        </w:tc>
        <w:tc>
          <w:tcPr>
            <w:tcW w:w="851" w:type="dxa"/>
            <w:shd w:val="clear" w:color="auto" w:fill="DAEEF3" w:themeFill="accent5" w:themeFillTint="33"/>
            <w:vAlign w:val="center"/>
          </w:tcPr>
          <w:p w14:paraId="5FAFF962"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7CFF101F" w14:textId="1A4A67EA" w:rsidR="001315AC" w:rsidRPr="001A28D2" w:rsidRDefault="001315AC" w:rsidP="001005B1">
            <w:pPr>
              <w:jc w:val="right"/>
              <w:textAlignment w:val="center"/>
              <w:rPr>
                <w:rFonts w:eastAsiaTheme="minorHAnsi"/>
                <w:b/>
                <w:sz w:val="20"/>
                <w:szCs w:val="20"/>
                <w:lang w:eastAsia="en-US"/>
              </w:rPr>
            </w:pPr>
            <w:r w:rsidRPr="001A28D2">
              <w:rPr>
                <w:rFonts w:eastAsiaTheme="minorHAnsi"/>
                <w:b/>
                <w:sz w:val="20"/>
                <w:szCs w:val="20"/>
                <w:lang w:eastAsia="en-US"/>
              </w:rPr>
              <w:t>20 688,</w:t>
            </w:r>
            <w:r w:rsidR="001005B1" w:rsidRPr="001A28D2">
              <w:rPr>
                <w:rFonts w:eastAsiaTheme="minorHAnsi"/>
                <w:b/>
                <w:sz w:val="20"/>
                <w:szCs w:val="20"/>
                <w:lang w:eastAsia="en-US"/>
              </w:rPr>
              <w:t>3</w:t>
            </w:r>
          </w:p>
        </w:tc>
        <w:tc>
          <w:tcPr>
            <w:tcW w:w="850" w:type="dxa"/>
            <w:shd w:val="clear" w:color="auto" w:fill="DAEEF3" w:themeFill="accent5" w:themeFillTint="33"/>
            <w:vAlign w:val="center"/>
          </w:tcPr>
          <w:p w14:paraId="601A6833" w14:textId="77777777" w:rsidR="001315AC" w:rsidRPr="001A28D2" w:rsidRDefault="001315AC" w:rsidP="002B3110">
            <w:pPr>
              <w:jc w:val="right"/>
              <w:textAlignment w:val="center"/>
              <w:rPr>
                <w:rFonts w:eastAsiaTheme="minorHAnsi"/>
                <w:b/>
                <w:sz w:val="20"/>
                <w:szCs w:val="20"/>
                <w:lang w:eastAsia="en-US"/>
              </w:rPr>
            </w:pPr>
          </w:p>
        </w:tc>
        <w:tc>
          <w:tcPr>
            <w:tcW w:w="1560" w:type="dxa"/>
            <w:shd w:val="clear" w:color="auto" w:fill="DAEEF3" w:themeFill="accent5" w:themeFillTint="33"/>
            <w:vAlign w:val="center"/>
          </w:tcPr>
          <w:p w14:paraId="701C5EF1"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106,9</w:t>
            </w:r>
          </w:p>
        </w:tc>
        <w:tc>
          <w:tcPr>
            <w:tcW w:w="1417" w:type="dxa"/>
            <w:shd w:val="clear" w:color="auto" w:fill="DAEEF3" w:themeFill="accent5" w:themeFillTint="33"/>
            <w:vAlign w:val="center"/>
          </w:tcPr>
          <w:p w14:paraId="0B732B68" w14:textId="77777777" w:rsidR="001315AC" w:rsidRPr="001A28D2" w:rsidRDefault="001315AC" w:rsidP="002B3110">
            <w:pPr>
              <w:jc w:val="right"/>
              <w:rPr>
                <w:rFonts w:eastAsiaTheme="minorHAnsi"/>
                <w:b/>
                <w:sz w:val="20"/>
                <w:szCs w:val="20"/>
                <w:lang w:eastAsia="en-US"/>
              </w:rPr>
            </w:pPr>
            <w:r w:rsidRPr="001A28D2">
              <w:rPr>
                <w:rFonts w:eastAsiaTheme="minorHAnsi"/>
                <w:b/>
                <w:sz w:val="20"/>
                <w:szCs w:val="20"/>
                <w:lang w:eastAsia="en-US"/>
              </w:rPr>
              <w:t>109,3</w:t>
            </w:r>
          </w:p>
        </w:tc>
      </w:tr>
      <w:tr w:rsidR="00045FC5" w:rsidRPr="001A28D2" w14:paraId="6C40F703" w14:textId="77777777" w:rsidTr="002B3110">
        <w:tc>
          <w:tcPr>
            <w:tcW w:w="1985" w:type="dxa"/>
          </w:tcPr>
          <w:p w14:paraId="3EFA8DAF" w14:textId="77777777" w:rsidR="001315AC" w:rsidRPr="001A28D2" w:rsidRDefault="001315AC" w:rsidP="00045FC5">
            <w:pPr>
              <w:jc w:val="both"/>
              <w:textAlignment w:val="center"/>
              <w:rPr>
                <w:rFonts w:eastAsiaTheme="minorHAnsi"/>
                <w:sz w:val="20"/>
                <w:szCs w:val="20"/>
                <w:lang w:eastAsia="en-US"/>
              </w:rPr>
            </w:pPr>
            <w:r w:rsidRPr="001A28D2">
              <w:rPr>
                <w:rFonts w:eastAsiaTheme="minorHAnsi"/>
                <w:sz w:val="20"/>
                <w:szCs w:val="20"/>
                <w:lang w:eastAsia="en-US"/>
              </w:rPr>
              <w:t>Данъчни приходи</w:t>
            </w:r>
          </w:p>
        </w:tc>
        <w:tc>
          <w:tcPr>
            <w:tcW w:w="992" w:type="dxa"/>
            <w:vAlign w:val="center"/>
          </w:tcPr>
          <w:p w14:paraId="2D1A5841"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15 860,4</w:t>
            </w:r>
          </w:p>
        </w:tc>
        <w:tc>
          <w:tcPr>
            <w:tcW w:w="851" w:type="dxa"/>
            <w:vAlign w:val="center"/>
          </w:tcPr>
          <w:p w14:paraId="66B87BBE"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89,6</w:t>
            </w:r>
          </w:p>
        </w:tc>
        <w:tc>
          <w:tcPr>
            <w:tcW w:w="992" w:type="dxa"/>
            <w:vAlign w:val="center"/>
          </w:tcPr>
          <w:p w14:paraId="4E7028D3"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17 151,5</w:t>
            </w:r>
          </w:p>
        </w:tc>
        <w:tc>
          <w:tcPr>
            <w:tcW w:w="851" w:type="dxa"/>
            <w:vAlign w:val="center"/>
          </w:tcPr>
          <w:p w14:paraId="3FDB09B5"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90,6</w:t>
            </w:r>
          </w:p>
        </w:tc>
        <w:tc>
          <w:tcPr>
            <w:tcW w:w="992" w:type="dxa"/>
            <w:vAlign w:val="center"/>
          </w:tcPr>
          <w:p w14:paraId="5110438A"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18 709,4</w:t>
            </w:r>
          </w:p>
        </w:tc>
        <w:tc>
          <w:tcPr>
            <w:tcW w:w="850" w:type="dxa"/>
            <w:vAlign w:val="center"/>
          </w:tcPr>
          <w:p w14:paraId="77FBD65A"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90,4</w:t>
            </w:r>
          </w:p>
        </w:tc>
        <w:tc>
          <w:tcPr>
            <w:tcW w:w="1560" w:type="dxa"/>
            <w:vAlign w:val="center"/>
          </w:tcPr>
          <w:p w14:paraId="135B3701"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108,1</w:t>
            </w:r>
          </w:p>
        </w:tc>
        <w:tc>
          <w:tcPr>
            <w:tcW w:w="1417" w:type="dxa"/>
            <w:vAlign w:val="center"/>
          </w:tcPr>
          <w:p w14:paraId="2D59E207"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109,1</w:t>
            </w:r>
          </w:p>
        </w:tc>
      </w:tr>
      <w:tr w:rsidR="00045FC5" w:rsidRPr="001A28D2" w14:paraId="3323E937" w14:textId="77777777" w:rsidTr="002B3110">
        <w:tc>
          <w:tcPr>
            <w:tcW w:w="1985" w:type="dxa"/>
          </w:tcPr>
          <w:p w14:paraId="13513171" w14:textId="77777777" w:rsidR="001315AC" w:rsidRPr="001A28D2" w:rsidRDefault="001315AC" w:rsidP="00045FC5">
            <w:pPr>
              <w:jc w:val="both"/>
              <w:textAlignment w:val="center"/>
              <w:rPr>
                <w:rFonts w:eastAsiaTheme="minorHAnsi"/>
                <w:sz w:val="20"/>
                <w:szCs w:val="20"/>
                <w:lang w:eastAsia="en-US"/>
              </w:rPr>
            </w:pPr>
            <w:r w:rsidRPr="001A28D2">
              <w:rPr>
                <w:rFonts w:eastAsiaTheme="minorHAnsi"/>
                <w:sz w:val="20"/>
                <w:szCs w:val="20"/>
                <w:lang w:eastAsia="en-US"/>
              </w:rPr>
              <w:t>Неданъчни приходи</w:t>
            </w:r>
          </w:p>
        </w:tc>
        <w:tc>
          <w:tcPr>
            <w:tcW w:w="992" w:type="dxa"/>
            <w:vAlign w:val="center"/>
          </w:tcPr>
          <w:p w14:paraId="2CE27F90"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1 816,7</w:t>
            </w:r>
          </w:p>
        </w:tc>
        <w:tc>
          <w:tcPr>
            <w:tcW w:w="851" w:type="dxa"/>
            <w:vAlign w:val="center"/>
          </w:tcPr>
          <w:p w14:paraId="0844840B"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10,3</w:t>
            </w:r>
          </w:p>
        </w:tc>
        <w:tc>
          <w:tcPr>
            <w:tcW w:w="992" w:type="dxa"/>
            <w:vAlign w:val="center"/>
          </w:tcPr>
          <w:p w14:paraId="478A4D79"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1 757,7</w:t>
            </w:r>
          </w:p>
        </w:tc>
        <w:tc>
          <w:tcPr>
            <w:tcW w:w="851" w:type="dxa"/>
            <w:vAlign w:val="center"/>
          </w:tcPr>
          <w:p w14:paraId="1FCAECA2"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9,3</w:t>
            </w:r>
          </w:p>
        </w:tc>
        <w:tc>
          <w:tcPr>
            <w:tcW w:w="992" w:type="dxa"/>
            <w:vAlign w:val="center"/>
          </w:tcPr>
          <w:p w14:paraId="46E4B5E1"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1 972,1</w:t>
            </w:r>
          </w:p>
        </w:tc>
        <w:tc>
          <w:tcPr>
            <w:tcW w:w="850" w:type="dxa"/>
            <w:vAlign w:val="center"/>
          </w:tcPr>
          <w:p w14:paraId="4F2246F6"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9,5</w:t>
            </w:r>
          </w:p>
        </w:tc>
        <w:tc>
          <w:tcPr>
            <w:tcW w:w="1560" w:type="dxa"/>
            <w:vAlign w:val="center"/>
          </w:tcPr>
          <w:p w14:paraId="71093D7B"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96,8</w:t>
            </w:r>
          </w:p>
        </w:tc>
        <w:tc>
          <w:tcPr>
            <w:tcW w:w="1417" w:type="dxa"/>
            <w:vAlign w:val="center"/>
          </w:tcPr>
          <w:p w14:paraId="0A888A07"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112,2</w:t>
            </w:r>
          </w:p>
        </w:tc>
      </w:tr>
      <w:tr w:rsidR="00045FC5" w:rsidRPr="001A28D2" w14:paraId="5F1F1E7A" w14:textId="77777777" w:rsidTr="002B3110">
        <w:tc>
          <w:tcPr>
            <w:tcW w:w="1985" w:type="dxa"/>
          </w:tcPr>
          <w:p w14:paraId="03B69F14" w14:textId="77777777" w:rsidR="001315AC" w:rsidRPr="001A28D2" w:rsidRDefault="001315AC" w:rsidP="00045FC5">
            <w:pPr>
              <w:jc w:val="both"/>
              <w:textAlignment w:val="center"/>
              <w:rPr>
                <w:rFonts w:eastAsiaTheme="minorHAnsi"/>
                <w:sz w:val="20"/>
                <w:szCs w:val="20"/>
                <w:lang w:eastAsia="en-US"/>
              </w:rPr>
            </w:pPr>
            <w:r w:rsidRPr="001A28D2">
              <w:rPr>
                <w:rFonts w:eastAsiaTheme="minorHAnsi"/>
                <w:sz w:val="20"/>
                <w:szCs w:val="20"/>
                <w:lang w:eastAsia="en-US"/>
              </w:rPr>
              <w:t>Помощи и дарения</w:t>
            </w:r>
          </w:p>
        </w:tc>
        <w:tc>
          <w:tcPr>
            <w:tcW w:w="992" w:type="dxa"/>
            <w:vAlign w:val="center"/>
          </w:tcPr>
          <w:p w14:paraId="1001694E"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21,2</w:t>
            </w:r>
          </w:p>
        </w:tc>
        <w:tc>
          <w:tcPr>
            <w:tcW w:w="851" w:type="dxa"/>
            <w:vAlign w:val="center"/>
          </w:tcPr>
          <w:p w14:paraId="2131A12A"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0,1</w:t>
            </w:r>
          </w:p>
        </w:tc>
        <w:tc>
          <w:tcPr>
            <w:tcW w:w="992" w:type="dxa"/>
            <w:vAlign w:val="center"/>
          </w:tcPr>
          <w:p w14:paraId="08009B35"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12,3</w:t>
            </w:r>
          </w:p>
        </w:tc>
        <w:tc>
          <w:tcPr>
            <w:tcW w:w="851" w:type="dxa"/>
            <w:vAlign w:val="center"/>
          </w:tcPr>
          <w:p w14:paraId="1A4EF6A8"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0,1</w:t>
            </w:r>
          </w:p>
        </w:tc>
        <w:tc>
          <w:tcPr>
            <w:tcW w:w="992" w:type="dxa"/>
            <w:vAlign w:val="center"/>
          </w:tcPr>
          <w:p w14:paraId="6259398F"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6,9</w:t>
            </w:r>
          </w:p>
        </w:tc>
        <w:tc>
          <w:tcPr>
            <w:tcW w:w="850" w:type="dxa"/>
            <w:vAlign w:val="center"/>
          </w:tcPr>
          <w:p w14:paraId="14021B70"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0,1</w:t>
            </w:r>
          </w:p>
        </w:tc>
        <w:tc>
          <w:tcPr>
            <w:tcW w:w="1560" w:type="dxa"/>
            <w:vAlign w:val="center"/>
          </w:tcPr>
          <w:p w14:paraId="2FE34E29"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58,0</w:t>
            </w:r>
          </w:p>
        </w:tc>
        <w:tc>
          <w:tcPr>
            <w:tcW w:w="1417" w:type="dxa"/>
            <w:vAlign w:val="center"/>
          </w:tcPr>
          <w:p w14:paraId="3E3A56C2"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56,1</w:t>
            </w:r>
          </w:p>
        </w:tc>
      </w:tr>
      <w:tr w:rsidR="00045FC5" w:rsidRPr="001A28D2" w14:paraId="4E49EA4B" w14:textId="77777777" w:rsidTr="002B3110">
        <w:tc>
          <w:tcPr>
            <w:tcW w:w="1985" w:type="dxa"/>
            <w:shd w:val="clear" w:color="auto" w:fill="DAEEF3" w:themeFill="accent5" w:themeFillTint="33"/>
          </w:tcPr>
          <w:p w14:paraId="47E10B88" w14:textId="77777777" w:rsidR="001315AC" w:rsidRPr="001A28D2" w:rsidRDefault="001315AC" w:rsidP="00045FC5">
            <w:pPr>
              <w:jc w:val="both"/>
              <w:textAlignment w:val="center"/>
              <w:rPr>
                <w:rFonts w:eastAsiaTheme="minorHAnsi"/>
                <w:b/>
                <w:sz w:val="20"/>
                <w:szCs w:val="20"/>
                <w:lang w:eastAsia="en-US"/>
              </w:rPr>
            </w:pPr>
            <w:r w:rsidRPr="001A28D2">
              <w:rPr>
                <w:rFonts w:eastAsiaTheme="minorHAnsi"/>
                <w:b/>
                <w:sz w:val="20"/>
                <w:szCs w:val="20"/>
                <w:lang w:eastAsia="en-US"/>
              </w:rPr>
              <w:t>РАЗХОДИ, ТРАНСФЕРИ И ВНОСКА В БЮДЖЕТА НА ЕС</w:t>
            </w:r>
          </w:p>
        </w:tc>
        <w:tc>
          <w:tcPr>
            <w:tcW w:w="992" w:type="dxa"/>
            <w:shd w:val="clear" w:color="auto" w:fill="DAEEF3" w:themeFill="accent5" w:themeFillTint="33"/>
            <w:vAlign w:val="center"/>
          </w:tcPr>
          <w:p w14:paraId="1F8438C0"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20 266,6</w:t>
            </w:r>
          </w:p>
        </w:tc>
        <w:tc>
          <w:tcPr>
            <w:tcW w:w="851" w:type="dxa"/>
            <w:shd w:val="clear" w:color="auto" w:fill="DAEEF3" w:themeFill="accent5" w:themeFillTint="33"/>
            <w:vAlign w:val="center"/>
          </w:tcPr>
          <w:p w14:paraId="2E81D725"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46278586"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20 945,9</w:t>
            </w:r>
          </w:p>
        </w:tc>
        <w:tc>
          <w:tcPr>
            <w:tcW w:w="851" w:type="dxa"/>
            <w:shd w:val="clear" w:color="auto" w:fill="DAEEF3" w:themeFill="accent5" w:themeFillTint="33"/>
            <w:vAlign w:val="center"/>
          </w:tcPr>
          <w:p w14:paraId="753A52C6"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598661C0"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21 788,0</w:t>
            </w:r>
          </w:p>
        </w:tc>
        <w:tc>
          <w:tcPr>
            <w:tcW w:w="850" w:type="dxa"/>
            <w:shd w:val="clear" w:color="auto" w:fill="DAEEF3" w:themeFill="accent5" w:themeFillTint="33"/>
            <w:vAlign w:val="center"/>
          </w:tcPr>
          <w:p w14:paraId="1360EB47" w14:textId="77777777" w:rsidR="001315AC" w:rsidRPr="001A28D2" w:rsidRDefault="001315AC" w:rsidP="002B3110">
            <w:pPr>
              <w:jc w:val="right"/>
              <w:textAlignment w:val="center"/>
              <w:rPr>
                <w:rFonts w:eastAsiaTheme="minorHAnsi"/>
                <w:b/>
                <w:sz w:val="20"/>
                <w:szCs w:val="20"/>
                <w:lang w:eastAsia="en-US"/>
              </w:rPr>
            </w:pPr>
          </w:p>
        </w:tc>
        <w:tc>
          <w:tcPr>
            <w:tcW w:w="1560" w:type="dxa"/>
            <w:shd w:val="clear" w:color="auto" w:fill="DAEEF3" w:themeFill="accent5" w:themeFillTint="33"/>
            <w:vAlign w:val="center"/>
          </w:tcPr>
          <w:p w14:paraId="082EC52F"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103,4</w:t>
            </w:r>
          </w:p>
        </w:tc>
        <w:tc>
          <w:tcPr>
            <w:tcW w:w="1417" w:type="dxa"/>
            <w:shd w:val="clear" w:color="auto" w:fill="DAEEF3" w:themeFill="accent5" w:themeFillTint="33"/>
            <w:vAlign w:val="center"/>
          </w:tcPr>
          <w:p w14:paraId="054F4D02" w14:textId="77777777" w:rsidR="001315AC" w:rsidRPr="001A28D2" w:rsidRDefault="001315AC" w:rsidP="002B3110">
            <w:pPr>
              <w:jc w:val="right"/>
              <w:rPr>
                <w:rFonts w:eastAsiaTheme="minorHAnsi"/>
                <w:b/>
                <w:sz w:val="20"/>
                <w:szCs w:val="20"/>
                <w:lang w:eastAsia="en-US"/>
              </w:rPr>
            </w:pPr>
            <w:r w:rsidRPr="001A28D2">
              <w:rPr>
                <w:rFonts w:eastAsiaTheme="minorHAnsi"/>
                <w:b/>
                <w:sz w:val="20"/>
                <w:szCs w:val="20"/>
                <w:lang w:eastAsia="en-US"/>
              </w:rPr>
              <w:t>104,0</w:t>
            </w:r>
          </w:p>
        </w:tc>
      </w:tr>
      <w:tr w:rsidR="00045FC5" w:rsidRPr="001A28D2" w14:paraId="61154D59" w14:textId="77777777" w:rsidTr="002B3110">
        <w:tc>
          <w:tcPr>
            <w:tcW w:w="1985" w:type="dxa"/>
          </w:tcPr>
          <w:p w14:paraId="04AE0B4D" w14:textId="77777777" w:rsidR="001315AC" w:rsidRPr="001A28D2" w:rsidRDefault="001315AC" w:rsidP="00045FC5">
            <w:pPr>
              <w:jc w:val="both"/>
              <w:textAlignment w:val="center"/>
              <w:rPr>
                <w:rFonts w:eastAsiaTheme="minorHAnsi"/>
                <w:b/>
                <w:sz w:val="20"/>
                <w:szCs w:val="20"/>
                <w:lang w:eastAsia="en-US"/>
              </w:rPr>
            </w:pPr>
            <w:r w:rsidRPr="001A28D2">
              <w:rPr>
                <w:rFonts w:eastAsiaTheme="minorHAnsi"/>
                <w:b/>
                <w:sz w:val="20"/>
                <w:szCs w:val="20"/>
                <w:lang w:eastAsia="en-US"/>
              </w:rPr>
              <w:t>Разходи</w:t>
            </w:r>
          </w:p>
        </w:tc>
        <w:tc>
          <w:tcPr>
            <w:tcW w:w="992" w:type="dxa"/>
            <w:vAlign w:val="center"/>
          </w:tcPr>
          <w:p w14:paraId="23F44A76"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8 503,1</w:t>
            </w:r>
          </w:p>
        </w:tc>
        <w:tc>
          <w:tcPr>
            <w:tcW w:w="851" w:type="dxa"/>
            <w:vAlign w:val="center"/>
          </w:tcPr>
          <w:p w14:paraId="6DD96143" w14:textId="77777777" w:rsidR="001315AC" w:rsidRPr="001A28D2" w:rsidRDefault="001315AC" w:rsidP="002B3110">
            <w:pPr>
              <w:jc w:val="right"/>
              <w:textAlignment w:val="center"/>
              <w:rPr>
                <w:rFonts w:eastAsiaTheme="minorHAnsi"/>
                <w:b/>
                <w:sz w:val="20"/>
                <w:szCs w:val="20"/>
                <w:lang w:eastAsia="en-US"/>
              </w:rPr>
            </w:pPr>
          </w:p>
        </w:tc>
        <w:tc>
          <w:tcPr>
            <w:tcW w:w="992" w:type="dxa"/>
            <w:vAlign w:val="center"/>
          </w:tcPr>
          <w:p w14:paraId="477543B8"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8 677,1</w:t>
            </w:r>
          </w:p>
        </w:tc>
        <w:tc>
          <w:tcPr>
            <w:tcW w:w="851" w:type="dxa"/>
            <w:vAlign w:val="center"/>
          </w:tcPr>
          <w:p w14:paraId="78B3D7C3" w14:textId="77777777" w:rsidR="001315AC" w:rsidRPr="001A28D2" w:rsidRDefault="001315AC" w:rsidP="002B3110">
            <w:pPr>
              <w:jc w:val="right"/>
              <w:textAlignment w:val="center"/>
              <w:rPr>
                <w:rFonts w:eastAsiaTheme="minorHAnsi"/>
                <w:b/>
                <w:sz w:val="20"/>
                <w:szCs w:val="20"/>
                <w:lang w:eastAsia="en-US"/>
              </w:rPr>
            </w:pPr>
          </w:p>
        </w:tc>
        <w:tc>
          <w:tcPr>
            <w:tcW w:w="992" w:type="dxa"/>
            <w:vAlign w:val="center"/>
          </w:tcPr>
          <w:p w14:paraId="26693F97"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10 106,0</w:t>
            </w:r>
          </w:p>
        </w:tc>
        <w:tc>
          <w:tcPr>
            <w:tcW w:w="850" w:type="dxa"/>
            <w:vAlign w:val="center"/>
          </w:tcPr>
          <w:p w14:paraId="2EB93F20" w14:textId="77777777" w:rsidR="001315AC" w:rsidRPr="001A28D2" w:rsidRDefault="001315AC" w:rsidP="002B3110">
            <w:pPr>
              <w:jc w:val="right"/>
              <w:textAlignment w:val="center"/>
              <w:rPr>
                <w:rFonts w:eastAsiaTheme="minorHAnsi"/>
                <w:b/>
                <w:sz w:val="20"/>
                <w:szCs w:val="20"/>
                <w:lang w:eastAsia="en-US"/>
              </w:rPr>
            </w:pPr>
          </w:p>
        </w:tc>
        <w:tc>
          <w:tcPr>
            <w:tcW w:w="1560" w:type="dxa"/>
            <w:vAlign w:val="center"/>
          </w:tcPr>
          <w:p w14:paraId="13B77C1B"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102,0</w:t>
            </w:r>
          </w:p>
        </w:tc>
        <w:tc>
          <w:tcPr>
            <w:tcW w:w="1417" w:type="dxa"/>
            <w:vAlign w:val="center"/>
          </w:tcPr>
          <w:p w14:paraId="0120C43F" w14:textId="77777777" w:rsidR="001315AC" w:rsidRPr="001A28D2" w:rsidRDefault="001315AC" w:rsidP="002B3110">
            <w:pPr>
              <w:jc w:val="right"/>
              <w:rPr>
                <w:rFonts w:eastAsiaTheme="minorHAnsi"/>
                <w:b/>
                <w:sz w:val="20"/>
                <w:szCs w:val="20"/>
                <w:lang w:eastAsia="en-US"/>
              </w:rPr>
            </w:pPr>
            <w:r w:rsidRPr="001A28D2">
              <w:rPr>
                <w:rFonts w:eastAsiaTheme="minorHAnsi"/>
                <w:b/>
                <w:sz w:val="20"/>
                <w:szCs w:val="20"/>
                <w:lang w:eastAsia="en-US"/>
              </w:rPr>
              <w:t>116,5</w:t>
            </w:r>
          </w:p>
        </w:tc>
      </w:tr>
      <w:tr w:rsidR="00045FC5" w:rsidRPr="001A28D2" w14:paraId="73D25B59" w14:textId="77777777" w:rsidTr="002B3110">
        <w:tc>
          <w:tcPr>
            <w:tcW w:w="1985" w:type="dxa"/>
          </w:tcPr>
          <w:p w14:paraId="09452C79" w14:textId="77777777" w:rsidR="001315AC" w:rsidRPr="001A28D2" w:rsidRDefault="001315AC" w:rsidP="00045FC5">
            <w:pPr>
              <w:jc w:val="both"/>
              <w:textAlignment w:val="center"/>
              <w:rPr>
                <w:rFonts w:eastAsiaTheme="minorHAnsi"/>
                <w:sz w:val="20"/>
                <w:szCs w:val="20"/>
                <w:lang w:eastAsia="en-US"/>
              </w:rPr>
            </w:pPr>
            <w:r w:rsidRPr="001A28D2">
              <w:rPr>
                <w:rFonts w:eastAsiaTheme="minorHAnsi"/>
                <w:sz w:val="20"/>
                <w:szCs w:val="20"/>
                <w:lang w:eastAsia="en-US"/>
              </w:rPr>
              <w:t>Текущи нелихвени разходи</w:t>
            </w:r>
          </w:p>
        </w:tc>
        <w:tc>
          <w:tcPr>
            <w:tcW w:w="992" w:type="dxa"/>
            <w:vAlign w:val="center"/>
          </w:tcPr>
          <w:p w14:paraId="3DC7D46E"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7 330,0</w:t>
            </w:r>
          </w:p>
        </w:tc>
        <w:tc>
          <w:tcPr>
            <w:tcW w:w="851" w:type="dxa"/>
            <w:vAlign w:val="center"/>
          </w:tcPr>
          <w:p w14:paraId="362D5BD3"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86,2</w:t>
            </w:r>
          </w:p>
        </w:tc>
        <w:tc>
          <w:tcPr>
            <w:tcW w:w="992" w:type="dxa"/>
            <w:vAlign w:val="center"/>
          </w:tcPr>
          <w:p w14:paraId="05287BA8"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7 365,2</w:t>
            </w:r>
          </w:p>
        </w:tc>
        <w:tc>
          <w:tcPr>
            <w:tcW w:w="851" w:type="dxa"/>
            <w:vAlign w:val="center"/>
          </w:tcPr>
          <w:p w14:paraId="7D1C92E0"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84,9</w:t>
            </w:r>
          </w:p>
        </w:tc>
        <w:tc>
          <w:tcPr>
            <w:tcW w:w="992" w:type="dxa"/>
            <w:vAlign w:val="center"/>
          </w:tcPr>
          <w:p w14:paraId="4C3B9A14"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7 403,3</w:t>
            </w:r>
          </w:p>
        </w:tc>
        <w:tc>
          <w:tcPr>
            <w:tcW w:w="850" w:type="dxa"/>
            <w:vAlign w:val="center"/>
          </w:tcPr>
          <w:p w14:paraId="2592D11A"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73,2</w:t>
            </w:r>
          </w:p>
        </w:tc>
        <w:tc>
          <w:tcPr>
            <w:tcW w:w="1560" w:type="dxa"/>
            <w:vAlign w:val="center"/>
          </w:tcPr>
          <w:p w14:paraId="0C6C9223"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100,5</w:t>
            </w:r>
          </w:p>
        </w:tc>
        <w:tc>
          <w:tcPr>
            <w:tcW w:w="1417" w:type="dxa"/>
            <w:vAlign w:val="center"/>
          </w:tcPr>
          <w:p w14:paraId="3C2F0B54"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100,5</w:t>
            </w:r>
          </w:p>
        </w:tc>
      </w:tr>
      <w:tr w:rsidR="00045FC5" w:rsidRPr="001A28D2" w14:paraId="0534E893" w14:textId="77777777" w:rsidTr="002B3110">
        <w:tc>
          <w:tcPr>
            <w:tcW w:w="1985" w:type="dxa"/>
          </w:tcPr>
          <w:p w14:paraId="68074A42" w14:textId="77777777" w:rsidR="001315AC" w:rsidRPr="001A28D2" w:rsidRDefault="001315AC" w:rsidP="00045FC5">
            <w:pPr>
              <w:jc w:val="both"/>
              <w:textAlignment w:val="center"/>
              <w:rPr>
                <w:rFonts w:eastAsiaTheme="minorHAnsi"/>
                <w:sz w:val="20"/>
                <w:szCs w:val="20"/>
                <w:lang w:eastAsia="en-US"/>
              </w:rPr>
            </w:pPr>
            <w:r w:rsidRPr="001A28D2">
              <w:rPr>
                <w:rFonts w:eastAsiaTheme="minorHAnsi"/>
                <w:sz w:val="20"/>
                <w:szCs w:val="20"/>
                <w:lang w:eastAsia="en-US"/>
              </w:rPr>
              <w:t>Капиталови разходи и прираст на резерва</w:t>
            </w:r>
          </w:p>
        </w:tc>
        <w:tc>
          <w:tcPr>
            <w:tcW w:w="992" w:type="dxa"/>
            <w:vAlign w:val="center"/>
          </w:tcPr>
          <w:p w14:paraId="7AB8B996"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631,3</w:t>
            </w:r>
          </w:p>
        </w:tc>
        <w:tc>
          <w:tcPr>
            <w:tcW w:w="851" w:type="dxa"/>
            <w:vAlign w:val="center"/>
          </w:tcPr>
          <w:p w14:paraId="1BB4BA1D"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7,4</w:t>
            </w:r>
          </w:p>
        </w:tc>
        <w:tc>
          <w:tcPr>
            <w:tcW w:w="992" w:type="dxa"/>
            <w:vAlign w:val="center"/>
          </w:tcPr>
          <w:p w14:paraId="7F549F82"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657,0</w:t>
            </w:r>
          </w:p>
        </w:tc>
        <w:tc>
          <w:tcPr>
            <w:tcW w:w="851" w:type="dxa"/>
            <w:vAlign w:val="center"/>
          </w:tcPr>
          <w:p w14:paraId="6C78282C"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7,6</w:t>
            </w:r>
          </w:p>
        </w:tc>
        <w:tc>
          <w:tcPr>
            <w:tcW w:w="992" w:type="dxa"/>
            <w:vAlign w:val="center"/>
          </w:tcPr>
          <w:p w14:paraId="58AA1A31"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2 010,0</w:t>
            </w:r>
          </w:p>
        </w:tc>
        <w:tc>
          <w:tcPr>
            <w:tcW w:w="850" w:type="dxa"/>
            <w:vAlign w:val="center"/>
          </w:tcPr>
          <w:p w14:paraId="10BBAD89"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19,9</w:t>
            </w:r>
          </w:p>
        </w:tc>
        <w:tc>
          <w:tcPr>
            <w:tcW w:w="1560" w:type="dxa"/>
            <w:vAlign w:val="center"/>
          </w:tcPr>
          <w:p w14:paraId="0AFD0B2F"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104,1</w:t>
            </w:r>
          </w:p>
        </w:tc>
        <w:tc>
          <w:tcPr>
            <w:tcW w:w="1417" w:type="dxa"/>
            <w:vAlign w:val="center"/>
          </w:tcPr>
          <w:p w14:paraId="28A2B635"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305,9</w:t>
            </w:r>
          </w:p>
        </w:tc>
      </w:tr>
      <w:tr w:rsidR="00045FC5" w:rsidRPr="001A28D2" w14:paraId="3B14F5E1" w14:textId="77777777" w:rsidTr="002B3110">
        <w:tc>
          <w:tcPr>
            <w:tcW w:w="1985" w:type="dxa"/>
          </w:tcPr>
          <w:p w14:paraId="59CAF04B" w14:textId="77777777" w:rsidR="001315AC" w:rsidRPr="001A28D2" w:rsidRDefault="001315AC" w:rsidP="00045FC5">
            <w:pPr>
              <w:jc w:val="both"/>
              <w:textAlignment w:val="center"/>
              <w:rPr>
                <w:rFonts w:eastAsiaTheme="minorHAnsi"/>
                <w:sz w:val="20"/>
                <w:szCs w:val="20"/>
                <w:lang w:eastAsia="en-US"/>
              </w:rPr>
            </w:pPr>
            <w:r w:rsidRPr="001A28D2">
              <w:rPr>
                <w:rFonts w:eastAsiaTheme="minorHAnsi"/>
                <w:sz w:val="20"/>
                <w:szCs w:val="20"/>
                <w:lang w:eastAsia="en-US"/>
              </w:rPr>
              <w:t>Лихвени разходи</w:t>
            </w:r>
          </w:p>
        </w:tc>
        <w:tc>
          <w:tcPr>
            <w:tcW w:w="992" w:type="dxa"/>
            <w:vAlign w:val="center"/>
          </w:tcPr>
          <w:p w14:paraId="5971637B"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541,8</w:t>
            </w:r>
          </w:p>
        </w:tc>
        <w:tc>
          <w:tcPr>
            <w:tcW w:w="851" w:type="dxa"/>
            <w:vAlign w:val="center"/>
          </w:tcPr>
          <w:p w14:paraId="6E0257A6"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6,4</w:t>
            </w:r>
          </w:p>
        </w:tc>
        <w:tc>
          <w:tcPr>
            <w:tcW w:w="992" w:type="dxa"/>
            <w:vAlign w:val="center"/>
          </w:tcPr>
          <w:p w14:paraId="6AE95FB5"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654,9</w:t>
            </w:r>
          </w:p>
        </w:tc>
        <w:tc>
          <w:tcPr>
            <w:tcW w:w="851" w:type="dxa"/>
            <w:vAlign w:val="center"/>
          </w:tcPr>
          <w:p w14:paraId="16098BE2"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7,5</w:t>
            </w:r>
          </w:p>
        </w:tc>
        <w:tc>
          <w:tcPr>
            <w:tcW w:w="992" w:type="dxa"/>
            <w:vAlign w:val="center"/>
          </w:tcPr>
          <w:p w14:paraId="07480A96"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692,7</w:t>
            </w:r>
          </w:p>
        </w:tc>
        <w:tc>
          <w:tcPr>
            <w:tcW w:w="850" w:type="dxa"/>
            <w:vAlign w:val="center"/>
          </w:tcPr>
          <w:p w14:paraId="71CAD9C8"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6,9</w:t>
            </w:r>
          </w:p>
        </w:tc>
        <w:tc>
          <w:tcPr>
            <w:tcW w:w="1560" w:type="dxa"/>
            <w:vAlign w:val="center"/>
          </w:tcPr>
          <w:p w14:paraId="0E11BDD4"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120,9</w:t>
            </w:r>
          </w:p>
        </w:tc>
        <w:tc>
          <w:tcPr>
            <w:tcW w:w="1417" w:type="dxa"/>
            <w:vAlign w:val="center"/>
          </w:tcPr>
          <w:p w14:paraId="59AC1E58"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105,8</w:t>
            </w:r>
          </w:p>
        </w:tc>
      </w:tr>
      <w:tr w:rsidR="00045FC5" w:rsidRPr="001A28D2" w14:paraId="294B9700" w14:textId="77777777" w:rsidTr="002B3110">
        <w:tc>
          <w:tcPr>
            <w:tcW w:w="1985" w:type="dxa"/>
            <w:shd w:val="clear" w:color="auto" w:fill="DAEEF3" w:themeFill="accent5" w:themeFillTint="33"/>
          </w:tcPr>
          <w:p w14:paraId="2E297F66" w14:textId="77777777" w:rsidR="001315AC" w:rsidRPr="001A28D2" w:rsidRDefault="001315AC" w:rsidP="00045FC5">
            <w:pPr>
              <w:jc w:val="both"/>
              <w:textAlignment w:val="center"/>
              <w:rPr>
                <w:rFonts w:eastAsiaTheme="minorHAnsi"/>
                <w:b/>
                <w:sz w:val="20"/>
                <w:szCs w:val="20"/>
                <w:lang w:eastAsia="en-US"/>
              </w:rPr>
            </w:pPr>
            <w:r w:rsidRPr="001A28D2">
              <w:rPr>
                <w:rFonts w:eastAsiaTheme="minorHAnsi"/>
                <w:b/>
                <w:sz w:val="20"/>
                <w:szCs w:val="20"/>
                <w:lang w:eastAsia="en-US"/>
              </w:rPr>
              <w:t>Трансфери</w:t>
            </w:r>
          </w:p>
        </w:tc>
        <w:tc>
          <w:tcPr>
            <w:tcW w:w="992" w:type="dxa"/>
            <w:shd w:val="clear" w:color="auto" w:fill="DAEEF3" w:themeFill="accent5" w:themeFillTint="33"/>
            <w:vAlign w:val="center"/>
          </w:tcPr>
          <w:p w14:paraId="09092A8C"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10 808,6</w:t>
            </w:r>
          </w:p>
        </w:tc>
        <w:tc>
          <w:tcPr>
            <w:tcW w:w="851" w:type="dxa"/>
            <w:shd w:val="clear" w:color="auto" w:fill="DAEEF3" w:themeFill="accent5" w:themeFillTint="33"/>
            <w:vAlign w:val="center"/>
          </w:tcPr>
          <w:p w14:paraId="3FB20311"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2B2C8496"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11 322,4</w:t>
            </w:r>
          </w:p>
        </w:tc>
        <w:tc>
          <w:tcPr>
            <w:tcW w:w="851" w:type="dxa"/>
            <w:shd w:val="clear" w:color="auto" w:fill="DAEEF3" w:themeFill="accent5" w:themeFillTint="33"/>
            <w:vAlign w:val="center"/>
          </w:tcPr>
          <w:p w14:paraId="65E72710"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6FD26FF8"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10 822,5</w:t>
            </w:r>
          </w:p>
        </w:tc>
        <w:tc>
          <w:tcPr>
            <w:tcW w:w="850" w:type="dxa"/>
            <w:shd w:val="clear" w:color="auto" w:fill="DAEEF3" w:themeFill="accent5" w:themeFillTint="33"/>
            <w:vAlign w:val="center"/>
          </w:tcPr>
          <w:p w14:paraId="771E7128" w14:textId="77777777" w:rsidR="001315AC" w:rsidRPr="001A28D2" w:rsidRDefault="001315AC" w:rsidP="002B3110">
            <w:pPr>
              <w:jc w:val="right"/>
              <w:textAlignment w:val="center"/>
              <w:rPr>
                <w:rFonts w:eastAsiaTheme="minorHAnsi"/>
                <w:b/>
                <w:sz w:val="20"/>
                <w:szCs w:val="20"/>
                <w:lang w:eastAsia="en-US"/>
              </w:rPr>
            </w:pPr>
          </w:p>
        </w:tc>
        <w:tc>
          <w:tcPr>
            <w:tcW w:w="1560" w:type="dxa"/>
            <w:shd w:val="clear" w:color="auto" w:fill="DAEEF3" w:themeFill="accent5" w:themeFillTint="33"/>
            <w:vAlign w:val="center"/>
          </w:tcPr>
          <w:p w14:paraId="65E7F34E"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104,8</w:t>
            </w:r>
          </w:p>
        </w:tc>
        <w:tc>
          <w:tcPr>
            <w:tcW w:w="1417" w:type="dxa"/>
            <w:shd w:val="clear" w:color="auto" w:fill="DAEEF3" w:themeFill="accent5" w:themeFillTint="33"/>
            <w:vAlign w:val="center"/>
          </w:tcPr>
          <w:p w14:paraId="0E6DE735" w14:textId="77777777" w:rsidR="001315AC" w:rsidRPr="001A28D2" w:rsidRDefault="001315AC" w:rsidP="002B3110">
            <w:pPr>
              <w:jc w:val="right"/>
              <w:rPr>
                <w:rFonts w:eastAsiaTheme="minorHAnsi"/>
                <w:b/>
                <w:sz w:val="20"/>
                <w:szCs w:val="20"/>
                <w:lang w:eastAsia="en-US"/>
              </w:rPr>
            </w:pPr>
            <w:r w:rsidRPr="001A28D2">
              <w:rPr>
                <w:rFonts w:eastAsiaTheme="minorHAnsi"/>
                <w:b/>
                <w:sz w:val="20"/>
                <w:szCs w:val="20"/>
                <w:lang w:eastAsia="en-US"/>
              </w:rPr>
              <w:t>95,6</w:t>
            </w:r>
          </w:p>
        </w:tc>
      </w:tr>
      <w:tr w:rsidR="00045FC5" w:rsidRPr="001A28D2" w14:paraId="52D2E306" w14:textId="77777777" w:rsidTr="002B3110">
        <w:tc>
          <w:tcPr>
            <w:tcW w:w="1985" w:type="dxa"/>
          </w:tcPr>
          <w:p w14:paraId="53EC9E0F" w14:textId="77777777" w:rsidR="001315AC" w:rsidRPr="001A28D2" w:rsidRDefault="001315AC" w:rsidP="00045FC5">
            <w:pPr>
              <w:jc w:val="both"/>
              <w:textAlignment w:val="center"/>
              <w:rPr>
                <w:rFonts w:eastAsiaTheme="minorHAnsi"/>
                <w:sz w:val="20"/>
                <w:szCs w:val="20"/>
                <w:lang w:eastAsia="en-US"/>
              </w:rPr>
            </w:pPr>
            <w:r w:rsidRPr="001A28D2">
              <w:rPr>
                <w:rFonts w:eastAsiaTheme="minorHAnsi"/>
                <w:sz w:val="20"/>
                <w:szCs w:val="20"/>
                <w:lang w:eastAsia="en-US"/>
              </w:rPr>
              <w:t>Вноска в бюджета на ЕС</w:t>
            </w:r>
          </w:p>
        </w:tc>
        <w:tc>
          <w:tcPr>
            <w:tcW w:w="992" w:type="dxa"/>
            <w:vAlign w:val="center"/>
          </w:tcPr>
          <w:p w14:paraId="37789518"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954,9</w:t>
            </w:r>
          </w:p>
        </w:tc>
        <w:tc>
          <w:tcPr>
            <w:tcW w:w="851" w:type="dxa"/>
            <w:vAlign w:val="center"/>
          </w:tcPr>
          <w:p w14:paraId="27FC85EC" w14:textId="77777777" w:rsidR="001315AC" w:rsidRPr="001A28D2" w:rsidRDefault="001315AC" w:rsidP="002B3110">
            <w:pPr>
              <w:jc w:val="right"/>
              <w:textAlignment w:val="center"/>
              <w:rPr>
                <w:rFonts w:eastAsiaTheme="minorHAnsi"/>
                <w:sz w:val="20"/>
                <w:szCs w:val="20"/>
                <w:lang w:eastAsia="en-US"/>
              </w:rPr>
            </w:pPr>
          </w:p>
        </w:tc>
        <w:tc>
          <w:tcPr>
            <w:tcW w:w="992" w:type="dxa"/>
            <w:vAlign w:val="center"/>
          </w:tcPr>
          <w:p w14:paraId="1DAA7E29"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946,4</w:t>
            </w:r>
          </w:p>
        </w:tc>
        <w:tc>
          <w:tcPr>
            <w:tcW w:w="851" w:type="dxa"/>
            <w:vAlign w:val="center"/>
          </w:tcPr>
          <w:p w14:paraId="30B6B30D" w14:textId="77777777" w:rsidR="001315AC" w:rsidRPr="001A28D2" w:rsidRDefault="001315AC" w:rsidP="002B3110">
            <w:pPr>
              <w:jc w:val="right"/>
              <w:textAlignment w:val="center"/>
              <w:rPr>
                <w:rFonts w:eastAsiaTheme="minorHAnsi"/>
                <w:sz w:val="20"/>
                <w:szCs w:val="20"/>
                <w:lang w:eastAsia="en-US"/>
              </w:rPr>
            </w:pPr>
          </w:p>
        </w:tc>
        <w:tc>
          <w:tcPr>
            <w:tcW w:w="992" w:type="dxa"/>
            <w:vAlign w:val="center"/>
          </w:tcPr>
          <w:p w14:paraId="6BFFD07D"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859,5</w:t>
            </w:r>
          </w:p>
        </w:tc>
        <w:tc>
          <w:tcPr>
            <w:tcW w:w="850" w:type="dxa"/>
            <w:vAlign w:val="center"/>
          </w:tcPr>
          <w:p w14:paraId="4FEE3249" w14:textId="77777777" w:rsidR="001315AC" w:rsidRPr="001A28D2" w:rsidRDefault="001315AC" w:rsidP="002B3110">
            <w:pPr>
              <w:jc w:val="right"/>
              <w:textAlignment w:val="center"/>
              <w:rPr>
                <w:rFonts w:eastAsiaTheme="minorHAnsi"/>
                <w:sz w:val="20"/>
                <w:szCs w:val="20"/>
                <w:lang w:eastAsia="en-US"/>
              </w:rPr>
            </w:pPr>
          </w:p>
        </w:tc>
        <w:tc>
          <w:tcPr>
            <w:tcW w:w="1560" w:type="dxa"/>
            <w:vAlign w:val="center"/>
          </w:tcPr>
          <w:p w14:paraId="000C0380" w14:textId="77777777" w:rsidR="001315AC" w:rsidRPr="001A28D2" w:rsidRDefault="001315AC" w:rsidP="002B3110">
            <w:pPr>
              <w:jc w:val="right"/>
              <w:textAlignment w:val="center"/>
              <w:rPr>
                <w:rFonts w:eastAsiaTheme="minorHAnsi"/>
                <w:sz w:val="20"/>
                <w:szCs w:val="20"/>
                <w:lang w:eastAsia="en-US"/>
              </w:rPr>
            </w:pPr>
            <w:r w:rsidRPr="001A28D2">
              <w:rPr>
                <w:rFonts w:eastAsiaTheme="minorHAnsi"/>
                <w:sz w:val="20"/>
                <w:szCs w:val="20"/>
                <w:lang w:eastAsia="en-US"/>
              </w:rPr>
              <w:t>99,1</w:t>
            </w:r>
          </w:p>
        </w:tc>
        <w:tc>
          <w:tcPr>
            <w:tcW w:w="1417" w:type="dxa"/>
            <w:vAlign w:val="center"/>
          </w:tcPr>
          <w:p w14:paraId="67EEE4F8" w14:textId="77777777" w:rsidR="001315AC" w:rsidRPr="001A28D2" w:rsidRDefault="001315AC" w:rsidP="002B3110">
            <w:pPr>
              <w:jc w:val="right"/>
              <w:rPr>
                <w:rFonts w:eastAsiaTheme="minorHAnsi"/>
                <w:sz w:val="20"/>
                <w:szCs w:val="20"/>
                <w:lang w:eastAsia="en-US"/>
              </w:rPr>
            </w:pPr>
            <w:r w:rsidRPr="001A28D2">
              <w:rPr>
                <w:rFonts w:eastAsiaTheme="minorHAnsi"/>
                <w:sz w:val="20"/>
                <w:szCs w:val="20"/>
                <w:lang w:eastAsia="en-US"/>
              </w:rPr>
              <w:t>90,8</w:t>
            </w:r>
          </w:p>
        </w:tc>
      </w:tr>
      <w:tr w:rsidR="00045FC5" w:rsidRPr="001A28D2" w14:paraId="7A003938" w14:textId="77777777" w:rsidTr="002B3110">
        <w:tc>
          <w:tcPr>
            <w:tcW w:w="1985" w:type="dxa"/>
            <w:shd w:val="clear" w:color="auto" w:fill="DAEEF3" w:themeFill="accent5" w:themeFillTint="33"/>
          </w:tcPr>
          <w:p w14:paraId="7F5C37FD" w14:textId="77777777" w:rsidR="001315AC" w:rsidRPr="001A28D2" w:rsidRDefault="001315AC" w:rsidP="00BB2420">
            <w:pPr>
              <w:jc w:val="both"/>
              <w:textAlignment w:val="center"/>
              <w:rPr>
                <w:rFonts w:eastAsiaTheme="minorHAnsi"/>
                <w:b/>
                <w:sz w:val="20"/>
                <w:szCs w:val="20"/>
                <w:lang w:eastAsia="en-US"/>
              </w:rPr>
            </w:pPr>
            <w:r w:rsidRPr="001A28D2">
              <w:rPr>
                <w:rFonts w:eastAsiaTheme="minorHAnsi"/>
                <w:b/>
                <w:sz w:val="20"/>
                <w:szCs w:val="20"/>
                <w:lang w:eastAsia="en-US"/>
              </w:rPr>
              <w:t>ДЕФИЦИТ(-)/</w:t>
            </w:r>
            <w:r w:rsidR="00BB2420" w:rsidRPr="001A28D2">
              <w:rPr>
                <w:rFonts w:eastAsiaTheme="minorHAnsi"/>
                <w:b/>
                <w:sz w:val="20"/>
                <w:szCs w:val="20"/>
                <w:lang w:eastAsia="en-US"/>
              </w:rPr>
              <w:t xml:space="preserve"> </w:t>
            </w:r>
            <w:r w:rsidRPr="001A28D2">
              <w:rPr>
                <w:rFonts w:eastAsiaTheme="minorHAnsi"/>
                <w:b/>
                <w:sz w:val="20"/>
                <w:szCs w:val="20"/>
                <w:lang w:eastAsia="en-US"/>
              </w:rPr>
              <w:t>ИЗЛИШЪК (+)</w:t>
            </w:r>
          </w:p>
        </w:tc>
        <w:tc>
          <w:tcPr>
            <w:tcW w:w="992" w:type="dxa"/>
            <w:shd w:val="clear" w:color="auto" w:fill="DAEEF3" w:themeFill="accent5" w:themeFillTint="33"/>
            <w:vAlign w:val="center"/>
          </w:tcPr>
          <w:p w14:paraId="0FDCEACF"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-2 568,3</w:t>
            </w:r>
          </w:p>
        </w:tc>
        <w:tc>
          <w:tcPr>
            <w:tcW w:w="851" w:type="dxa"/>
            <w:shd w:val="clear" w:color="auto" w:fill="DAEEF3" w:themeFill="accent5" w:themeFillTint="33"/>
            <w:vAlign w:val="center"/>
          </w:tcPr>
          <w:p w14:paraId="2928D174"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1DF82935"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- 2 024,4</w:t>
            </w:r>
          </w:p>
        </w:tc>
        <w:tc>
          <w:tcPr>
            <w:tcW w:w="851" w:type="dxa"/>
            <w:shd w:val="clear" w:color="auto" w:fill="DAEEF3" w:themeFill="accent5" w:themeFillTint="33"/>
            <w:vAlign w:val="center"/>
          </w:tcPr>
          <w:p w14:paraId="54519677" w14:textId="77777777" w:rsidR="001315AC" w:rsidRPr="001A28D2" w:rsidRDefault="001315AC" w:rsidP="002B3110">
            <w:pPr>
              <w:jc w:val="right"/>
              <w:textAlignment w:val="center"/>
              <w:rPr>
                <w:rFonts w:eastAsiaTheme="minorHAnsi"/>
                <w:b/>
                <w:sz w:val="20"/>
                <w:szCs w:val="20"/>
                <w:lang w:eastAsia="en-US"/>
              </w:rPr>
            </w:pPr>
          </w:p>
        </w:tc>
        <w:tc>
          <w:tcPr>
            <w:tcW w:w="992" w:type="dxa"/>
            <w:shd w:val="clear" w:color="auto" w:fill="DAEEF3" w:themeFill="accent5" w:themeFillTint="33"/>
            <w:vAlign w:val="center"/>
          </w:tcPr>
          <w:p w14:paraId="5906469E" w14:textId="3EED3B53" w:rsidR="001315AC" w:rsidRPr="001A28D2" w:rsidRDefault="001315AC" w:rsidP="001005B1">
            <w:pPr>
              <w:jc w:val="right"/>
              <w:textAlignment w:val="center"/>
              <w:rPr>
                <w:rFonts w:eastAsiaTheme="minorHAnsi"/>
                <w:b/>
                <w:sz w:val="20"/>
                <w:szCs w:val="20"/>
                <w:lang w:eastAsia="en-US"/>
              </w:rPr>
            </w:pPr>
            <w:r w:rsidRPr="001A28D2">
              <w:rPr>
                <w:rFonts w:eastAsiaTheme="minorHAnsi"/>
                <w:b/>
                <w:sz w:val="20"/>
                <w:szCs w:val="20"/>
                <w:lang w:eastAsia="en-US"/>
              </w:rPr>
              <w:t>- 1 099,</w:t>
            </w:r>
            <w:r w:rsidR="001005B1" w:rsidRPr="001A28D2">
              <w:rPr>
                <w:rFonts w:eastAsiaTheme="minorHAnsi"/>
                <w:b/>
                <w:sz w:val="20"/>
                <w:szCs w:val="20"/>
                <w:lang w:eastAsia="en-US"/>
              </w:rPr>
              <w:t>7</w:t>
            </w:r>
          </w:p>
        </w:tc>
        <w:tc>
          <w:tcPr>
            <w:tcW w:w="850" w:type="dxa"/>
            <w:shd w:val="clear" w:color="auto" w:fill="DAEEF3" w:themeFill="accent5" w:themeFillTint="33"/>
            <w:vAlign w:val="center"/>
          </w:tcPr>
          <w:p w14:paraId="60D0111C" w14:textId="77777777" w:rsidR="001315AC" w:rsidRPr="001A28D2" w:rsidRDefault="001315AC" w:rsidP="002B3110">
            <w:pPr>
              <w:jc w:val="right"/>
              <w:textAlignment w:val="center"/>
              <w:rPr>
                <w:rFonts w:eastAsiaTheme="minorHAnsi"/>
                <w:b/>
                <w:sz w:val="20"/>
                <w:szCs w:val="20"/>
                <w:lang w:eastAsia="en-US"/>
              </w:rPr>
            </w:pPr>
          </w:p>
        </w:tc>
        <w:tc>
          <w:tcPr>
            <w:tcW w:w="1560" w:type="dxa"/>
            <w:shd w:val="clear" w:color="auto" w:fill="DAEEF3" w:themeFill="accent5" w:themeFillTint="33"/>
            <w:vAlign w:val="center"/>
          </w:tcPr>
          <w:p w14:paraId="292D46B9"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w:t>
            </w:r>
          </w:p>
        </w:tc>
        <w:tc>
          <w:tcPr>
            <w:tcW w:w="1417" w:type="dxa"/>
            <w:shd w:val="clear" w:color="auto" w:fill="DAEEF3" w:themeFill="accent5" w:themeFillTint="33"/>
            <w:vAlign w:val="center"/>
          </w:tcPr>
          <w:p w14:paraId="48FF0218" w14:textId="77777777" w:rsidR="001315AC" w:rsidRPr="001A28D2" w:rsidRDefault="001315AC" w:rsidP="002B3110">
            <w:pPr>
              <w:jc w:val="right"/>
              <w:textAlignment w:val="center"/>
              <w:rPr>
                <w:rFonts w:eastAsiaTheme="minorHAnsi"/>
                <w:b/>
                <w:sz w:val="20"/>
                <w:szCs w:val="20"/>
                <w:lang w:eastAsia="en-US"/>
              </w:rPr>
            </w:pPr>
            <w:r w:rsidRPr="001A28D2">
              <w:rPr>
                <w:rFonts w:eastAsiaTheme="minorHAnsi"/>
                <w:b/>
                <w:sz w:val="20"/>
                <w:szCs w:val="20"/>
                <w:lang w:eastAsia="en-US"/>
              </w:rPr>
              <w:t>-</w:t>
            </w:r>
          </w:p>
        </w:tc>
      </w:tr>
    </w:tbl>
    <w:p w14:paraId="75A005C3" w14:textId="77777777" w:rsidR="001315AC" w:rsidRPr="001A28D2" w:rsidRDefault="001315AC" w:rsidP="001315AC">
      <w:pPr>
        <w:ind w:firstLine="720"/>
        <w:jc w:val="both"/>
        <w:textAlignment w:val="center"/>
        <w:rPr>
          <w:rFonts w:eastAsiaTheme="minorHAnsi"/>
          <w:lang w:eastAsia="en-US"/>
        </w:rPr>
      </w:pPr>
    </w:p>
    <w:p w14:paraId="170A03C0" w14:textId="77777777"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Изпълнението на приходите по държавния бюджет на РБ за периода от 2014 г. до 2016 г. бележи тенденция на растеж.</w:t>
      </w:r>
    </w:p>
    <w:p w14:paraId="763EA49A" w14:textId="0408B0CC"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Постъпилите приходи по ДБ за 2016 г.</w:t>
      </w:r>
      <w:r w:rsidR="003A730C" w:rsidRPr="001A28D2">
        <w:rPr>
          <w:rFonts w:eastAsiaTheme="minorHAnsi"/>
          <w:lang w:eastAsia="en-US"/>
        </w:rPr>
        <w:t>,</w:t>
      </w:r>
      <w:r w:rsidRPr="001A28D2">
        <w:rPr>
          <w:rFonts w:eastAsiaTheme="minorHAnsi"/>
          <w:lang w:eastAsia="en-US"/>
        </w:rPr>
        <w:t xml:space="preserve"> съпоставени с 2015 г.</w:t>
      </w:r>
      <w:r w:rsidR="003A730C" w:rsidRPr="001A28D2">
        <w:rPr>
          <w:rFonts w:eastAsiaTheme="minorHAnsi"/>
          <w:lang w:eastAsia="en-US"/>
        </w:rPr>
        <w:t>,</w:t>
      </w:r>
      <w:r w:rsidRPr="001A28D2">
        <w:rPr>
          <w:rFonts w:eastAsiaTheme="minorHAnsi"/>
          <w:lang w:eastAsia="en-US"/>
        </w:rPr>
        <w:t xml:space="preserve"> бележат номинален ръст от 9,3 на сто (1 766,</w:t>
      </w:r>
      <w:r w:rsidR="00931C85" w:rsidRPr="001A28D2">
        <w:rPr>
          <w:rFonts w:eastAsiaTheme="minorHAnsi"/>
          <w:lang w:eastAsia="en-US"/>
        </w:rPr>
        <w:t>8</w:t>
      </w:r>
      <w:r w:rsidR="00251258" w:rsidRPr="001A28D2">
        <w:rPr>
          <w:rFonts w:eastAsiaTheme="minorHAnsi"/>
          <w:lang w:eastAsia="en-US"/>
        </w:rPr>
        <w:t xml:space="preserve"> </w:t>
      </w:r>
      <w:r w:rsidRPr="001A28D2">
        <w:rPr>
          <w:rFonts w:eastAsiaTheme="minorHAnsi"/>
          <w:lang w:eastAsia="en-US"/>
        </w:rPr>
        <w:t> млн. лв.), а ръст</w:t>
      </w:r>
      <w:r w:rsidR="003A730C" w:rsidRPr="001A28D2">
        <w:rPr>
          <w:rFonts w:eastAsiaTheme="minorHAnsi"/>
          <w:lang w:eastAsia="en-US"/>
        </w:rPr>
        <w:t>ът</w:t>
      </w:r>
      <w:r w:rsidRPr="001A28D2">
        <w:rPr>
          <w:rFonts w:eastAsiaTheme="minorHAnsi"/>
          <w:lang w:eastAsia="en-US"/>
        </w:rPr>
        <w:t xml:space="preserve"> на приходите по ДБ за 2015 г. спрямо 2014 г. е 6,9 на сто (1 223,2 млн. лв.).</w:t>
      </w:r>
    </w:p>
    <w:p w14:paraId="5C3DAF90" w14:textId="56EA49E6"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За периода 2014 г. – 2016 г. дан</w:t>
      </w:r>
      <w:r w:rsidR="00F74D7C" w:rsidRPr="001A28D2">
        <w:rPr>
          <w:rFonts w:eastAsiaTheme="minorHAnsi"/>
          <w:lang w:eastAsia="en-US"/>
        </w:rPr>
        <w:t>ъчните приходи запазват най-голям</w:t>
      </w:r>
      <w:r w:rsidRPr="001A28D2">
        <w:rPr>
          <w:rFonts w:eastAsiaTheme="minorHAnsi"/>
          <w:lang w:eastAsia="en-US"/>
        </w:rPr>
        <w:t xml:space="preserve"> относителен дял от общата сума на постъпилите приходи, който от 89,6 на сто през 2014 г. нараства на 90,4 на сто през 2016 г., следвани от неданъчните приходи</w:t>
      </w:r>
      <w:r w:rsidR="00B8457A" w:rsidRPr="001A28D2">
        <w:rPr>
          <w:rFonts w:eastAsiaTheme="minorHAnsi"/>
          <w:lang w:eastAsia="en-US"/>
        </w:rPr>
        <w:t>, които</w:t>
      </w:r>
      <w:r w:rsidRPr="001A28D2">
        <w:rPr>
          <w:rFonts w:eastAsiaTheme="minorHAnsi"/>
          <w:lang w:eastAsia="en-US"/>
        </w:rPr>
        <w:t xml:space="preserve"> от 10,3 на сто през 2014 г. намаляват на 9,5 на сто през 2016 г.</w:t>
      </w:r>
      <w:r w:rsidR="00F74D7C" w:rsidRPr="001A28D2">
        <w:rPr>
          <w:rFonts w:eastAsiaTheme="minorHAnsi"/>
          <w:lang w:eastAsia="en-US"/>
        </w:rPr>
        <w:t>, а</w:t>
      </w:r>
      <w:r w:rsidRPr="001A28D2">
        <w:rPr>
          <w:rFonts w:eastAsiaTheme="minorHAnsi"/>
          <w:lang w:eastAsia="en-US"/>
        </w:rPr>
        <w:t xml:space="preserve"> помощите и даренията </w:t>
      </w:r>
      <w:r w:rsidR="00B8457A" w:rsidRPr="001A28D2">
        <w:rPr>
          <w:rFonts w:eastAsiaTheme="minorHAnsi"/>
          <w:lang w:eastAsia="en-US"/>
        </w:rPr>
        <w:t>запазват</w:t>
      </w:r>
      <w:r w:rsidRPr="001A28D2">
        <w:rPr>
          <w:rFonts w:eastAsiaTheme="minorHAnsi"/>
          <w:lang w:eastAsia="en-US"/>
        </w:rPr>
        <w:t xml:space="preserve"> относителен дял от 0,1 на сто.</w:t>
      </w:r>
    </w:p>
    <w:p w14:paraId="45851ED3" w14:textId="31890B91"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При извършените разходи за периода 2014 г. – 2016 г. също се наблюдава ръст. През 2016 г. същите са с 16,5 на сто (1</w:t>
      </w:r>
      <w:r w:rsidR="009E4B25" w:rsidRPr="001A28D2">
        <w:rPr>
          <w:rFonts w:eastAsiaTheme="minorHAnsi"/>
          <w:lang w:eastAsia="en-US"/>
        </w:rPr>
        <w:t> </w:t>
      </w:r>
      <w:r w:rsidRPr="001A28D2">
        <w:rPr>
          <w:rFonts w:eastAsiaTheme="minorHAnsi"/>
          <w:lang w:eastAsia="en-US"/>
        </w:rPr>
        <w:t>42</w:t>
      </w:r>
      <w:r w:rsidR="009E4B25" w:rsidRPr="001A28D2">
        <w:rPr>
          <w:rFonts w:eastAsiaTheme="minorHAnsi"/>
          <w:lang w:eastAsia="en-US"/>
        </w:rPr>
        <w:t>8,9</w:t>
      </w:r>
      <w:r w:rsidRPr="001A28D2">
        <w:rPr>
          <w:rFonts w:eastAsiaTheme="minorHAnsi"/>
          <w:lang w:eastAsia="en-US"/>
        </w:rPr>
        <w:t> млн.</w:t>
      </w:r>
      <w:r w:rsidR="001E5BAB" w:rsidRPr="001A28D2">
        <w:rPr>
          <w:rFonts w:eastAsiaTheme="minorHAnsi"/>
          <w:lang w:eastAsia="en-US"/>
        </w:rPr>
        <w:t xml:space="preserve"> </w:t>
      </w:r>
      <w:r w:rsidRPr="001A28D2">
        <w:rPr>
          <w:rFonts w:eastAsiaTheme="minorHAnsi"/>
          <w:lang w:eastAsia="en-US"/>
        </w:rPr>
        <w:t>лв.) повече от 2015 г., като най-голям е ръстът на капиталовите разходи</w:t>
      </w:r>
      <w:r w:rsidRPr="001A28D2">
        <w:rPr>
          <w:rFonts w:eastAsiaTheme="minorHAnsi"/>
          <w:color w:val="00B050"/>
          <w:lang w:eastAsia="en-US"/>
        </w:rPr>
        <w:t xml:space="preserve">. </w:t>
      </w:r>
      <w:r w:rsidRPr="001A28D2">
        <w:rPr>
          <w:rFonts w:eastAsiaTheme="minorHAnsi"/>
          <w:lang w:eastAsia="en-US"/>
        </w:rPr>
        <w:t>Съпоставени с 2015 г.</w:t>
      </w:r>
      <w:r w:rsidR="009E4B25" w:rsidRPr="001A28D2">
        <w:rPr>
          <w:rFonts w:eastAsiaTheme="minorHAnsi"/>
          <w:lang w:eastAsia="en-US"/>
        </w:rPr>
        <w:t>,</w:t>
      </w:r>
      <w:r w:rsidRPr="001A28D2">
        <w:rPr>
          <w:rFonts w:eastAsiaTheme="minorHAnsi"/>
          <w:lang w:eastAsia="en-US"/>
        </w:rPr>
        <w:t xml:space="preserve"> </w:t>
      </w:r>
      <w:r w:rsidR="009E4B25" w:rsidRPr="001A28D2">
        <w:rPr>
          <w:rFonts w:eastAsiaTheme="minorHAnsi"/>
          <w:lang w:eastAsia="en-US"/>
        </w:rPr>
        <w:t>последните</w:t>
      </w:r>
      <w:r w:rsidRPr="001A28D2">
        <w:rPr>
          <w:rFonts w:eastAsiaTheme="minorHAnsi"/>
          <w:lang w:eastAsia="en-US"/>
        </w:rPr>
        <w:t xml:space="preserve"> са нараснали </w:t>
      </w:r>
      <w:r w:rsidR="00524422" w:rsidRPr="001A28D2">
        <w:rPr>
          <w:rFonts w:eastAsiaTheme="minorHAnsi"/>
          <w:lang w:eastAsia="en-US"/>
        </w:rPr>
        <w:t xml:space="preserve">с </w:t>
      </w:r>
      <w:r w:rsidR="00AA5FDE" w:rsidRPr="001A28D2">
        <w:rPr>
          <w:rFonts w:eastAsiaTheme="minorHAnsi"/>
          <w:lang w:eastAsia="en-US"/>
        </w:rPr>
        <w:t>3</w:t>
      </w:r>
      <w:r w:rsidRPr="001A28D2">
        <w:rPr>
          <w:rFonts w:eastAsiaTheme="minorHAnsi"/>
          <w:lang w:eastAsia="en-US"/>
        </w:rPr>
        <w:t xml:space="preserve">05,9 на сто. </w:t>
      </w:r>
    </w:p>
    <w:p w14:paraId="1EFC53A1" w14:textId="77777777"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Разходите за 2015 г. спрямо 2014 г. са нараснали с 2,0 на сто или 174 млн. лв.</w:t>
      </w:r>
    </w:p>
    <w:p w14:paraId="51210C32" w14:textId="6C8C311B"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В общия обем на разходите най-голям относителен дял имат текущите нелихвени разходи</w:t>
      </w:r>
      <w:r w:rsidR="00425260" w:rsidRPr="001A28D2">
        <w:rPr>
          <w:rFonts w:eastAsiaTheme="minorHAnsi"/>
          <w:lang w:eastAsia="en-US"/>
        </w:rPr>
        <w:t xml:space="preserve"> (за персонал, субсидии, текущи трансфери, обезщетения и помощи за домакинствата)</w:t>
      </w:r>
      <w:r w:rsidRPr="001A28D2">
        <w:rPr>
          <w:rFonts w:eastAsiaTheme="minorHAnsi"/>
          <w:lang w:eastAsia="en-US"/>
        </w:rPr>
        <w:t>, който варира от 86,2 на сто за 2014 г., 84,9 на сто за 2015 г. и 73,2 на сто за 2016 г., следвани от капиталовите разходи и лихвените разходи.</w:t>
      </w:r>
    </w:p>
    <w:p w14:paraId="7BDDC9A7" w14:textId="5D71C9B2" w:rsidR="001315AC" w:rsidRPr="001A28D2" w:rsidRDefault="001315AC" w:rsidP="001315AC">
      <w:pPr>
        <w:spacing w:after="100"/>
        <w:ind w:left="1440" w:firstLine="720"/>
        <w:jc w:val="both"/>
        <w:textAlignment w:val="center"/>
        <w:rPr>
          <w:rFonts w:eastAsiaTheme="minorHAnsi"/>
          <w:lang w:eastAsia="en-US"/>
        </w:rPr>
      </w:pPr>
    </w:p>
    <w:p w14:paraId="7153A008" w14:textId="462BECBE" w:rsidR="0004188C" w:rsidRPr="001A28D2" w:rsidRDefault="0004188C" w:rsidP="001315AC">
      <w:pPr>
        <w:spacing w:after="100"/>
        <w:ind w:left="1440" w:firstLine="720"/>
        <w:jc w:val="both"/>
        <w:textAlignment w:val="center"/>
        <w:rPr>
          <w:rFonts w:eastAsiaTheme="minorHAnsi"/>
          <w:lang w:eastAsia="en-US"/>
        </w:rPr>
      </w:pPr>
    </w:p>
    <w:p w14:paraId="1E260905" w14:textId="77777777" w:rsidR="0004188C" w:rsidRPr="001A28D2" w:rsidRDefault="0004188C" w:rsidP="001315AC">
      <w:pPr>
        <w:spacing w:after="100"/>
        <w:ind w:left="1440" w:firstLine="720"/>
        <w:jc w:val="both"/>
        <w:textAlignment w:val="center"/>
        <w:rPr>
          <w:rFonts w:eastAsiaTheme="minorHAnsi"/>
          <w:lang w:eastAsia="en-US"/>
        </w:rPr>
      </w:pPr>
    </w:p>
    <w:p w14:paraId="068E16AA" w14:textId="77777777" w:rsidR="001315AC" w:rsidRPr="001A28D2" w:rsidRDefault="001315AC" w:rsidP="003766DF">
      <w:pPr>
        <w:spacing w:after="100"/>
        <w:jc w:val="center"/>
        <w:textAlignment w:val="center"/>
        <w:rPr>
          <w:rFonts w:eastAsiaTheme="minorHAnsi"/>
          <w:b/>
          <w:sz w:val="20"/>
          <w:szCs w:val="20"/>
          <w:lang w:eastAsia="en-US"/>
        </w:rPr>
      </w:pPr>
      <w:r w:rsidRPr="001A28D2">
        <w:rPr>
          <w:rFonts w:eastAsiaTheme="minorHAnsi"/>
          <w:b/>
          <w:sz w:val="20"/>
          <w:szCs w:val="20"/>
          <w:lang w:eastAsia="en-US"/>
        </w:rPr>
        <w:lastRenderedPageBreak/>
        <w:t>Графика за относителните дялове на отделните групи разходи по ДБ на РБ за периода 2014 г. - 2016 г.</w:t>
      </w:r>
    </w:p>
    <w:p w14:paraId="14082923" w14:textId="77777777" w:rsidR="001315AC" w:rsidRPr="001A28D2" w:rsidRDefault="001315AC" w:rsidP="003766DF">
      <w:pPr>
        <w:jc w:val="center"/>
        <w:textAlignment w:val="center"/>
        <w:rPr>
          <w:rFonts w:eastAsiaTheme="minorHAnsi"/>
          <w:lang w:eastAsia="en-US"/>
        </w:rPr>
      </w:pPr>
      <w:r w:rsidRPr="001A28D2">
        <w:rPr>
          <w:rFonts w:eastAsiaTheme="minorHAnsi"/>
          <w:noProof/>
        </w:rPr>
        <w:drawing>
          <wp:inline distT="0" distB="0" distL="0" distR="0" wp14:anchorId="1292F980" wp14:editId="2B7A5F5F">
            <wp:extent cx="4731488" cy="2222204"/>
            <wp:effectExtent l="0" t="0" r="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3A360B" w14:textId="299E2B90"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 xml:space="preserve">Размерът на трансферите за 2015 г. е с 4,8 на сто повече от този за 2014 г., а за 2016 г. </w:t>
      </w:r>
      <w:r w:rsidR="008115A7" w:rsidRPr="001A28D2">
        <w:rPr>
          <w:rFonts w:eastAsiaTheme="minorHAnsi"/>
          <w:lang w:eastAsia="en-US"/>
        </w:rPr>
        <w:t xml:space="preserve">е </w:t>
      </w:r>
      <w:r w:rsidRPr="001A28D2">
        <w:rPr>
          <w:rFonts w:eastAsiaTheme="minorHAnsi"/>
          <w:lang w:eastAsia="en-US"/>
        </w:rPr>
        <w:t>с 4,</w:t>
      </w:r>
      <w:proofErr w:type="spellStart"/>
      <w:r w:rsidRPr="001A28D2">
        <w:rPr>
          <w:rFonts w:eastAsiaTheme="minorHAnsi"/>
          <w:lang w:eastAsia="en-US"/>
        </w:rPr>
        <w:t>4</w:t>
      </w:r>
      <w:proofErr w:type="spellEnd"/>
      <w:r w:rsidRPr="001A28D2">
        <w:rPr>
          <w:rFonts w:eastAsiaTheme="minorHAnsi"/>
          <w:lang w:eastAsia="en-US"/>
        </w:rPr>
        <w:t> на сто по-малко от 2015 г.</w:t>
      </w:r>
    </w:p>
    <w:p w14:paraId="32382E19" w14:textId="77777777"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Вноската в бюджета на ЕС за периода 2014 г. – 2016 г. намалява, като през 2015 г. е с 0,9 на сто по-малко от 2014 г., а през 2016 г. съпоставена с 2015 г. е с 9,2 на сто по-малка.</w:t>
      </w:r>
    </w:p>
    <w:p w14:paraId="304D305A" w14:textId="4B001F43" w:rsidR="001315AC" w:rsidRPr="001A28D2" w:rsidRDefault="001315AC" w:rsidP="007E77CC">
      <w:pPr>
        <w:ind w:firstLine="709"/>
        <w:jc w:val="both"/>
        <w:textAlignment w:val="center"/>
        <w:rPr>
          <w:rFonts w:eastAsiaTheme="minorHAnsi"/>
          <w:lang w:eastAsia="en-US"/>
        </w:rPr>
      </w:pPr>
      <w:r w:rsidRPr="001A28D2">
        <w:rPr>
          <w:rFonts w:eastAsiaTheme="minorHAnsi"/>
          <w:lang w:eastAsia="en-US"/>
        </w:rPr>
        <w:t xml:space="preserve">Бюджетното салдо и за трите години е отрицателно, като за 2014 г. е </w:t>
      </w:r>
      <w:r w:rsidR="009E4B25" w:rsidRPr="001A28D2">
        <w:rPr>
          <w:rFonts w:eastAsiaTheme="minorHAnsi"/>
          <w:lang w:eastAsia="en-US"/>
        </w:rPr>
        <w:br/>
      </w:r>
      <w:r w:rsidRPr="001A28D2">
        <w:rPr>
          <w:rFonts w:eastAsiaTheme="minorHAnsi"/>
          <w:lang w:eastAsia="en-US"/>
        </w:rPr>
        <w:t>(-2 568,3)</w:t>
      </w:r>
      <w:r w:rsidR="009E4B25" w:rsidRPr="001A28D2">
        <w:rPr>
          <w:rFonts w:eastAsiaTheme="minorHAnsi"/>
          <w:lang w:eastAsia="en-US"/>
        </w:rPr>
        <w:t> </w:t>
      </w:r>
      <w:r w:rsidRPr="001A28D2">
        <w:rPr>
          <w:rFonts w:eastAsiaTheme="minorHAnsi"/>
          <w:lang w:eastAsia="en-US"/>
        </w:rPr>
        <w:t>млн. лв., за 2015 г. е (-2 024,4) млн. лв. и за 2016 г. е (- 1 099,</w:t>
      </w:r>
      <w:r w:rsidR="001005B1" w:rsidRPr="001A28D2">
        <w:rPr>
          <w:rFonts w:eastAsiaTheme="minorHAnsi"/>
          <w:lang w:eastAsia="en-US"/>
        </w:rPr>
        <w:t>7</w:t>
      </w:r>
      <w:r w:rsidRPr="001A28D2">
        <w:rPr>
          <w:rFonts w:eastAsiaTheme="minorHAnsi"/>
          <w:lang w:eastAsia="en-US"/>
        </w:rPr>
        <w:t xml:space="preserve">) млн. лв. </w:t>
      </w:r>
    </w:p>
    <w:p w14:paraId="1C44BA2C" w14:textId="77777777" w:rsidR="001315AC" w:rsidRPr="001A28D2" w:rsidRDefault="001315AC" w:rsidP="007E77CC">
      <w:pPr>
        <w:ind w:firstLine="709"/>
        <w:jc w:val="both"/>
        <w:textAlignment w:val="center"/>
        <w:rPr>
          <w:rFonts w:eastAsiaTheme="minorHAnsi"/>
          <w:lang w:eastAsia="en-US"/>
        </w:rPr>
      </w:pPr>
    </w:p>
    <w:p w14:paraId="13A6FCC8" w14:textId="77777777" w:rsidR="001315AC" w:rsidRPr="001A28D2" w:rsidRDefault="001315AC" w:rsidP="007E77CC">
      <w:pPr>
        <w:ind w:firstLine="709"/>
        <w:jc w:val="both"/>
        <w:textAlignment w:val="center"/>
        <w:rPr>
          <w:rFonts w:eastAsiaTheme="minorHAnsi"/>
          <w:i/>
          <w:lang w:eastAsia="en-US"/>
        </w:rPr>
      </w:pPr>
      <w:r w:rsidRPr="001A28D2">
        <w:rPr>
          <w:rFonts w:eastAsiaTheme="minorHAnsi"/>
          <w:i/>
          <w:lang w:eastAsia="en-US"/>
        </w:rPr>
        <w:t xml:space="preserve">За периода 2014 г. – 2016 г. се наблюдава тенденция на увеличаване на приходите и разходите по ДБ на РБ. Постоянна тенденция на увеличение или намаление по отношение на трансферите не се наблюдава. Размерът на вноската на РБ в бюджета на ЕС намалява. Постигнатото бюджетно салдо и през трите години е отрицателно. </w:t>
      </w:r>
    </w:p>
    <w:p w14:paraId="083C537C" w14:textId="77777777" w:rsidR="009446E7" w:rsidRPr="001A28D2" w:rsidRDefault="00DC0D21" w:rsidP="007E77CC">
      <w:pPr>
        <w:tabs>
          <w:tab w:val="left" w:pos="0"/>
          <w:tab w:val="left" w:pos="993"/>
        </w:tabs>
        <w:spacing w:before="120" w:after="120"/>
        <w:ind w:firstLine="709"/>
        <w:jc w:val="both"/>
        <w:rPr>
          <w:b/>
        </w:rPr>
      </w:pPr>
      <w:r w:rsidRPr="001A28D2">
        <w:rPr>
          <w:b/>
        </w:rPr>
        <w:t>2. Степен на и</w:t>
      </w:r>
      <w:r w:rsidR="008559B6" w:rsidRPr="001A28D2">
        <w:rPr>
          <w:b/>
        </w:rPr>
        <w:t>зпълнение на п</w:t>
      </w:r>
      <w:r w:rsidR="009446E7" w:rsidRPr="001A28D2">
        <w:rPr>
          <w:b/>
        </w:rPr>
        <w:t>риходи</w:t>
      </w:r>
      <w:r w:rsidR="0041306C" w:rsidRPr="001A28D2">
        <w:rPr>
          <w:b/>
        </w:rPr>
        <w:t>те</w:t>
      </w:r>
      <w:r w:rsidR="009446E7" w:rsidRPr="001A28D2">
        <w:rPr>
          <w:b/>
        </w:rPr>
        <w:t>, помощи</w:t>
      </w:r>
      <w:r w:rsidR="0041306C" w:rsidRPr="001A28D2">
        <w:rPr>
          <w:b/>
        </w:rPr>
        <w:t>те</w:t>
      </w:r>
      <w:r w:rsidR="009446E7" w:rsidRPr="001A28D2">
        <w:rPr>
          <w:b/>
        </w:rPr>
        <w:t xml:space="preserve"> и дарения</w:t>
      </w:r>
      <w:r w:rsidR="0041306C" w:rsidRPr="001A28D2">
        <w:rPr>
          <w:b/>
        </w:rPr>
        <w:t>та</w:t>
      </w:r>
      <w:r w:rsidR="008559B6" w:rsidRPr="001A28D2">
        <w:rPr>
          <w:b/>
        </w:rPr>
        <w:t xml:space="preserve"> за 201</w:t>
      </w:r>
      <w:r w:rsidR="00F6072D" w:rsidRPr="001A28D2">
        <w:rPr>
          <w:b/>
        </w:rPr>
        <w:t>6</w:t>
      </w:r>
      <w:r w:rsidR="008559B6" w:rsidRPr="001A28D2">
        <w:rPr>
          <w:b/>
        </w:rPr>
        <w:t xml:space="preserve"> г.</w:t>
      </w:r>
    </w:p>
    <w:p w14:paraId="0D5B72D3" w14:textId="77777777" w:rsidR="00E248EC" w:rsidRPr="001A28D2" w:rsidRDefault="00E248EC" w:rsidP="007E77CC">
      <w:pPr>
        <w:ind w:firstLine="709"/>
        <w:jc w:val="both"/>
        <w:rPr>
          <w:rFonts w:eastAsiaTheme="minorHAnsi"/>
          <w:lang w:eastAsia="en-US"/>
        </w:rPr>
      </w:pPr>
      <w:r w:rsidRPr="001A28D2">
        <w:rPr>
          <w:rFonts w:eastAsiaTheme="minorHAnsi"/>
          <w:lang w:eastAsia="en-US"/>
        </w:rPr>
        <w:t>Отчетените приходи, помощи и дарения по ДБ за 2016 г. са в размер на 20 688 341,0 хил. лв. Изпълнението на приетите със ЗДБРБ за 2016 г. приходи е 100,3 на сто, като са постъпили с 64 749,5 хил. лв. повече от планираните. Приходите са отчетени по показателите, по които са приети със ЗДБРБ за 2016 г.</w:t>
      </w:r>
    </w:p>
    <w:p w14:paraId="0850B3AA" w14:textId="588391FC" w:rsidR="00E248EC" w:rsidRPr="001A28D2" w:rsidRDefault="00E248EC" w:rsidP="007E77CC">
      <w:pPr>
        <w:ind w:firstLine="709"/>
        <w:jc w:val="both"/>
        <w:rPr>
          <w:rFonts w:eastAsiaTheme="minorHAnsi"/>
          <w:lang w:eastAsia="en-US"/>
        </w:rPr>
      </w:pPr>
      <w:r w:rsidRPr="001A28D2">
        <w:rPr>
          <w:rFonts w:eastAsiaTheme="minorHAnsi"/>
          <w:lang w:eastAsia="en-US"/>
        </w:rPr>
        <w:t>Отчетените приходи по ЦБ са в размер на 18 943 367,7 хил. лв., което представлява 91,6 на сто от приходите по ДБ за 2016 г. Приходите на министерства и ведомства</w:t>
      </w:r>
      <w:r w:rsidR="00843459" w:rsidRPr="001A28D2">
        <w:rPr>
          <w:rFonts w:eastAsiaTheme="minorHAnsi"/>
          <w:lang w:eastAsia="en-US"/>
        </w:rPr>
        <w:t>, в т.ч. и Сметна палата,</w:t>
      </w:r>
      <w:r w:rsidRPr="001A28D2">
        <w:rPr>
          <w:rFonts w:eastAsiaTheme="minorHAnsi"/>
          <w:lang w:eastAsia="en-US"/>
        </w:rPr>
        <w:t xml:space="preserve"> са в размер на 1 632 780,8 хил. лв. (7,9 на сто от общите приходи по ДБ), Народното събрание – 1 347,8 хил. лв. (0,01 на сто от общите приходи по ДБ), съдебната власт – 110 844,7 хил. лв. (0,5 на сто от общите приходи по ДБ).</w:t>
      </w:r>
      <w:r w:rsidRPr="001A28D2">
        <w:rPr>
          <w:rFonts w:eastAsiaTheme="minorHAnsi"/>
          <w:vertAlign w:val="superscript"/>
          <w:lang w:eastAsia="en-US"/>
        </w:rPr>
        <w:footnoteReference w:id="14"/>
      </w:r>
    </w:p>
    <w:p w14:paraId="1B093E47" w14:textId="77777777" w:rsidR="00E248EC" w:rsidRPr="001A28D2" w:rsidRDefault="00AF0212" w:rsidP="007E77CC">
      <w:pPr>
        <w:ind w:firstLine="709"/>
        <w:jc w:val="both"/>
        <w:rPr>
          <w:rFonts w:eastAsiaTheme="minorHAnsi"/>
          <w:lang w:eastAsia="en-US"/>
        </w:rPr>
      </w:pPr>
      <w:r w:rsidRPr="001A28D2">
        <w:rPr>
          <w:rFonts w:eastAsiaTheme="minorHAnsi"/>
          <w:lang w:eastAsia="en-US"/>
        </w:rPr>
        <w:t>2</w:t>
      </w:r>
      <w:r w:rsidR="00E248EC" w:rsidRPr="001A28D2">
        <w:rPr>
          <w:rFonts w:eastAsiaTheme="minorHAnsi"/>
          <w:lang w:eastAsia="en-US"/>
        </w:rPr>
        <w:t xml:space="preserve">.1. Изпълнението на данъчните приходи, приети със ЗДБРБ за 2016 г., е 18 709 360,6 хил. лв., което представлява 103,6 на сто спрямо разчетените и 90,4 на сто от общите приходи по ДБ за 2016 г. </w:t>
      </w:r>
    </w:p>
    <w:p w14:paraId="4CA6E223" w14:textId="77777777" w:rsidR="00E248EC" w:rsidRPr="001A28D2" w:rsidRDefault="00E248EC" w:rsidP="007E77CC">
      <w:pPr>
        <w:ind w:firstLine="709"/>
        <w:contextualSpacing/>
        <w:jc w:val="both"/>
        <w:rPr>
          <w:rFonts w:eastAsiaTheme="minorHAnsi"/>
          <w:lang w:eastAsia="en-US"/>
        </w:rPr>
      </w:pPr>
      <w:r w:rsidRPr="001A28D2">
        <w:rPr>
          <w:rFonts w:eastAsiaTheme="minorHAnsi"/>
          <w:lang w:eastAsia="en-US"/>
        </w:rPr>
        <w:t>Отчетените приходи от данък върху добавената стойност (8 552 973,6 хил. лв.), акцизи (4 805 010,5 хил. лв.), данъци върху доходите на физическите лица (2 944 319,6 хил. лв.), корпоративен данък (2 010 924,4 хил. лв.), мита и митнически такси (173 089,2 хил. лв.) надвишават планираните.</w:t>
      </w:r>
    </w:p>
    <w:p w14:paraId="122A4886" w14:textId="77777777" w:rsidR="00175098" w:rsidRPr="001A28D2" w:rsidRDefault="00175098" w:rsidP="007E77CC">
      <w:pPr>
        <w:ind w:firstLine="709"/>
        <w:contextualSpacing/>
        <w:jc w:val="both"/>
        <w:rPr>
          <w:rFonts w:eastAsiaTheme="minorHAnsi"/>
          <w:lang w:eastAsia="en-US"/>
        </w:rPr>
      </w:pPr>
    </w:p>
    <w:p w14:paraId="393E4955" w14:textId="77777777" w:rsidR="00E248EC" w:rsidRPr="001A28D2" w:rsidRDefault="00E248EC" w:rsidP="007E77CC">
      <w:pPr>
        <w:ind w:firstLine="709"/>
        <w:contextualSpacing/>
        <w:jc w:val="both"/>
        <w:rPr>
          <w:rFonts w:eastAsiaTheme="minorHAnsi"/>
          <w:lang w:eastAsia="en-US"/>
        </w:rPr>
      </w:pPr>
      <w:r w:rsidRPr="001A28D2">
        <w:rPr>
          <w:rFonts w:eastAsiaTheme="minorHAnsi"/>
          <w:lang w:eastAsia="en-US"/>
        </w:rPr>
        <w:lastRenderedPageBreak/>
        <w:t>Не са достигнати разчетените нива за приходи от</w:t>
      </w:r>
      <w:r w:rsidRPr="001A28D2">
        <w:rPr>
          <w:rFonts w:eastAsiaTheme="minorHAnsi"/>
          <w:vertAlign w:val="superscript"/>
          <w:lang w:eastAsia="en-US"/>
        </w:rPr>
        <w:footnoteReference w:id="15"/>
      </w:r>
      <w:r w:rsidRPr="001A28D2">
        <w:rPr>
          <w:rFonts w:eastAsiaTheme="minorHAnsi"/>
          <w:lang w:eastAsia="en-US"/>
        </w:rPr>
        <w:t>:</w:t>
      </w:r>
    </w:p>
    <w:p w14:paraId="25901BF2" w14:textId="77777777" w:rsidR="00E248EC" w:rsidRPr="001A28D2" w:rsidRDefault="00AF0212" w:rsidP="007E77CC">
      <w:pPr>
        <w:ind w:firstLine="709"/>
        <w:contextualSpacing/>
        <w:jc w:val="both"/>
        <w:rPr>
          <w:rFonts w:eastAsiaTheme="minorHAnsi"/>
          <w:lang w:eastAsia="en-US"/>
        </w:rPr>
      </w:pPr>
      <w:r w:rsidRPr="001A28D2">
        <w:rPr>
          <w:rFonts w:eastAsiaTheme="minorHAnsi"/>
          <w:lang w:eastAsia="en-US"/>
        </w:rPr>
        <w:t>2.1.</w:t>
      </w:r>
      <w:proofErr w:type="spellStart"/>
      <w:r w:rsidRPr="001A28D2">
        <w:rPr>
          <w:rFonts w:eastAsiaTheme="minorHAnsi"/>
          <w:lang w:eastAsia="en-US"/>
        </w:rPr>
        <w:t>1</w:t>
      </w:r>
      <w:proofErr w:type="spellEnd"/>
      <w:r w:rsidRPr="001A28D2">
        <w:rPr>
          <w:rFonts w:eastAsiaTheme="minorHAnsi"/>
          <w:lang w:eastAsia="en-US"/>
        </w:rPr>
        <w:t xml:space="preserve">. </w:t>
      </w:r>
      <w:r w:rsidR="00E248EC" w:rsidRPr="001A28D2">
        <w:rPr>
          <w:rFonts w:eastAsiaTheme="minorHAnsi"/>
          <w:lang w:eastAsia="en-US"/>
        </w:rPr>
        <w:t>Данъци върху дивидентите, ликвидационните дялове и доходите на юридически лица с 43 163,8 хил. лв., като изпълнението е 60,2</w:t>
      </w:r>
      <w:r w:rsidR="00234AAA" w:rsidRPr="001A28D2">
        <w:rPr>
          <w:rFonts w:eastAsiaTheme="minorHAnsi"/>
          <w:lang w:eastAsia="en-US"/>
        </w:rPr>
        <w:t> </w:t>
      </w:r>
      <w:r w:rsidR="00E248EC" w:rsidRPr="001A28D2">
        <w:rPr>
          <w:rFonts w:eastAsiaTheme="minorHAnsi"/>
          <w:lang w:eastAsia="en-US"/>
        </w:rPr>
        <w:t>на</w:t>
      </w:r>
      <w:r w:rsidR="00234AAA" w:rsidRPr="001A28D2">
        <w:rPr>
          <w:rFonts w:eastAsiaTheme="minorHAnsi"/>
          <w:lang w:eastAsia="en-US"/>
        </w:rPr>
        <w:t> </w:t>
      </w:r>
      <w:r w:rsidR="00E248EC" w:rsidRPr="001A28D2">
        <w:rPr>
          <w:rFonts w:eastAsiaTheme="minorHAnsi"/>
          <w:lang w:eastAsia="en-US"/>
        </w:rPr>
        <w:t xml:space="preserve">сто. </w:t>
      </w:r>
    </w:p>
    <w:p w14:paraId="248CD321" w14:textId="3CBC0E81" w:rsidR="00E248EC" w:rsidRPr="001A28D2" w:rsidRDefault="00E248EC" w:rsidP="007E77CC">
      <w:pPr>
        <w:ind w:firstLine="709"/>
        <w:jc w:val="both"/>
        <w:rPr>
          <w:rFonts w:eastAsiaTheme="minorHAnsi"/>
          <w:lang w:eastAsia="en-US"/>
        </w:rPr>
      </w:pPr>
      <w:r w:rsidRPr="001A28D2">
        <w:rPr>
          <w:rFonts w:eastAsiaTheme="minorHAnsi"/>
          <w:lang w:eastAsia="en-US"/>
        </w:rPr>
        <w:t>Един от основните фактори за размер</w:t>
      </w:r>
      <w:r w:rsidR="00234AAA" w:rsidRPr="001A28D2">
        <w:rPr>
          <w:rFonts w:eastAsiaTheme="minorHAnsi"/>
          <w:lang w:eastAsia="en-US"/>
        </w:rPr>
        <w:t>а</w:t>
      </w:r>
      <w:r w:rsidRPr="001A28D2">
        <w:rPr>
          <w:rFonts w:eastAsiaTheme="minorHAnsi"/>
          <w:lang w:eastAsia="en-US"/>
        </w:rPr>
        <w:t xml:space="preserve"> на постъпленията </w:t>
      </w:r>
      <w:r w:rsidR="00234AAA" w:rsidRPr="001A28D2">
        <w:rPr>
          <w:rFonts w:eastAsiaTheme="minorHAnsi"/>
          <w:lang w:eastAsia="en-US"/>
        </w:rPr>
        <w:t xml:space="preserve">от данъци върху дивидентите, ликвидационните дялове и доходи на юридическите лица </w:t>
      </w:r>
      <w:r w:rsidRPr="001A28D2">
        <w:rPr>
          <w:rFonts w:eastAsiaTheme="minorHAnsi"/>
          <w:lang w:eastAsia="en-US"/>
        </w:rPr>
        <w:t>е свързан с постигнатите икономически резултати от данъчно-задължените лица. През 2016 г. се запазва тенденцията за намал</w:t>
      </w:r>
      <w:r w:rsidR="003A730C" w:rsidRPr="001A28D2">
        <w:rPr>
          <w:rFonts w:eastAsiaTheme="minorHAnsi"/>
          <w:lang w:eastAsia="en-US"/>
        </w:rPr>
        <w:t>ение</w:t>
      </w:r>
      <w:r w:rsidRPr="001A28D2">
        <w:rPr>
          <w:rFonts w:eastAsiaTheme="minorHAnsi"/>
          <w:lang w:eastAsia="en-US"/>
        </w:rPr>
        <w:t xml:space="preserve"> на разпределените дивиденти от публични дружества, дължаща се на свиване на печалбата. В края на декември 2016 г. разпределените дивиденти от българските борсови компании достигат 154,7 млн. лв., като отчитат спад от 8 на сто на годишна база. Друг фактор, който оказва влияние върху изпълнението на приходите от тези данъци, е размерът на възстановения данък при източника на чуждестранни юридически лица от ЕС и</w:t>
      </w:r>
      <w:r w:rsidR="00555EA3" w:rsidRPr="001A28D2">
        <w:rPr>
          <w:rFonts w:eastAsiaTheme="minorHAnsi"/>
          <w:lang w:eastAsia="en-US"/>
        </w:rPr>
        <w:t>ли</w:t>
      </w:r>
      <w:r w:rsidRPr="001A28D2">
        <w:rPr>
          <w:rFonts w:eastAsiaTheme="minorHAnsi"/>
          <w:lang w:eastAsia="en-US"/>
        </w:rPr>
        <w:t xml:space="preserve"> Европейското икономическо пространство, които имат право да изберат да </w:t>
      </w:r>
      <w:proofErr w:type="spellStart"/>
      <w:r w:rsidRPr="001A28D2">
        <w:rPr>
          <w:rFonts w:eastAsiaTheme="minorHAnsi"/>
          <w:lang w:eastAsia="en-US"/>
        </w:rPr>
        <w:t>преизчислят</w:t>
      </w:r>
      <w:proofErr w:type="spellEnd"/>
      <w:r w:rsidRPr="001A28D2">
        <w:rPr>
          <w:rFonts w:eastAsiaTheme="minorHAnsi"/>
          <w:lang w:eastAsia="en-US"/>
        </w:rPr>
        <w:t xml:space="preserve"> данъка при източника. Подобна процедура на възстановяване съществува и при наличие на Спогодба за избягва</w:t>
      </w:r>
      <w:r w:rsidR="00EE535C" w:rsidRPr="001A28D2">
        <w:rPr>
          <w:rFonts w:eastAsiaTheme="minorHAnsi"/>
          <w:lang w:eastAsia="en-US"/>
        </w:rPr>
        <w:t>не на двойното данъчно облагане</w:t>
      </w:r>
      <w:r w:rsidRPr="001A28D2">
        <w:rPr>
          <w:rFonts w:eastAsiaTheme="minorHAnsi"/>
          <w:lang w:eastAsia="en-US"/>
        </w:rPr>
        <w:t>, където може да се предвижда по-благоприятна ставка (или нулева такава) за облагане с данък при източника спрямо българското законодателство.</w:t>
      </w:r>
    </w:p>
    <w:p w14:paraId="498C6604" w14:textId="69F0E68D" w:rsidR="00E248EC" w:rsidRPr="001A28D2" w:rsidRDefault="00C03E94" w:rsidP="007E77CC">
      <w:pPr>
        <w:ind w:firstLine="709"/>
        <w:contextualSpacing/>
        <w:jc w:val="both"/>
        <w:rPr>
          <w:rFonts w:eastAsiaTheme="minorHAnsi"/>
          <w:lang w:eastAsia="en-US"/>
        </w:rPr>
      </w:pPr>
      <w:r w:rsidRPr="001A28D2">
        <w:rPr>
          <w:rFonts w:eastAsiaTheme="minorHAnsi"/>
          <w:lang w:eastAsia="en-US"/>
        </w:rPr>
        <w:t>2.1.2.</w:t>
      </w:r>
      <w:r w:rsidR="003A730C" w:rsidRPr="001A28D2">
        <w:rPr>
          <w:rFonts w:eastAsiaTheme="minorHAnsi"/>
          <w:lang w:eastAsia="en-US"/>
        </w:rPr>
        <w:t xml:space="preserve"> </w:t>
      </w:r>
      <w:r w:rsidR="00E248EC" w:rsidRPr="001A28D2">
        <w:rPr>
          <w:rFonts w:eastAsiaTheme="minorHAnsi"/>
          <w:lang w:eastAsia="en-US"/>
        </w:rPr>
        <w:t>Други данъци с 3 788,4 хил. лв., при изпълнение 97,1 на сто. Другите данъци включват основно алтернативните данъци по ЗКПО. Най-голям относителен дял имат постъпленията от други данъци по ЗКПО. Неизпълнението на приходите от посочената група данъци се дължи основно на по-ниските постъпления от данъка върху социалните разходи, предоставяни в натура, което е следствие от по-малката сума на извършените от данъчно з</w:t>
      </w:r>
      <w:r w:rsidR="00555EA3" w:rsidRPr="001A28D2">
        <w:rPr>
          <w:rFonts w:eastAsiaTheme="minorHAnsi"/>
          <w:lang w:eastAsia="en-US"/>
        </w:rPr>
        <w:t>адължените лица подобни разходи спрямо планираните.</w:t>
      </w:r>
    </w:p>
    <w:p w14:paraId="2A3276CE" w14:textId="77777777" w:rsidR="00E248EC" w:rsidRPr="001A28D2" w:rsidRDefault="00C03E94" w:rsidP="007E77CC">
      <w:pPr>
        <w:ind w:firstLine="709"/>
        <w:contextualSpacing/>
        <w:jc w:val="both"/>
        <w:rPr>
          <w:rFonts w:eastAsiaTheme="minorHAnsi"/>
          <w:lang w:eastAsia="en-US"/>
        </w:rPr>
      </w:pPr>
      <w:r w:rsidRPr="001A28D2">
        <w:rPr>
          <w:rFonts w:eastAsiaTheme="minorHAnsi"/>
          <w:lang w:eastAsia="en-US"/>
        </w:rPr>
        <w:t>2.1.3.</w:t>
      </w:r>
      <w:r w:rsidR="00C30EF2" w:rsidRPr="001A28D2">
        <w:rPr>
          <w:rFonts w:eastAsiaTheme="minorHAnsi"/>
          <w:lang w:eastAsia="en-US"/>
        </w:rPr>
        <w:t xml:space="preserve"> </w:t>
      </w:r>
      <w:r w:rsidR="00E248EC" w:rsidRPr="001A28D2">
        <w:rPr>
          <w:rFonts w:eastAsiaTheme="minorHAnsi"/>
          <w:lang w:eastAsia="en-US"/>
        </w:rPr>
        <w:t>Данък върху застрахователните премии с 1 351,3 хил. лв., като изпълнението е 95,8 на сто. Изпълнението на приходите от данъка зав</w:t>
      </w:r>
      <w:r w:rsidR="003A730C" w:rsidRPr="001A28D2">
        <w:rPr>
          <w:rFonts w:eastAsiaTheme="minorHAnsi"/>
          <w:lang w:eastAsia="en-US"/>
        </w:rPr>
        <w:t xml:space="preserve">иси </w:t>
      </w:r>
      <w:r w:rsidR="00E248EC" w:rsidRPr="001A28D2">
        <w:rPr>
          <w:rFonts w:eastAsiaTheme="minorHAnsi"/>
          <w:lang w:eastAsia="en-US"/>
        </w:rPr>
        <w:t>от ръста или спада на застрахователни</w:t>
      </w:r>
      <w:r w:rsidR="00555EA3" w:rsidRPr="001A28D2">
        <w:rPr>
          <w:rFonts w:eastAsiaTheme="minorHAnsi"/>
          <w:lang w:eastAsia="en-US"/>
        </w:rPr>
        <w:t>те</w:t>
      </w:r>
      <w:r w:rsidR="00E248EC" w:rsidRPr="001A28D2">
        <w:rPr>
          <w:rFonts w:eastAsiaTheme="minorHAnsi"/>
          <w:lang w:eastAsia="en-US"/>
        </w:rPr>
        <w:t xml:space="preserve"> премии</w:t>
      </w:r>
      <w:r w:rsidR="00555EA3" w:rsidRPr="001A28D2">
        <w:rPr>
          <w:rFonts w:eastAsiaTheme="minorHAnsi"/>
          <w:lang w:eastAsia="en-US"/>
        </w:rPr>
        <w:t xml:space="preserve"> по застрахователните договори в обхвата на Закона за данъка върху застрахователните премии</w:t>
      </w:r>
      <w:r w:rsidR="00E248EC" w:rsidRPr="001A28D2">
        <w:rPr>
          <w:rFonts w:eastAsiaTheme="minorHAnsi"/>
          <w:lang w:eastAsia="en-US"/>
        </w:rPr>
        <w:t xml:space="preserve"> и размера на върнатите застрахователни премии. За 2016 г. не е налице запазване на динамиката на нарастване на брутните начислени премии в общото застраховане спрямо 2015 г.</w:t>
      </w:r>
    </w:p>
    <w:p w14:paraId="6D047E05" w14:textId="77777777" w:rsidR="00E248EC" w:rsidRPr="001A28D2" w:rsidRDefault="006442D9" w:rsidP="003A730C">
      <w:pPr>
        <w:tabs>
          <w:tab w:val="left" w:pos="1134"/>
        </w:tabs>
        <w:ind w:firstLine="709"/>
        <w:jc w:val="both"/>
        <w:rPr>
          <w:rFonts w:eastAsiaTheme="minorHAnsi"/>
          <w:lang w:eastAsia="en-US"/>
        </w:rPr>
      </w:pPr>
      <w:r w:rsidRPr="001A28D2">
        <w:rPr>
          <w:rFonts w:eastAsiaTheme="minorHAnsi"/>
          <w:lang w:eastAsia="en-US"/>
        </w:rPr>
        <w:t>2</w:t>
      </w:r>
      <w:r w:rsidR="00E248EC" w:rsidRPr="001A28D2">
        <w:rPr>
          <w:rFonts w:eastAsiaTheme="minorHAnsi"/>
          <w:lang w:eastAsia="en-US"/>
        </w:rPr>
        <w:t>.</w:t>
      </w:r>
      <w:proofErr w:type="spellStart"/>
      <w:r w:rsidR="00E248EC" w:rsidRPr="001A28D2">
        <w:rPr>
          <w:rFonts w:eastAsiaTheme="minorHAnsi"/>
          <w:lang w:eastAsia="en-US"/>
        </w:rPr>
        <w:t>2</w:t>
      </w:r>
      <w:proofErr w:type="spellEnd"/>
      <w:r w:rsidR="00E248EC" w:rsidRPr="001A28D2">
        <w:rPr>
          <w:rFonts w:eastAsiaTheme="minorHAnsi"/>
          <w:lang w:eastAsia="en-US"/>
        </w:rPr>
        <w:t>.</w:t>
      </w:r>
      <w:r w:rsidR="00E248EC" w:rsidRPr="001A28D2">
        <w:rPr>
          <w:rFonts w:eastAsiaTheme="minorHAnsi"/>
          <w:lang w:eastAsia="en-US"/>
        </w:rPr>
        <w:tab/>
        <w:t xml:space="preserve">Изпълнението на неданъчните приходи, приети със ЗДБРБ за 2016 г., е 1 972 123,9 хил. лв., което представлява 77,1 на сто спрямо разчетените и 9,5 на сто от общите приходи по ДБ за 2016 г. </w:t>
      </w:r>
    </w:p>
    <w:p w14:paraId="60638711" w14:textId="77777777" w:rsidR="00E248EC" w:rsidRPr="001A28D2" w:rsidRDefault="00E248EC" w:rsidP="007E77CC">
      <w:pPr>
        <w:ind w:firstLine="709"/>
        <w:jc w:val="both"/>
        <w:rPr>
          <w:rFonts w:eastAsiaTheme="minorHAnsi"/>
          <w:lang w:eastAsia="en-US"/>
        </w:rPr>
      </w:pPr>
      <w:r w:rsidRPr="001A28D2">
        <w:rPr>
          <w:rFonts w:eastAsiaTheme="minorHAnsi"/>
          <w:lang w:eastAsia="en-US"/>
        </w:rPr>
        <w:t>Преизпълнение спрямо планираните нива е отчетено при глоби, санкции и наказателни лихви със 79 124 хил. лв., при изпълнение 183,3 на сто; приходи от държавни такси с 9 873,8 хил. лв., като изпълнението е 100,9 на сто.</w:t>
      </w:r>
    </w:p>
    <w:p w14:paraId="65417DC0" w14:textId="20A12F86" w:rsidR="00B730D3" w:rsidRPr="001A28D2" w:rsidRDefault="00E248EC" w:rsidP="00784DE6">
      <w:pPr>
        <w:ind w:firstLine="709"/>
        <w:jc w:val="both"/>
        <w:rPr>
          <w:rFonts w:eastAsiaTheme="minorHAnsi"/>
          <w:lang w:eastAsia="en-US"/>
        </w:rPr>
      </w:pPr>
      <w:r w:rsidRPr="001A28D2">
        <w:rPr>
          <w:rFonts w:eastAsiaTheme="minorHAnsi"/>
          <w:lang w:eastAsia="en-US"/>
        </w:rPr>
        <w:t>Не са достигнати разчетените нива за: приходи и доходи от собственост с 2 817,6 хил. лв., като изпълнението е 99,4 на сто; други неданъчни приходи с 649 801,2 хил. лв., като изпълнението е 22,6 на сто.</w:t>
      </w:r>
    </w:p>
    <w:p w14:paraId="3DDF877A" w14:textId="77777777" w:rsidR="00023538" w:rsidRPr="001A28D2" w:rsidRDefault="00023538" w:rsidP="00023538">
      <w:pPr>
        <w:ind w:firstLine="709"/>
        <w:jc w:val="both"/>
        <w:rPr>
          <w:rFonts w:eastAsia="Calibri"/>
          <w:lang w:eastAsia="en-US"/>
        </w:rPr>
      </w:pPr>
      <w:r w:rsidRPr="001A28D2">
        <w:rPr>
          <w:rFonts w:eastAsia="Calibri"/>
          <w:lang w:eastAsia="en-US"/>
        </w:rPr>
        <w:t xml:space="preserve">Нетното неизпълнение на разчетите от приходи и доходи от собственост с 2 817,6 хил. лв. е компенсирано от неизпълнение/преизпълнение на следните основни групи приходи: </w:t>
      </w:r>
      <w:proofErr w:type="spellStart"/>
      <w:r w:rsidRPr="001A28D2">
        <w:rPr>
          <w:rFonts w:eastAsia="Calibri"/>
          <w:lang w:eastAsia="en-US"/>
        </w:rPr>
        <w:t>превишение</w:t>
      </w:r>
      <w:proofErr w:type="spellEnd"/>
      <w:r w:rsidRPr="001A28D2">
        <w:rPr>
          <w:rFonts w:eastAsia="Calibri"/>
          <w:lang w:eastAsia="en-US"/>
        </w:rPr>
        <w:t xml:space="preserve"> на приходите над разходите на БНБ, вноски от приходи на държавни предприятия, нетни приходи от продажби на стоки и услуги, приходи от наеми на имущество и земя, приходи от дивиденти и лихви. Неизпълнението се дължи на недостигане на разчетите в тази група по бюджета на МЗХ, както и на по-малкия размер на превода от </w:t>
      </w:r>
      <w:proofErr w:type="spellStart"/>
      <w:r w:rsidRPr="001A28D2">
        <w:rPr>
          <w:rFonts w:eastAsia="Calibri"/>
          <w:lang w:eastAsia="en-US"/>
        </w:rPr>
        <w:t>превишението</w:t>
      </w:r>
      <w:proofErr w:type="spellEnd"/>
      <w:r w:rsidRPr="001A28D2">
        <w:rPr>
          <w:rFonts w:eastAsia="Calibri"/>
          <w:lang w:eastAsia="en-US"/>
        </w:rPr>
        <w:t xml:space="preserve"> на приходите над разходите на БНБ спрямо разчета.</w:t>
      </w:r>
    </w:p>
    <w:p w14:paraId="435D3554" w14:textId="77777777" w:rsidR="00023538" w:rsidRPr="001A28D2" w:rsidRDefault="00023538" w:rsidP="00023538">
      <w:pPr>
        <w:ind w:firstLine="709"/>
        <w:jc w:val="both"/>
        <w:rPr>
          <w:rFonts w:eastAsia="Calibri"/>
          <w:lang w:eastAsia="en-US"/>
        </w:rPr>
      </w:pPr>
      <w:r w:rsidRPr="001A28D2">
        <w:rPr>
          <w:rFonts w:eastAsia="Calibri"/>
          <w:lang w:eastAsia="en-US"/>
        </w:rPr>
        <w:lastRenderedPageBreak/>
        <w:t>В разчетите на други неданъчни приходи се включват основно разчетите за приходи от глоби, санкции и наказателни лихви, за постъпления от продажба на нефинансови активи, приходи от концесии и др.</w:t>
      </w:r>
    </w:p>
    <w:p w14:paraId="69D3A178" w14:textId="4FBD8728" w:rsidR="00023538" w:rsidRPr="001A28D2" w:rsidRDefault="00023538" w:rsidP="00023538">
      <w:pPr>
        <w:ind w:firstLine="709"/>
        <w:jc w:val="both"/>
        <w:rPr>
          <w:rFonts w:eastAsia="Calibri"/>
          <w:lang w:eastAsia="en-US"/>
        </w:rPr>
      </w:pPr>
      <w:r w:rsidRPr="001A28D2">
        <w:rPr>
          <w:rFonts w:eastAsia="Calibri"/>
          <w:lang w:eastAsia="en-US"/>
        </w:rPr>
        <w:t xml:space="preserve">Причината за нетното неизпълнение е еднократно концесионно плащане по концесионен договор за гражданско летище за обществено ползване София, поради прекратяване на процедурата за предоставяне на концесията с </w:t>
      </w:r>
      <w:r w:rsidR="00C21390" w:rsidRPr="001A28D2">
        <w:rPr>
          <w:rFonts w:eastAsia="Calibri"/>
          <w:lang w:eastAsia="en-US"/>
        </w:rPr>
        <w:t>Решение на Министерски съвет (</w:t>
      </w:r>
      <w:r w:rsidRPr="001A28D2">
        <w:rPr>
          <w:rFonts w:eastAsia="Calibri"/>
          <w:lang w:eastAsia="en-US"/>
        </w:rPr>
        <w:t>РМС</w:t>
      </w:r>
      <w:r w:rsidR="00C21390" w:rsidRPr="001A28D2">
        <w:rPr>
          <w:rFonts w:eastAsia="Calibri"/>
          <w:lang w:eastAsia="en-US"/>
        </w:rPr>
        <w:t>)</w:t>
      </w:r>
      <w:r w:rsidRPr="001A28D2">
        <w:rPr>
          <w:rFonts w:eastAsia="Calibri"/>
          <w:lang w:eastAsia="en-US"/>
        </w:rPr>
        <w:t xml:space="preserve"> № 193 от 06.04.2017 г.</w:t>
      </w:r>
    </w:p>
    <w:p w14:paraId="088933B2" w14:textId="7DC021E6" w:rsidR="00E248EC" w:rsidRPr="001A28D2" w:rsidRDefault="00E248EC" w:rsidP="007E77CC">
      <w:pPr>
        <w:ind w:firstLine="709"/>
        <w:jc w:val="both"/>
        <w:rPr>
          <w:rFonts w:eastAsiaTheme="minorHAnsi"/>
          <w:lang w:eastAsia="en-US"/>
        </w:rPr>
      </w:pPr>
      <w:r w:rsidRPr="001A28D2">
        <w:rPr>
          <w:rFonts w:eastAsiaTheme="minorHAnsi"/>
          <w:lang w:eastAsia="en-US"/>
        </w:rPr>
        <w:t>Не са изпълнени планираните със ЗДБРБ за 2016 г. приходи от съдебни такси с 22 399,9 хил. лв.</w:t>
      </w:r>
      <w:r w:rsidR="00E30E46" w:rsidRPr="001A28D2">
        <w:rPr>
          <w:rFonts w:eastAsiaTheme="minorHAnsi"/>
          <w:lang w:eastAsia="en-US"/>
        </w:rPr>
        <w:t xml:space="preserve"> И</w:t>
      </w:r>
      <w:r w:rsidRPr="001A28D2">
        <w:rPr>
          <w:rFonts w:eastAsiaTheme="minorHAnsi"/>
          <w:lang w:eastAsia="en-US"/>
        </w:rPr>
        <w:t>зпълнение</w:t>
      </w:r>
      <w:r w:rsidR="00E30E46" w:rsidRPr="001A28D2">
        <w:rPr>
          <w:rFonts w:eastAsiaTheme="minorHAnsi"/>
          <w:lang w:eastAsia="en-US"/>
        </w:rPr>
        <w:t>то на приходите е</w:t>
      </w:r>
      <w:r w:rsidRPr="001A28D2">
        <w:rPr>
          <w:rFonts w:eastAsiaTheme="minorHAnsi"/>
          <w:lang w:eastAsia="en-US"/>
        </w:rPr>
        <w:t xml:space="preserve"> 81,3 на сто.</w:t>
      </w:r>
      <w:r w:rsidRPr="001A28D2">
        <w:rPr>
          <w:rFonts w:eastAsiaTheme="minorHAnsi"/>
          <w:vertAlign w:val="superscript"/>
          <w:lang w:eastAsia="en-US"/>
        </w:rPr>
        <w:footnoteReference w:id="16"/>
      </w:r>
      <w:r w:rsidRPr="001A28D2">
        <w:rPr>
          <w:rFonts w:eastAsiaTheme="minorHAnsi"/>
          <w:lang w:eastAsia="en-US"/>
        </w:rPr>
        <w:t xml:space="preserve"> Като причина за неизпълнението на приходите се посочват фактори извън съдебната власт – икономическата конюнктура. Броят на съдебните производства и постъпленията от съдебни такси зависят от активността на юридическите и физическите лица, както и от размера на материалния интерес.</w:t>
      </w:r>
      <w:r w:rsidRPr="001A28D2">
        <w:rPr>
          <w:rFonts w:eastAsiaTheme="minorHAnsi"/>
          <w:vertAlign w:val="superscript"/>
          <w:lang w:eastAsia="en-US"/>
        </w:rPr>
        <w:footnoteReference w:id="17"/>
      </w:r>
    </w:p>
    <w:p w14:paraId="1290F3E1" w14:textId="77777777" w:rsidR="00E248EC" w:rsidRPr="001A28D2" w:rsidRDefault="006442D9" w:rsidP="002C3045">
      <w:pPr>
        <w:tabs>
          <w:tab w:val="left" w:pos="1134"/>
        </w:tabs>
        <w:ind w:firstLine="709"/>
        <w:jc w:val="both"/>
        <w:rPr>
          <w:rFonts w:eastAsiaTheme="minorHAnsi"/>
          <w:lang w:eastAsia="en-US"/>
        </w:rPr>
      </w:pPr>
      <w:r w:rsidRPr="001A28D2">
        <w:rPr>
          <w:rFonts w:eastAsiaTheme="minorHAnsi"/>
          <w:lang w:eastAsia="en-US"/>
        </w:rPr>
        <w:t>2.</w:t>
      </w:r>
      <w:r w:rsidR="00E248EC" w:rsidRPr="001A28D2">
        <w:rPr>
          <w:rFonts w:eastAsiaTheme="minorHAnsi"/>
          <w:lang w:eastAsia="en-US"/>
        </w:rPr>
        <w:t>3.</w:t>
      </w:r>
      <w:r w:rsidR="00E248EC" w:rsidRPr="001A28D2">
        <w:rPr>
          <w:rFonts w:eastAsiaTheme="minorHAnsi"/>
          <w:lang w:eastAsia="en-US"/>
        </w:rPr>
        <w:tab/>
        <w:t>Приходите от помощи и дарения са в размер на 6 856,6 хил. лв., които представляват 0,1 на сто от общо отчетените приходи по ДБ за 2016 г.</w:t>
      </w:r>
    </w:p>
    <w:p w14:paraId="5DE8CBC3" w14:textId="77777777" w:rsidR="00E248EC" w:rsidRPr="001A28D2" w:rsidRDefault="00E248EC" w:rsidP="007E77CC">
      <w:pPr>
        <w:ind w:firstLine="709"/>
        <w:jc w:val="both"/>
        <w:rPr>
          <w:rFonts w:cs="Tahoma"/>
          <w:i/>
          <w:lang w:eastAsia="en-US"/>
        </w:rPr>
      </w:pPr>
    </w:p>
    <w:p w14:paraId="46DDED8D" w14:textId="77777777" w:rsidR="00E248EC" w:rsidRPr="001A28D2" w:rsidRDefault="00E248EC" w:rsidP="007E77CC">
      <w:pPr>
        <w:ind w:firstLine="709"/>
        <w:jc w:val="both"/>
        <w:textAlignment w:val="center"/>
        <w:rPr>
          <w:rFonts w:eastAsiaTheme="minorHAnsi"/>
          <w:i/>
          <w:lang w:eastAsia="en-US"/>
        </w:rPr>
      </w:pPr>
      <w:r w:rsidRPr="001A28D2">
        <w:rPr>
          <w:rFonts w:eastAsiaTheme="minorHAnsi"/>
          <w:i/>
          <w:lang w:eastAsia="en-US"/>
        </w:rPr>
        <w:t>Приходите са отчетени по показателите, по които са приети със ЗДБРБ за 2016 г.</w:t>
      </w:r>
      <w:r w:rsidR="00C30EF2" w:rsidRPr="001A28D2">
        <w:rPr>
          <w:rFonts w:eastAsiaTheme="minorHAnsi"/>
          <w:i/>
          <w:lang w:eastAsia="en-US"/>
        </w:rPr>
        <w:t xml:space="preserve"> </w:t>
      </w:r>
      <w:r w:rsidRPr="001A28D2">
        <w:rPr>
          <w:rFonts w:eastAsiaTheme="minorHAnsi"/>
          <w:i/>
          <w:lang w:eastAsia="en-US"/>
        </w:rPr>
        <w:t>Изпълнението на разчетените със ЗДБРБ за 2016 г. приходи, помощи и дарения е 100,3 на сто, което се дължи на преизпълнение на планираните данъчни приходи.</w:t>
      </w:r>
      <w:r w:rsidRPr="001A28D2">
        <w:rPr>
          <w:rFonts w:asciiTheme="minorHAnsi" w:eastAsiaTheme="minorHAnsi" w:hAnsiTheme="minorHAnsi" w:cstheme="minorBidi"/>
          <w:sz w:val="22"/>
          <w:szCs w:val="22"/>
          <w:lang w:eastAsia="en-US"/>
        </w:rPr>
        <w:t xml:space="preserve"> </w:t>
      </w:r>
      <w:r w:rsidRPr="001A28D2">
        <w:rPr>
          <w:rFonts w:eastAsiaTheme="minorHAnsi"/>
          <w:i/>
          <w:lang w:eastAsia="en-US"/>
        </w:rPr>
        <w:t>Отчетените приходи по ЦБ представляват 91,6 на сто от приходите по ДБ за 2016 г.</w:t>
      </w:r>
    </w:p>
    <w:p w14:paraId="4AEF21C6" w14:textId="77777777" w:rsidR="0009779B" w:rsidRPr="001A28D2" w:rsidRDefault="0009779B" w:rsidP="007E77CC">
      <w:pPr>
        <w:pStyle w:val="ListParagraph"/>
        <w:tabs>
          <w:tab w:val="left" w:pos="0"/>
          <w:tab w:val="left" w:pos="993"/>
        </w:tabs>
        <w:ind w:left="709" w:firstLine="709"/>
        <w:jc w:val="both"/>
        <w:rPr>
          <w:rFonts w:ascii="Times New Roman" w:hAnsi="Times New Roman" w:cs="Times New Roman"/>
          <w:lang w:val="bg-BG" w:eastAsia="en-US"/>
        </w:rPr>
      </w:pPr>
    </w:p>
    <w:p w14:paraId="52EF83D1" w14:textId="77777777" w:rsidR="009446E7" w:rsidRPr="001A28D2" w:rsidRDefault="00DC0D21" w:rsidP="007E77CC">
      <w:pPr>
        <w:pStyle w:val="ListParagraph"/>
        <w:numPr>
          <w:ilvl w:val="0"/>
          <w:numId w:val="42"/>
        </w:numPr>
        <w:tabs>
          <w:tab w:val="left" w:pos="0"/>
          <w:tab w:val="left" w:pos="993"/>
        </w:tabs>
        <w:ind w:left="0" w:firstLine="709"/>
        <w:jc w:val="both"/>
        <w:rPr>
          <w:rFonts w:ascii="Times New Roman" w:eastAsiaTheme="minorHAnsi" w:hAnsi="Times New Roman" w:cs="Times New Roman"/>
          <w:b/>
          <w:lang w:val="bg-BG" w:eastAsia="en-US"/>
        </w:rPr>
      </w:pPr>
      <w:r w:rsidRPr="001A28D2">
        <w:rPr>
          <w:rFonts w:ascii="Times New Roman" w:eastAsiaTheme="minorHAnsi" w:hAnsi="Times New Roman" w:cs="Times New Roman"/>
          <w:b/>
          <w:lang w:val="bg-BG" w:eastAsia="en-US"/>
        </w:rPr>
        <w:t>Степен на и</w:t>
      </w:r>
      <w:r w:rsidR="0091554A" w:rsidRPr="001A28D2">
        <w:rPr>
          <w:rFonts w:ascii="Times New Roman" w:eastAsiaTheme="minorHAnsi" w:hAnsi="Times New Roman" w:cs="Times New Roman"/>
          <w:b/>
          <w:lang w:val="bg-BG" w:eastAsia="en-US"/>
        </w:rPr>
        <w:t>зпълнение на р</w:t>
      </w:r>
      <w:r w:rsidR="009446E7" w:rsidRPr="001A28D2">
        <w:rPr>
          <w:rFonts w:ascii="Times New Roman" w:eastAsiaTheme="minorHAnsi" w:hAnsi="Times New Roman" w:cs="Times New Roman"/>
          <w:b/>
          <w:lang w:val="bg-BG" w:eastAsia="en-US"/>
        </w:rPr>
        <w:t>азходи</w:t>
      </w:r>
      <w:r w:rsidR="0091554A" w:rsidRPr="001A28D2">
        <w:rPr>
          <w:rFonts w:ascii="Times New Roman" w:eastAsiaTheme="minorHAnsi" w:hAnsi="Times New Roman" w:cs="Times New Roman"/>
          <w:b/>
          <w:lang w:val="bg-BG" w:eastAsia="en-US"/>
        </w:rPr>
        <w:t>те</w:t>
      </w:r>
      <w:r w:rsidR="009446E7" w:rsidRPr="001A28D2">
        <w:rPr>
          <w:rFonts w:ascii="Times New Roman" w:eastAsiaTheme="minorHAnsi" w:hAnsi="Times New Roman" w:cs="Times New Roman"/>
          <w:b/>
          <w:lang w:val="bg-BG" w:eastAsia="en-US"/>
        </w:rPr>
        <w:t>, бюджетни</w:t>
      </w:r>
      <w:r w:rsidR="0091554A" w:rsidRPr="001A28D2">
        <w:rPr>
          <w:rFonts w:ascii="Times New Roman" w:eastAsiaTheme="minorHAnsi" w:hAnsi="Times New Roman" w:cs="Times New Roman"/>
          <w:b/>
          <w:lang w:val="bg-BG" w:eastAsia="en-US"/>
        </w:rPr>
        <w:t>те</w:t>
      </w:r>
      <w:r w:rsidR="009446E7" w:rsidRPr="001A28D2">
        <w:rPr>
          <w:rFonts w:ascii="Times New Roman" w:eastAsiaTheme="minorHAnsi" w:hAnsi="Times New Roman" w:cs="Times New Roman"/>
          <w:b/>
          <w:lang w:val="bg-BG" w:eastAsia="en-US"/>
        </w:rPr>
        <w:t xml:space="preserve"> взаимоотношения и вноска</w:t>
      </w:r>
      <w:r w:rsidR="0091554A" w:rsidRPr="001A28D2">
        <w:rPr>
          <w:rFonts w:ascii="Times New Roman" w:eastAsiaTheme="minorHAnsi" w:hAnsi="Times New Roman" w:cs="Times New Roman"/>
          <w:b/>
          <w:lang w:val="bg-BG" w:eastAsia="en-US"/>
        </w:rPr>
        <w:t>та</w:t>
      </w:r>
      <w:r w:rsidR="009446E7" w:rsidRPr="001A28D2">
        <w:rPr>
          <w:rFonts w:ascii="Times New Roman" w:eastAsiaTheme="minorHAnsi" w:hAnsi="Times New Roman" w:cs="Times New Roman"/>
          <w:b/>
          <w:lang w:val="bg-BG" w:eastAsia="en-US"/>
        </w:rPr>
        <w:t xml:space="preserve"> в ЕС</w:t>
      </w:r>
    </w:p>
    <w:p w14:paraId="49A0CF6D" w14:textId="78710084" w:rsidR="006442D9" w:rsidRPr="001A28D2" w:rsidRDefault="006442D9" w:rsidP="007E77CC">
      <w:pPr>
        <w:pStyle w:val="ListParagraph"/>
        <w:tabs>
          <w:tab w:val="left" w:pos="0"/>
          <w:tab w:val="left" w:pos="993"/>
        </w:tabs>
        <w:ind w:left="0" w:firstLine="709"/>
        <w:jc w:val="both"/>
        <w:rPr>
          <w:rFonts w:ascii="Times New Roman" w:eastAsiaTheme="minorHAnsi" w:hAnsi="Times New Roman" w:cs="Times New Roman"/>
          <w:lang w:val="bg-BG" w:eastAsia="en-US"/>
        </w:rPr>
      </w:pPr>
      <w:r w:rsidRPr="001A28D2">
        <w:rPr>
          <w:rFonts w:ascii="Times New Roman" w:eastAsiaTheme="minorHAnsi" w:hAnsi="Times New Roman" w:cs="Times New Roman"/>
          <w:lang w:val="bg-BG" w:eastAsia="en-US"/>
        </w:rPr>
        <w:t>В отчета за изпълнението на ДБ за 2016</w:t>
      </w:r>
      <w:r w:rsidR="00555EA3" w:rsidRPr="001A28D2">
        <w:rPr>
          <w:rFonts w:ascii="Times New Roman" w:eastAsiaTheme="minorHAnsi" w:hAnsi="Times New Roman" w:cs="Times New Roman"/>
          <w:lang w:val="bg-BG" w:eastAsia="en-US"/>
        </w:rPr>
        <w:t> </w:t>
      </w:r>
      <w:r w:rsidRPr="001A28D2">
        <w:rPr>
          <w:rFonts w:ascii="Times New Roman" w:eastAsiaTheme="minorHAnsi" w:hAnsi="Times New Roman" w:cs="Times New Roman"/>
          <w:lang w:val="bg-BG" w:eastAsia="en-US"/>
        </w:rPr>
        <w:t>г. отразените разходи, бюджетни взаимоотношения (нето) и вноска в общия бюджет на ЕС по ДБ за 2016</w:t>
      </w:r>
      <w:r w:rsidR="00555EA3" w:rsidRPr="001A28D2">
        <w:rPr>
          <w:rFonts w:ascii="Times New Roman" w:eastAsiaTheme="minorHAnsi" w:hAnsi="Times New Roman" w:cs="Times New Roman"/>
          <w:lang w:val="bg-BG" w:eastAsia="en-US"/>
        </w:rPr>
        <w:t> </w:t>
      </w:r>
      <w:r w:rsidRPr="001A28D2">
        <w:rPr>
          <w:rFonts w:ascii="Times New Roman" w:eastAsiaTheme="minorHAnsi" w:hAnsi="Times New Roman" w:cs="Times New Roman"/>
          <w:lang w:val="bg-BG" w:eastAsia="en-US"/>
        </w:rPr>
        <w:t xml:space="preserve">г. са в размер на </w:t>
      </w:r>
      <w:r w:rsidR="00EC4804" w:rsidRPr="001A28D2">
        <w:rPr>
          <w:rFonts w:ascii="Times New Roman" w:eastAsiaTheme="minorHAnsi" w:hAnsi="Times New Roman" w:cs="Times New Roman"/>
          <w:lang w:val="bg-BG" w:eastAsia="en-US"/>
        </w:rPr>
        <w:t>21 787 996,</w:t>
      </w:r>
      <w:r w:rsidR="006421EA" w:rsidRPr="001A28D2">
        <w:rPr>
          <w:rFonts w:ascii="Times New Roman" w:eastAsiaTheme="minorHAnsi" w:hAnsi="Times New Roman" w:cs="Times New Roman"/>
          <w:lang w:val="bg-BG" w:eastAsia="en-US"/>
        </w:rPr>
        <w:t>8</w:t>
      </w:r>
      <w:r w:rsidR="00555EA3" w:rsidRPr="001A28D2">
        <w:rPr>
          <w:rFonts w:ascii="Times New Roman" w:eastAsiaTheme="minorHAnsi" w:hAnsi="Times New Roman" w:cs="Times New Roman"/>
          <w:lang w:val="bg-BG" w:eastAsia="en-US"/>
        </w:rPr>
        <w:t> </w:t>
      </w:r>
      <w:r w:rsidRPr="001A28D2">
        <w:rPr>
          <w:rFonts w:ascii="Times New Roman" w:eastAsiaTheme="minorHAnsi" w:hAnsi="Times New Roman" w:cs="Times New Roman"/>
          <w:lang w:val="bg-BG" w:eastAsia="en-US"/>
        </w:rPr>
        <w:t>хил.</w:t>
      </w:r>
      <w:r w:rsidR="00555EA3" w:rsidRPr="001A28D2">
        <w:rPr>
          <w:rFonts w:ascii="Times New Roman" w:eastAsiaTheme="minorHAnsi" w:hAnsi="Times New Roman" w:cs="Times New Roman"/>
          <w:lang w:val="bg-BG" w:eastAsia="en-US"/>
        </w:rPr>
        <w:t> </w:t>
      </w:r>
      <w:r w:rsidRPr="001A28D2">
        <w:rPr>
          <w:rFonts w:ascii="Times New Roman" w:eastAsiaTheme="minorHAnsi" w:hAnsi="Times New Roman" w:cs="Times New Roman"/>
          <w:lang w:val="bg-BG" w:eastAsia="en-US"/>
        </w:rPr>
        <w:t>лв., като изпълнението е 97,2</w:t>
      </w:r>
      <w:r w:rsidR="00555EA3" w:rsidRPr="001A28D2">
        <w:rPr>
          <w:rFonts w:ascii="Times New Roman" w:eastAsiaTheme="minorHAnsi" w:hAnsi="Times New Roman" w:cs="Times New Roman"/>
          <w:lang w:val="bg-BG" w:eastAsia="en-US"/>
        </w:rPr>
        <w:t> на </w:t>
      </w:r>
      <w:r w:rsidRPr="001A28D2">
        <w:rPr>
          <w:rFonts w:ascii="Times New Roman" w:eastAsiaTheme="minorHAnsi" w:hAnsi="Times New Roman" w:cs="Times New Roman"/>
          <w:lang w:val="bg-BG" w:eastAsia="en-US"/>
        </w:rPr>
        <w:t>сто от приетите със ЗДБРБ за 2016</w:t>
      </w:r>
      <w:r w:rsidR="00555EA3" w:rsidRPr="001A28D2">
        <w:rPr>
          <w:rFonts w:ascii="Times New Roman" w:eastAsiaTheme="minorHAnsi" w:hAnsi="Times New Roman" w:cs="Times New Roman"/>
          <w:lang w:val="bg-BG" w:eastAsia="en-US"/>
        </w:rPr>
        <w:t> </w:t>
      </w:r>
      <w:r w:rsidRPr="001A28D2">
        <w:rPr>
          <w:rFonts w:ascii="Times New Roman" w:eastAsiaTheme="minorHAnsi" w:hAnsi="Times New Roman" w:cs="Times New Roman"/>
          <w:lang w:val="bg-BG" w:eastAsia="en-US"/>
        </w:rPr>
        <w:t xml:space="preserve">г. или с </w:t>
      </w:r>
      <w:r w:rsidR="00EC4804" w:rsidRPr="001A28D2">
        <w:rPr>
          <w:rFonts w:ascii="Times New Roman" w:eastAsiaTheme="minorHAnsi" w:hAnsi="Times New Roman" w:cs="Times New Roman"/>
          <w:lang w:val="bg-BG" w:eastAsia="en-US"/>
        </w:rPr>
        <w:t>623 148,</w:t>
      </w:r>
      <w:r w:rsidR="006421EA" w:rsidRPr="001A28D2">
        <w:rPr>
          <w:rFonts w:ascii="Times New Roman" w:eastAsiaTheme="minorHAnsi" w:hAnsi="Times New Roman" w:cs="Times New Roman"/>
          <w:lang w:val="bg-BG" w:eastAsia="en-US"/>
        </w:rPr>
        <w:t>8</w:t>
      </w:r>
      <w:r w:rsidR="00555EA3" w:rsidRPr="001A28D2">
        <w:rPr>
          <w:rFonts w:ascii="Times New Roman" w:eastAsiaTheme="minorHAnsi" w:hAnsi="Times New Roman" w:cs="Times New Roman"/>
          <w:lang w:val="bg-BG" w:eastAsia="en-US"/>
        </w:rPr>
        <w:t> </w:t>
      </w:r>
      <w:r w:rsidRPr="001A28D2">
        <w:rPr>
          <w:rFonts w:ascii="Times New Roman" w:eastAsiaTheme="minorHAnsi" w:hAnsi="Times New Roman" w:cs="Times New Roman"/>
          <w:lang w:val="bg-BG" w:eastAsia="en-US"/>
        </w:rPr>
        <w:t>хил.</w:t>
      </w:r>
      <w:r w:rsidR="00555EA3" w:rsidRPr="001A28D2">
        <w:rPr>
          <w:rFonts w:ascii="Times New Roman" w:eastAsiaTheme="minorHAnsi" w:hAnsi="Times New Roman" w:cs="Times New Roman"/>
          <w:lang w:val="bg-BG" w:eastAsia="en-US"/>
        </w:rPr>
        <w:t> </w:t>
      </w:r>
      <w:r w:rsidRPr="001A28D2">
        <w:rPr>
          <w:rFonts w:ascii="Times New Roman" w:eastAsiaTheme="minorHAnsi" w:hAnsi="Times New Roman" w:cs="Times New Roman"/>
          <w:lang w:val="bg-BG" w:eastAsia="en-US"/>
        </w:rPr>
        <w:t>лв. по-малко от планираното.</w:t>
      </w:r>
    </w:p>
    <w:p w14:paraId="39427505" w14:textId="77777777" w:rsidR="009661F1" w:rsidRPr="001A28D2" w:rsidRDefault="00DC5BD7" w:rsidP="007E77CC">
      <w:pPr>
        <w:ind w:firstLine="709"/>
        <w:jc w:val="both"/>
        <w:rPr>
          <w:rFonts w:eastAsiaTheme="minorHAnsi"/>
          <w:lang w:eastAsia="en-US"/>
        </w:rPr>
      </w:pPr>
      <w:r w:rsidRPr="001A28D2">
        <w:rPr>
          <w:rFonts w:eastAsiaTheme="minorHAnsi"/>
          <w:lang w:eastAsia="en-US"/>
        </w:rPr>
        <w:t>3</w:t>
      </w:r>
      <w:r w:rsidR="009661F1" w:rsidRPr="001A28D2">
        <w:rPr>
          <w:rFonts w:eastAsiaTheme="minorHAnsi"/>
          <w:lang w:eastAsia="en-US"/>
        </w:rPr>
        <w:t>.1. Отчетените разходи (без трансфери и вноска за ЕС) по ДБ за 2016 г. (10 106 046,5 хил. лв.) са с 840 162,1 хил. лв. по-малко от приетите със ЗДБРБ за 2016 г. Разходите са отчетени по показателите, по които са приети със ЗДБРБ за 2016 г.</w:t>
      </w:r>
    </w:p>
    <w:p w14:paraId="45901449" w14:textId="1440F814" w:rsidR="009661F1" w:rsidRPr="001A28D2" w:rsidRDefault="00AA0C74" w:rsidP="007E77CC">
      <w:pPr>
        <w:ind w:firstLine="709"/>
        <w:jc w:val="both"/>
        <w:rPr>
          <w:rFonts w:eastAsiaTheme="minorHAnsi"/>
          <w:lang w:eastAsia="en-US"/>
        </w:rPr>
      </w:pPr>
      <w:r w:rsidRPr="001A28D2">
        <w:rPr>
          <w:rFonts w:eastAsiaTheme="minorHAnsi"/>
          <w:lang w:eastAsia="en-US"/>
        </w:rPr>
        <w:t>3.1.</w:t>
      </w:r>
      <w:proofErr w:type="spellStart"/>
      <w:r w:rsidRPr="001A28D2">
        <w:rPr>
          <w:rFonts w:eastAsiaTheme="minorHAnsi"/>
          <w:lang w:eastAsia="en-US"/>
        </w:rPr>
        <w:t>1</w:t>
      </w:r>
      <w:proofErr w:type="spellEnd"/>
      <w:r w:rsidRPr="001A28D2">
        <w:rPr>
          <w:rFonts w:eastAsiaTheme="minorHAnsi"/>
          <w:lang w:eastAsia="en-US"/>
        </w:rPr>
        <w:t xml:space="preserve">. </w:t>
      </w:r>
      <w:r w:rsidR="009661F1" w:rsidRPr="001A28D2">
        <w:rPr>
          <w:rFonts w:eastAsiaTheme="minorHAnsi"/>
          <w:lang w:eastAsia="en-US"/>
        </w:rPr>
        <w:t xml:space="preserve">По общия показател „Текущи разходи“ със ЗДБРБ за 2016 г. са приети разходи в размер на 8 332 042,6 хил. лв., отчетени са 8 095 969,4 хил. лв. </w:t>
      </w:r>
      <w:r w:rsidR="002C5AA0" w:rsidRPr="001A28D2">
        <w:rPr>
          <w:rFonts w:eastAsiaTheme="minorHAnsi"/>
          <w:lang w:eastAsia="en-US"/>
        </w:rPr>
        <w:br/>
      </w:r>
      <w:r w:rsidR="009661F1" w:rsidRPr="001A28D2">
        <w:rPr>
          <w:rFonts w:eastAsiaTheme="minorHAnsi"/>
          <w:lang w:eastAsia="en-US"/>
        </w:rPr>
        <w:t>(с 236 073,2 хил. лв. по-малко), при изпълнение на показателя 97,2 на сто.</w:t>
      </w:r>
    </w:p>
    <w:p w14:paraId="43671BB2" w14:textId="554BD788" w:rsidR="009661F1" w:rsidRPr="001A28D2" w:rsidRDefault="00AA0C74" w:rsidP="007E77CC">
      <w:pPr>
        <w:ind w:firstLine="709"/>
        <w:jc w:val="both"/>
        <w:rPr>
          <w:rFonts w:eastAsiaTheme="minorHAnsi"/>
          <w:lang w:eastAsia="en-US"/>
        </w:rPr>
      </w:pPr>
      <w:r w:rsidRPr="001A28D2">
        <w:rPr>
          <w:rFonts w:eastAsiaTheme="minorHAnsi"/>
          <w:lang w:eastAsia="en-US"/>
        </w:rPr>
        <w:t>3.1.</w:t>
      </w:r>
      <w:proofErr w:type="spellStart"/>
      <w:r w:rsidRPr="001A28D2">
        <w:rPr>
          <w:rFonts w:eastAsiaTheme="minorHAnsi"/>
          <w:lang w:eastAsia="en-US"/>
        </w:rPr>
        <w:t>1</w:t>
      </w:r>
      <w:proofErr w:type="spellEnd"/>
      <w:r w:rsidRPr="001A28D2">
        <w:rPr>
          <w:rFonts w:eastAsiaTheme="minorHAnsi"/>
          <w:lang w:eastAsia="en-US"/>
        </w:rPr>
        <w:t>.1.</w:t>
      </w:r>
      <w:r w:rsidR="009E64EC" w:rsidRPr="001A28D2">
        <w:rPr>
          <w:rFonts w:eastAsiaTheme="minorHAnsi"/>
          <w:lang w:eastAsia="en-US"/>
        </w:rPr>
        <w:t xml:space="preserve"> </w:t>
      </w:r>
      <w:r w:rsidR="009661F1" w:rsidRPr="001A28D2">
        <w:rPr>
          <w:rFonts w:eastAsiaTheme="minorHAnsi"/>
          <w:lang w:eastAsia="en-US"/>
        </w:rPr>
        <w:t>Текущите нелихвени разходи, в т.ч. персонал, субсидии и текущи трансфери, обезщетения и помощи за домакинствата (7 403 268,6 хил. лв.) са с</w:t>
      </w:r>
      <w:r w:rsidR="0078102D" w:rsidRPr="001A28D2">
        <w:rPr>
          <w:rFonts w:eastAsiaTheme="minorHAnsi"/>
          <w:lang w:eastAsia="en-US"/>
        </w:rPr>
        <w:t>ъс</w:t>
      </w:r>
      <w:r w:rsidR="009661F1" w:rsidRPr="001A28D2">
        <w:rPr>
          <w:rFonts w:eastAsiaTheme="minorHAnsi"/>
          <w:lang w:eastAsia="en-US"/>
        </w:rPr>
        <w:t xml:space="preserve"> 154 830,7 хил. лв. по-малко от приетите (7 558 099,3 хил. </w:t>
      </w:r>
      <w:r w:rsidR="00555EA3" w:rsidRPr="001A28D2">
        <w:rPr>
          <w:rFonts w:eastAsiaTheme="minorHAnsi"/>
          <w:lang w:eastAsia="en-US"/>
        </w:rPr>
        <w:t>л</w:t>
      </w:r>
      <w:r w:rsidR="009661F1" w:rsidRPr="001A28D2">
        <w:rPr>
          <w:rFonts w:eastAsiaTheme="minorHAnsi"/>
          <w:lang w:eastAsia="en-US"/>
        </w:rPr>
        <w:t>в.)</w:t>
      </w:r>
    </w:p>
    <w:p w14:paraId="659E5A12" w14:textId="67618E97" w:rsidR="009661F1" w:rsidRPr="001A28D2" w:rsidRDefault="00AA0C74" w:rsidP="007E77CC">
      <w:pPr>
        <w:ind w:firstLine="709"/>
        <w:jc w:val="both"/>
        <w:rPr>
          <w:rFonts w:eastAsiaTheme="minorHAnsi"/>
          <w:lang w:eastAsia="en-US"/>
        </w:rPr>
      </w:pPr>
      <w:r w:rsidRPr="001A28D2">
        <w:rPr>
          <w:rFonts w:eastAsiaTheme="minorHAnsi"/>
          <w:lang w:eastAsia="en-US"/>
        </w:rPr>
        <w:t>3.1.</w:t>
      </w:r>
      <w:proofErr w:type="spellStart"/>
      <w:r w:rsidRPr="001A28D2">
        <w:rPr>
          <w:rFonts w:eastAsiaTheme="minorHAnsi"/>
          <w:lang w:eastAsia="en-US"/>
        </w:rPr>
        <w:t>1</w:t>
      </w:r>
      <w:proofErr w:type="spellEnd"/>
      <w:r w:rsidRPr="001A28D2">
        <w:rPr>
          <w:rFonts w:eastAsiaTheme="minorHAnsi"/>
          <w:lang w:eastAsia="en-US"/>
        </w:rPr>
        <w:t>.2.</w:t>
      </w:r>
      <w:r w:rsidR="009E64EC" w:rsidRPr="001A28D2">
        <w:rPr>
          <w:rFonts w:eastAsiaTheme="minorHAnsi"/>
          <w:lang w:eastAsia="en-US"/>
        </w:rPr>
        <w:t xml:space="preserve"> </w:t>
      </w:r>
      <w:r w:rsidR="009661F1" w:rsidRPr="001A28D2">
        <w:rPr>
          <w:rFonts w:eastAsiaTheme="minorHAnsi"/>
          <w:lang w:eastAsia="en-US"/>
        </w:rPr>
        <w:t>По показателя „Лихви“ по ДБ, отчетените разходи в размер на 692 700,8 хил. лв. са с 81 242,5 хил. лв. по-малко от приетите със ЗДБРБ за 2016 г. Изпълнението на лихвените плащания е 89,5 на сто. Лихвите по външните заеми по ДБ са 428 030,1 хил. лв., а по вътрешните - 264 670,7 хил. лв.</w:t>
      </w:r>
    </w:p>
    <w:p w14:paraId="06F25FA6" w14:textId="32F2D769" w:rsidR="009661F1" w:rsidRPr="001A28D2" w:rsidRDefault="00AA0C74" w:rsidP="007E77CC">
      <w:pPr>
        <w:ind w:firstLine="709"/>
        <w:jc w:val="both"/>
        <w:rPr>
          <w:rFonts w:eastAsiaTheme="minorHAnsi"/>
          <w:lang w:eastAsia="en-US"/>
        </w:rPr>
      </w:pPr>
      <w:r w:rsidRPr="001A28D2">
        <w:rPr>
          <w:rFonts w:eastAsiaTheme="minorHAnsi"/>
          <w:lang w:eastAsia="en-US"/>
        </w:rPr>
        <w:lastRenderedPageBreak/>
        <w:t>3.1.</w:t>
      </w:r>
      <w:proofErr w:type="spellStart"/>
      <w:r w:rsidRPr="001A28D2">
        <w:rPr>
          <w:rFonts w:eastAsiaTheme="minorHAnsi"/>
          <w:lang w:eastAsia="en-US"/>
        </w:rPr>
        <w:t>1</w:t>
      </w:r>
      <w:proofErr w:type="spellEnd"/>
      <w:r w:rsidRPr="001A28D2">
        <w:rPr>
          <w:rFonts w:eastAsiaTheme="minorHAnsi"/>
          <w:lang w:eastAsia="en-US"/>
        </w:rPr>
        <w:t xml:space="preserve">.3. </w:t>
      </w:r>
      <w:r w:rsidR="009661F1" w:rsidRPr="001A28D2">
        <w:rPr>
          <w:rFonts w:eastAsiaTheme="minorHAnsi"/>
          <w:lang w:eastAsia="en-US"/>
        </w:rPr>
        <w:t>Разходите за персонал (3 791 512,4 хил. лв.) са с най-голям относителен дял в отчетените текущи разходи и са с 6 812,8 хил. лв. повече от определените със ЗДБРБ за 2016 г.</w:t>
      </w:r>
      <w:r w:rsidR="009661F1" w:rsidRPr="001A28D2">
        <w:rPr>
          <w:rFonts w:eastAsiaTheme="minorHAnsi"/>
          <w:vertAlign w:val="superscript"/>
          <w:lang w:eastAsia="en-US"/>
        </w:rPr>
        <w:footnoteReference w:id="18"/>
      </w:r>
    </w:p>
    <w:p w14:paraId="1B4C277E" w14:textId="77777777" w:rsidR="009661F1" w:rsidRPr="001A28D2" w:rsidRDefault="009661F1" w:rsidP="007E77CC">
      <w:pPr>
        <w:ind w:firstLine="709"/>
        <w:jc w:val="both"/>
        <w:rPr>
          <w:rFonts w:eastAsiaTheme="minorHAnsi"/>
          <w:lang w:eastAsia="en-US"/>
        </w:rPr>
      </w:pPr>
      <w:proofErr w:type="spellStart"/>
      <w:r w:rsidRPr="001A28D2">
        <w:rPr>
          <w:rFonts w:eastAsiaTheme="minorHAnsi"/>
          <w:lang w:eastAsia="en-US"/>
        </w:rPr>
        <w:t>Превишението</w:t>
      </w:r>
      <w:proofErr w:type="spellEnd"/>
      <w:r w:rsidRPr="001A28D2">
        <w:rPr>
          <w:rFonts w:eastAsiaTheme="minorHAnsi"/>
          <w:lang w:eastAsia="en-US"/>
        </w:rPr>
        <w:t xml:space="preserve"> на отчетените разходи за персонал спрямо утвърдените със ЗДБРБ за 2016 г. е на основание и във връзка с:</w:t>
      </w:r>
      <w:r w:rsidRPr="001A28D2">
        <w:rPr>
          <w:rFonts w:eastAsiaTheme="minorHAnsi"/>
          <w:vertAlign w:val="superscript"/>
          <w:lang w:eastAsia="en-US"/>
        </w:rPr>
        <w:footnoteReference w:id="19"/>
      </w:r>
    </w:p>
    <w:p w14:paraId="5393CB7D"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а) </w:t>
      </w:r>
      <w:r w:rsidR="009661F1" w:rsidRPr="001A28D2">
        <w:rPr>
          <w:rFonts w:eastAsiaTheme="minorHAnsi"/>
          <w:lang w:eastAsia="en-US"/>
        </w:rPr>
        <w:t>получените средства от помощи и дарения по международни договори и програми по чл. 81, ал. 5, т. 1 от ЗДБРБ за 2016 г.;</w:t>
      </w:r>
    </w:p>
    <w:p w14:paraId="67F25585"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б) </w:t>
      </w:r>
      <w:r w:rsidR="009661F1" w:rsidRPr="001A28D2">
        <w:rPr>
          <w:rFonts w:eastAsiaTheme="minorHAnsi"/>
          <w:lang w:eastAsia="en-US"/>
        </w:rPr>
        <w:t>разходи за социално-битово и културно обслужване на персонала с характер на възнаграждения по чл. 81, ал. 5, т. 2 от ЗДБРБ за 2016 г.;</w:t>
      </w:r>
    </w:p>
    <w:p w14:paraId="56C7CAB9"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в) </w:t>
      </w:r>
      <w:r w:rsidR="009661F1" w:rsidRPr="001A28D2">
        <w:rPr>
          <w:rFonts w:eastAsiaTheme="minorHAnsi"/>
          <w:lang w:eastAsia="en-US"/>
        </w:rPr>
        <w:t>получени трансфери от други бюджети по чл. 81, ал. 5, т. 3 от ЗДБРБ за 2016 г.;</w:t>
      </w:r>
    </w:p>
    <w:p w14:paraId="49B8FB44"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г) </w:t>
      </w:r>
      <w:r w:rsidR="009661F1" w:rsidRPr="001A28D2">
        <w:rPr>
          <w:rFonts w:eastAsiaTheme="minorHAnsi"/>
          <w:lang w:eastAsia="en-US"/>
        </w:rPr>
        <w:t>разходи за персонал на делегираните бюджети и целеви средства по програми за развитие на средното образование по чл.</w:t>
      </w:r>
      <w:r w:rsidR="00B34904" w:rsidRPr="001A28D2">
        <w:rPr>
          <w:rFonts w:eastAsiaTheme="minorHAnsi"/>
          <w:lang w:eastAsia="en-US"/>
        </w:rPr>
        <w:t> </w:t>
      </w:r>
      <w:r w:rsidR="009661F1" w:rsidRPr="001A28D2">
        <w:rPr>
          <w:rFonts w:eastAsiaTheme="minorHAnsi"/>
          <w:lang w:eastAsia="en-US"/>
        </w:rPr>
        <w:t>81, ал.</w:t>
      </w:r>
      <w:r w:rsidR="00B34904" w:rsidRPr="001A28D2">
        <w:rPr>
          <w:rFonts w:eastAsiaTheme="minorHAnsi"/>
          <w:lang w:eastAsia="en-US"/>
        </w:rPr>
        <w:t> </w:t>
      </w:r>
      <w:r w:rsidR="009661F1" w:rsidRPr="001A28D2">
        <w:rPr>
          <w:rFonts w:eastAsiaTheme="minorHAnsi"/>
          <w:lang w:eastAsia="en-US"/>
        </w:rPr>
        <w:t>5, т.</w:t>
      </w:r>
      <w:r w:rsidR="00B34904" w:rsidRPr="001A28D2">
        <w:rPr>
          <w:rFonts w:eastAsiaTheme="minorHAnsi"/>
          <w:lang w:eastAsia="en-US"/>
        </w:rPr>
        <w:t> </w:t>
      </w:r>
      <w:r w:rsidR="009661F1" w:rsidRPr="001A28D2">
        <w:rPr>
          <w:rFonts w:eastAsiaTheme="minorHAnsi"/>
          <w:lang w:eastAsia="en-US"/>
        </w:rPr>
        <w:t>4 от ЗДБРБ за 2016 г.;</w:t>
      </w:r>
    </w:p>
    <w:p w14:paraId="588C344C"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д) </w:t>
      </w:r>
      <w:r w:rsidR="009661F1" w:rsidRPr="001A28D2">
        <w:rPr>
          <w:rFonts w:eastAsiaTheme="minorHAnsi"/>
          <w:lang w:eastAsia="en-US"/>
        </w:rPr>
        <w:t>разходи за изпълнение на Националния план за действие по заетостта и за възнаграждения на приемните семейства по Закона за закрила на детето по чл.</w:t>
      </w:r>
      <w:r w:rsidR="00B34904" w:rsidRPr="001A28D2">
        <w:rPr>
          <w:rFonts w:eastAsiaTheme="minorHAnsi"/>
          <w:lang w:eastAsia="en-US"/>
        </w:rPr>
        <w:t> </w:t>
      </w:r>
      <w:r w:rsidR="009661F1" w:rsidRPr="001A28D2">
        <w:rPr>
          <w:rFonts w:eastAsiaTheme="minorHAnsi"/>
          <w:lang w:eastAsia="en-US"/>
        </w:rPr>
        <w:t>81, ал.</w:t>
      </w:r>
      <w:r w:rsidR="00B34904" w:rsidRPr="001A28D2">
        <w:rPr>
          <w:rFonts w:eastAsiaTheme="minorHAnsi"/>
          <w:lang w:eastAsia="en-US"/>
        </w:rPr>
        <w:t> </w:t>
      </w:r>
      <w:r w:rsidR="009661F1" w:rsidRPr="001A28D2">
        <w:rPr>
          <w:rFonts w:eastAsiaTheme="minorHAnsi"/>
          <w:lang w:eastAsia="en-US"/>
        </w:rPr>
        <w:t>5, т.</w:t>
      </w:r>
      <w:r w:rsidR="00B34904" w:rsidRPr="001A28D2">
        <w:rPr>
          <w:rFonts w:eastAsiaTheme="minorHAnsi"/>
          <w:lang w:eastAsia="en-US"/>
        </w:rPr>
        <w:t> </w:t>
      </w:r>
      <w:r w:rsidR="009661F1" w:rsidRPr="001A28D2">
        <w:rPr>
          <w:rFonts w:eastAsiaTheme="minorHAnsi"/>
          <w:lang w:eastAsia="en-US"/>
        </w:rPr>
        <w:t>5 от ЗДБРБ за 2016 г.;</w:t>
      </w:r>
    </w:p>
    <w:p w14:paraId="15BF2439"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е) </w:t>
      </w:r>
      <w:r w:rsidR="009661F1" w:rsidRPr="001A28D2">
        <w:rPr>
          <w:rFonts w:eastAsiaTheme="minorHAnsi"/>
          <w:lang w:eastAsia="en-US"/>
        </w:rPr>
        <w:t>проекти, финансирани със средства от Европейския съюз по чл.</w:t>
      </w:r>
      <w:r w:rsidR="00B34904" w:rsidRPr="001A28D2">
        <w:rPr>
          <w:rFonts w:eastAsiaTheme="minorHAnsi"/>
          <w:lang w:eastAsia="en-US"/>
        </w:rPr>
        <w:t> </w:t>
      </w:r>
      <w:r w:rsidR="009661F1" w:rsidRPr="001A28D2">
        <w:rPr>
          <w:rFonts w:eastAsiaTheme="minorHAnsi"/>
          <w:lang w:eastAsia="en-US"/>
        </w:rPr>
        <w:t>81, ал.</w:t>
      </w:r>
      <w:r w:rsidR="00B34904" w:rsidRPr="001A28D2">
        <w:rPr>
          <w:rFonts w:eastAsiaTheme="minorHAnsi"/>
          <w:lang w:eastAsia="en-US"/>
        </w:rPr>
        <w:t> </w:t>
      </w:r>
      <w:r w:rsidR="009661F1" w:rsidRPr="001A28D2">
        <w:rPr>
          <w:rFonts w:eastAsiaTheme="minorHAnsi"/>
          <w:lang w:eastAsia="en-US"/>
        </w:rPr>
        <w:t>5, т.</w:t>
      </w:r>
      <w:r w:rsidR="00B34904" w:rsidRPr="001A28D2">
        <w:rPr>
          <w:rFonts w:eastAsiaTheme="minorHAnsi"/>
          <w:lang w:eastAsia="en-US"/>
        </w:rPr>
        <w:t> </w:t>
      </w:r>
      <w:r w:rsidR="009661F1" w:rsidRPr="001A28D2">
        <w:rPr>
          <w:rFonts w:eastAsiaTheme="minorHAnsi"/>
          <w:lang w:eastAsia="en-US"/>
        </w:rPr>
        <w:t>6 от ЗДБРБ за 2016 г.;</w:t>
      </w:r>
    </w:p>
    <w:p w14:paraId="60DD65AA"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ж) </w:t>
      </w:r>
      <w:r w:rsidR="009661F1" w:rsidRPr="001A28D2">
        <w:rPr>
          <w:rFonts w:eastAsiaTheme="minorHAnsi"/>
          <w:lang w:eastAsia="en-US"/>
        </w:rPr>
        <w:t>разходи за подготовка на българското председателство на Съвета на ЕС през втората половина на 2018 г. по чл. 81, ал. 5, т. 6 от ЗДБРБ за 2016 г. (във връзка с настъпилите в международен аспект промени българското председателство на Съвета на ЕС е изместено в началото на 2018 г.);</w:t>
      </w:r>
    </w:p>
    <w:p w14:paraId="28920520" w14:textId="77777777" w:rsidR="009661F1" w:rsidRPr="001A28D2" w:rsidRDefault="00CF4459" w:rsidP="007E77CC">
      <w:pPr>
        <w:ind w:firstLine="709"/>
        <w:contextualSpacing/>
        <w:jc w:val="both"/>
        <w:rPr>
          <w:rFonts w:eastAsiaTheme="minorHAnsi"/>
          <w:lang w:eastAsia="en-US"/>
        </w:rPr>
      </w:pPr>
      <w:r w:rsidRPr="001A28D2">
        <w:rPr>
          <w:rFonts w:eastAsiaTheme="minorHAnsi"/>
          <w:lang w:eastAsia="en-US"/>
        </w:rPr>
        <w:t xml:space="preserve">з) </w:t>
      </w:r>
      <w:r w:rsidR="009661F1" w:rsidRPr="001A28D2">
        <w:rPr>
          <w:rFonts w:eastAsiaTheme="minorHAnsi"/>
          <w:lang w:eastAsia="en-US"/>
        </w:rPr>
        <w:t>разходи за възнаграждения при наемане на местни лица в дипломатическите представителства на РБ при условие на съкращаване на дългосрочно командировани служители в чужбина по чл. 81, ал. 5, т. 7 от ЗДБРБ за 2016 г.</w:t>
      </w:r>
    </w:p>
    <w:p w14:paraId="052CF624" w14:textId="0794A36A" w:rsidR="00B31ED0" w:rsidRPr="001A28D2" w:rsidRDefault="00B31ED0" w:rsidP="00B31ED0">
      <w:pPr>
        <w:ind w:firstLine="709"/>
        <w:jc w:val="both"/>
        <w:rPr>
          <w:rFonts w:eastAsiaTheme="minorHAnsi"/>
          <w:lang w:eastAsia="en-US"/>
        </w:rPr>
      </w:pPr>
      <w:r w:rsidRPr="001A28D2">
        <w:rPr>
          <w:rFonts w:eastAsiaTheme="minorHAnsi"/>
          <w:lang w:eastAsia="en-US"/>
        </w:rPr>
        <w:t xml:space="preserve">При 7 първостепенни разпоредители с бюджет не са извършвани промени на показателя „Разходи за персонал“ през 2016 г. Установено е </w:t>
      </w:r>
      <w:proofErr w:type="spellStart"/>
      <w:r w:rsidRPr="001A28D2">
        <w:rPr>
          <w:rFonts w:eastAsiaTheme="minorHAnsi"/>
          <w:lang w:eastAsia="en-US"/>
        </w:rPr>
        <w:t>превишение</w:t>
      </w:r>
      <w:proofErr w:type="spellEnd"/>
      <w:r w:rsidRPr="001A28D2">
        <w:rPr>
          <w:rStyle w:val="FootnoteReference"/>
          <w:rFonts w:eastAsiaTheme="minorHAnsi"/>
          <w:lang w:eastAsia="en-US"/>
        </w:rPr>
        <w:footnoteReference w:id="20"/>
      </w:r>
      <w:r w:rsidRPr="001A28D2">
        <w:rPr>
          <w:rFonts w:eastAsiaTheme="minorHAnsi"/>
          <w:lang w:eastAsia="en-US"/>
        </w:rPr>
        <w:t xml:space="preserve"> на отчетените разходи за персонал над уточнения план при 4 ПРБ – Министерството на културата</w:t>
      </w:r>
      <w:r w:rsidR="00AF4D4F" w:rsidRPr="001A28D2">
        <w:rPr>
          <w:rFonts w:eastAsiaTheme="minorHAnsi"/>
          <w:lang w:eastAsia="en-US"/>
        </w:rPr>
        <w:t xml:space="preserve"> (МК)</w:t>
      </w:r>
      <w:r w:rsidRPr="001A28D2">
        <w:rPr>
          <w:rFonts w:eastAsiaTheme="minorHAnsi"/>
          <w:lang w:eastAsia="en-US"/>
        </w:rPr>
        <w:t xml:space="preserve"> с 3 111,9 хил. лв. или с 3,5 на сто, при Министерството на земеделието и храните </w:t>
      </w:r>
      <w:r w:rsidR="00AF4D4F" w:rsidRPr="001A28D2">
        <w:rPr>
          <w:rFonts w:eastAsiaTheme="minorHAnsi"/>
          <w:lang w:eastAsia="en-US"/>
        </w:rPr>
        <w:t xml:space="preserve">(МЗХ) </w:t>
      </w:r>
      <w:r w:rsidRPr="001A28D2">
        <w:rPr>
          <w:rFonts w:eastAsiaTheme="minorHAnsi"/>
          <w:lang w:eastAsia="en-US"/>
        </w:rPr>
        <w:t xml:space="preserve">– с 1 514,9 хил. лв., или с 1,2 на сто; при Националната служба за охрана </w:t>
      </w:r>
      <w:r w:rsidR="00AF4D4F" w:rsidRPr="001A28D2">
        <w:rPr>
          <w:rFonts w:eastAsiaTheme="minorHAnsi"/>
          <w:lang w:eastAsia="en-US"/>
        </w:rPr>
        <w:t xml:space="preserve">(НСО) </w:t>
      </w:r>
      <w:r w:rsidRPr="001A28D2">
        <w:rPr>
          <w:rFonts w:eastAsiaTheme="minorHAnsi"/>
          <w:lang w:eastAsia="en-US"/>
        </w:rPr>
        <w:t xml:space="preserve">– с 847,9 хил. лв. или с 2,9 на сто и Държавна агенция „Държавен резерв и военновременни запаси“ с 57,3 хил. лв. или с 0,92 на сто. </w:t>
      </w:r>
    </w:p>
    <w:p w14:paraId="28EB7D00" w14:textId="77777777" w:rsidR="00B31ED0" w:rsidRPr="001A28D2" w:rsidRDefault="00B31ED0" w:rsidP="00B31ED0">
      <w:pPr>
        <w:ind w:firstLine="709"/>
        <w:jc w:val="both"/>
      </w:pPr>
      <w:r w:rsidRPr="001A28D2">
        <w:t xml:space="preserve">Причините за </w:t>
      </w:r>
      <w:proofErr w:type="spellStart"/>
      <w:r w:rsidRPr="001A28D2">
        <w:t>превишението</w:t>
      </w:r>
      <w:proofErr w:type="spellEnd"/>
      <w:r w:rsidRPr="001A28D2">
        <w:t xml:space="preserve"> на отчетените разходи за персонал спрямо уточнения план за 2016 г. са както следва:</w:t>
      </w:r>
      <w:r w:rsidRPr="001A28D2">
        <w:rPr>
          <w:rStyle w:val="FootnoteReference"/>
        </w:rPr>
        <w:footnoteReference w:id="21"/>
      </w:r>
    </w:p>
    <w:p w14:paraId="6D272C22" w14:textId="766030C8" w:rsidR="00B31ED0" w:rsidRPr="001A28D2" w:rsidRDefault="007213AA" w:rsidP="00B31ED0">
      <w:pPr>
        <w:ind w:firstLine="709"/>
        <w:jc w:val="both"/>
      </w:pPr>
      <w:r w:rsidRPr="001A28D2">
        <w:t>З</w:t>
      </w:r>
      <w:r w:rsidR="00B31ED0" w:rsidRPr="001A28D2">
        <w:t xml:space="preserve">а МК  спецификата на дейността, осъществявана от държавните културни институти в областта на сценичните изкуства - второстепенни разпоредители с бюджет към МК, налага наемането на творчески и технически персонал, на гостуващи актьори, режисьори и сценографи по </w:t>
      </w:r>
      <w:proofErr w:type="spellStart"/>
      <w:r w:rsidR="00B31ED0" w:rsidRPr="001A28D2">
        <w:t>извънтрудови</w:t>
      </w:r>
      <w:proofErr w:type="spellEnd"/>
      <w:r w:rsidR="00B31ED0" w:rsidRPr="001A28D2">
        <w:t xml:space="preserve"> правоотношения. Съгласно чл. 23б от Закона за закрила и развитие на културата, държавните културни институти, осъществяващи дейност в областта на сценичните изкуства (театри, оперно - филхармонични дружества, опери и оркестри и ансамбли, второстепенни разпоредители с бюджет към министъра на културата) прилагат система на делегирани бюджети, която дава право на директора на културния институт да се разпорежда самостоятелно със средствата на института и да </w:t>
      </w:r>
      <w:r w:rsidR="00B31ED0" w:rsidRPr="001A28D2">
        <w:lastRenderedPageBreak/>
        <w:t>извършва компенсирани промени на утвърдените с бюджета му приходи и разходи, като уведомява за това МК. През 2016 г. голяма част от директорите на държавните културни институти, осъществяващи дейност в областта на сценичните изкуства, не са извършвали компенсирани промени на утвърдените с бюджета разходи за персонал.</w:t>
      </w:r>
    </w:p>
    <w:p w14:paraId="12D50AF7" w14:textId="7B2CFF4A" w:rsidR="00B31ED0" w:rsidRPr="001A28D2" w:rsidRDefault="007213AA" w:rsidP="00B31ED0">
      <w:pPr>
        <w:ind w:firstLine="709"/>
        <w:jc w:val="both"/>
      </w:pPr>
      <w:r w:rsidRPr="001A28D2">
        <w:t xml:space="preserve">В </w:t>
      </w:r>
      <w:r w:rsidR="00B31ED0" w:rsidRPr="001A28D2">
        <w:t xml:space="preserve">МЗХ </w:t>
      </w:r>
      <w:proofErr w:type="spellStart"/>
      <w:r w:rsidR="00B31ED0" w:rsidRPr="001A28D2">
        <w:t>превишението</w:t>
      </w:r>
      <w:proofErr w:type="spellEnd"/>
      <w:r w:rsidR="00B31ED0" w:rsidRPr="001A28D2">
        <w:t xml:space="preserve"> на разходите за персонал над уточнения план за 2016 г. е във връзка с изплатени обезщетения на съкратен, напуснал и пенсиониран персонал в Селскостопанска академия, второстепенен разпоредител с бюджет к</w:t>
      </w:r>
      <w:r w:rsidR="00175098" w:rsidRPr="001A28D2">
        <w:t>ъ</w:t>
      </w:r>
      <w:r w:rsidR="00B31ED0" w:rsidRPr="001A28D2">
        <w:t>м МЗХ.</w:t>
      </w:r>
    </w:p>
    <w:p w14:paraId="12126DE4" w14:textId="657C4DC7" w:rsidR="00B31ED0" w:rsidRPr="001A28D2" w:rsidRDefault="003D1B9E" w:rsidP="00B31ED0">
      <w:pPr>
        <w:ind w:firstLine="709"/>
        <w:jc w:val="both"/>
      </w:pPr>
      <w:r w:rsidRPr="001A28D2">
        <w:t xml:space="preserve">В </w:t>
      </w:r>
      <w:r w:rsidR="00B31ED0" w:rsidRPr="001A28D2">
        <w:t>НСО като основна причина за отклонение</w:t>
      </w:r>
      <w:r w:rsidRPr="001A28D2">
        <w:t>то</w:t>
      </w:r>
      <w:r w:rsidR="00B31ED0" w:rsidRPr="001A28D2">
        <w:t xml:space="preserve"> е посочено покриването на дължимите обезщетения по Закона за Националната служба за охрана и по Кодекса на труда в размери, надвишаващи предварително планираните. Особеност при всички ведомства от сектор „Отбрана и сигурност“ е, че при планирането на разходите за обезщетения за база им служи само броя на служителите, които ще добият право на пенсия през годината</w:t>
      </w:r>
      <w:r w:rsidR="000C60F9" w:rsidRPr="001A28D2">
        <w:t>, но не и тези</w:t>
      </w:r>
      <w:r w:rsidR="00B31ED0" w:rsidRPr="001A28D2">
        <w:t xml:space="preserve">, които напускат, без да са придобили такова право, но на които също се дължат обезщетения, в зависимост от прослужените години в системата. </w:t>
      </w:r>
    </w:p>
    <w:p w14:paraId="680E743B" w14:textId="37CDA108" w:rsidR="00B31ED0" w:rsidRPr="001A28D2" w:rsidRDefault="003D1B9E" w:rsidP="00B31ED0">
      <w:pPr>
        <w:ind w:firstLine="709"/>
        <w:jc w:val="both"/>
      </w:pPr>
      <w:r w:rsidRPr="001A28D2">
        <w:t>В</w:t>
      </w:r>
      <w:r w:rsidR="00B31ED0" w:rsidRPr="001A28D2">
        <w:t xml:space="preserve"> Държавна агенция "Държавен резерв и военновременни запаси" </w:t>
      </w:r>
      <w:proofErr w:type="spellStart"/>
      <w:r w:rsidR="00B31ED0" w:rsidRPr="001A28D2">
        <w:t>превишението</w:t>
      </w:r>
      <w:proofErr w:type="spellEnd"/>
      <w:r w:rsidR="00B31ED0" w:rsidRPr="001A28D2">
        <w:t xml:space="preserve"> на разходите за персонал над уточнения план за 2016 г. е във връзка с изплатени обезщетения на съкратен персонал (основно при закриването на Териториална дирекция – гр. Стара Загора, където са съкратени 18 служители) и напуснали служители. Общ</w:t>
      </w:r>
      <w:r w:rsidR="008F2514" w:rsidRPr="001A28D2">
        <w:t>ият</w:t>
      </w:r>
      <w:r w:rsidR="00B31ED0" w:rsidRPr="001A28D2">
        <w:t xml:space="preserve"> брой на съкратени и напуснали служители през 2016 г. е 32 бр.</w:t>
      </w:r>
    </w:p>
    <w:p w14:paraId="04DB525A" w14:textId="5F63A01B" w:rsidR="009661F1" w:rsidRPr="001A28D2" w:rsidRDefault="00AA0C74" w:rsidP="007E77CC">
      <w:pPr>
        <w:ind w:firstLine="709"/>
        <w:jc w:val="both"/>
        <w:rPr>
          <w:rFonts w:eastAsiaTheme="minorHAnsi"/>
          <w:lang w:eastAsia="en-US"/>
        </w:rPr>
      </w:pPr>
      <w:r w:rsidRPr="001A28D2">
        <w:rPr>
          <w:rFonts w:eastAsiaTheme="minorHAnsi"/>
          <w:lang w:eastAsia="en-US"/>
        </w:rPr>
        <w:t>3.1.</w:t>
      </w:r>
      <w:proofErr w:type="spellStart"/>
      <w:r w:rsidRPr="001A28D2">
        <w:rPr>
          <w:rFonts w:eastAsiaTheme="minorHAnsi"/>
          <w:lang w:eastAsia="en-US"/>
        </w:rPr>
        <w:t>1</w:t>
      </w:r>
      <w:proofErr w:type="spellEnd"/>
      <w:r w:rsidRPr="001A28D2">
        <w:rPr>
          <w:rFonts w:eastAsiaTheme="minorHAnsi"/>
          <w:lang w:eastAsia="en-US"/>
        </w:rPr>
        <w:t>.4.</w:t>
      </w:r>
      <w:r w:rsidR="00152213" w:rsidRPr="001A28D2">
        <w:rPr>
          <w:rFonts w:eastAsiaTheme="minorHAnsi"/>
          <w:lang w:eastAsia="en-US"/>
        </w:rPr>
        <w:t xml:space="preserve"> </w:t>
      </w:r>
      <w:r w:rsidR="009661F1" w:rsidRPr="001A28D2">
        <w:rPr>
          <w:rFonts w:eastAsiaTheme="minorHAnsi"/>
          <w:lang w:eastAsia="en-US"/>
        </w:rPr>
        <w:t xml:space="preserve">Отчетени са предоставени субсидии (за нефинансови предприятия и за юридически лица с нестопанска цел) в размер на 894 719,5 хил. лв., които са с 23 024,9 хил. лв. повече от планираните. </w:t>
      </w:r>
    </w:p>
    <w:p w14:paraId="6CF3033C" w14:textId="77777777" w:rsidR="009661F1" w:rsidRPr="001A28D2" w:rsidRDefault="009661F1" w:rsidP="007E77CC">
      <w:pPr>
        <w:ind w:firstLine="709"/>
        <w:jc w:val="both"/>
        <w:rPr>
          <w:rFonts w:eastAsiaTheme="minorHAnsi"/>
          <w:lang w:eastAsia="en-US"/>
        </w:rPr>
      </w:pPr>
      <w:proofErr w:type="spellStart"/>
      <w:r w:rsidRPr="001A28D2">
        <w:rPr>
          <w:rFonts w:eastAsiaTheme="minorHAnsi"/>
          <w:lang w:eastAsia="en-US"/>
        </w:rPr>
        <w:t>Превишението</w:t>
      </w:r>
      <w:proofErr w:type="spellEnd"/>
      <w:r w:rsidRPr="001A28D2">
        <w:rPr>
          <w:rFonts w:eastAsiaTheme="minorHAnsi"/>
          <w:lang w:eastAsia="en-US"/>
        </w:rPr>
        <w:t xml:space="preserve"> на отчетените разходи за субсидии за нефинансови предприятия и за юридически лица с нестопанска цел по бюджетите на следните ПРБ спрямо утвърдените със ЗДБРБ за 2016 г. са във връзка с:</w:t>
      </w:r>
      <w:r w:rsidRPr="001A28D2">
        <w:rPr>
          <w:rFonts w:eastAsiaTheme="minorHAnsi"/>
          <w:vertAlign w:val="superscript"/>
          <w:lang w:eastAsia="en-US"/>
        </w:rPr>
        <w:t xml:space="preserve"> </w:t>
      </w:r>
      <w:r w:rsidRPr="001A28D2">
        <w:rPr>
          <w:rFonts w:eastAsiaTheme="minorHAnsi"/>
          <w:vertAlign w:val="superscript"/>
          <w:lang w:eastAsia="en-US"/>
        </w:rPr>
        <w:footnoteReference w:id="22"/>
      </w:r>
    </w:p>
    <w:p w14:paraId="41D00C02" w14:textId="0C18D077" w:rsidR="009661F1" w:rsidRPr="001A28D2" w:rsidRDefault="00923E99" w:rsidP="007E77CC">
      <w:pPr>
        <w:ind w:firstLine="709"/>
        <w:contextualSpacing/>
        <w:jc w:val="both"/>
        <w:rPr>
          <w:rFonts w:eastAsiaTheme="minorHAnsi"/>
          <w:lang w:eastAsia="en-US"/>
        </w:rPr>
      </w:pPr>
      <w:r w:rsidRPr="001A28D2">
        <w:rPr>
          <w:rFonts w:eastAsiaTheme="minorHAnsi"/>
          <w:lang w:eastAsia="en-US"/>
        </w:rPr>
        <w:t xml:space="preserve">а) </w:t>
      </w:r>
      <w:r w:rsidR="009661F1" w:rsidRPr="001A28D2">
        <w:rPr>
          <w:rFonts w:eastAsiaTheme="minorHAnsi"/>
          <w:lang w:eastAsia="en-US"/>
        </w:rPr>
        <w:t>М</w:t>
      </w:r>
      <w:r w:rsidR="008369C3" w:rsidRPr="001A28D2">
        <w:rPr>
          <w:rFonts w:eastAsiaTheme="minorHAnsi"/>
          <w:lang w:eastAsia="en-US"/>
        </w:rPr>
        <w:t>инистерство на здравеопазването (М</w:t>
      </w:r>
      <w:r w:rsidR="009661F1" w:rsidRPr="001A28D2">
        <w:rPr>
          <w:rFonts w:eastAsiaTheme="minorHAnsi"/>
          <w:lang w:eastAsia="en-US"/>
        </w:rPr>
        <w:t>З</w:t>
      </w:r>
      <w:r w:rsidR="008369C3" w:rsidRPr="001A28D2">
        <w:rPr>
          <w:rFonts w:eastAsiaTheme="minorHAnsi"/>
          <w:lang w:eastAsia="en-US"/>
        </w:rPr>
        <w:t>)</w:t>
      </w:r>
      <w:r w:rsidR="009661F1" w:rsidRPr="001A28D2">
        <w:rPr>
          <w:rFonts w:eastAsiaTheme="minorHAnsi"/>
          <w:lang w:eastAsia="en-US"/>
        </w:rPr>
        <w:t xml:space="preserve"> - извършени </w:t>
      </w:r>
      <w:proofErr w:type="spellStart"/>
      <w:r w:rsidR="009661F1" w:rsidRPr="001A28D2">
        <w:rPr>
          <w:rFonts w:eastAsiaTheme="minorHAnsi"/>
          <w:lang w:eastAsia="en-US"/>
        </w:rPr>
        <w:t>вътрешнокомпенсирани</w:t>
      </w:r>
      <w:proofErr w:type="spellEnd"/>
      <w:r w:rsidR="009661F1" w:rsidRPr="001A28D2">
        <w:rPr>
          <w:rFonts w:eastAsiaTheme="minorHAnsi"/>
          <w:lang w:eastAsia="en-US"/>
        </w:rPr>
        <w:t xml:space="preserve"> промени по бюджета на МЗ за осигуряване на дейностите, извършвани от лечебните заведения – търговски дружества, за които МЗ съгласно нормативен акт предоставя субсидии за болнична помощ;</w:t>
      </w:r>
    </w:p>
    <w:p w14:paraId="65698244" w14:textId="77777777" w:rsidR="009661F1" w:rsidRPr="001A28D2" w:rsidRDefault="00923E99" w:rsidP="007E77CC">
      <w:pPr>
        <w:ind w:firstLine="709"/>
        <w:contextualSpacing/>
        <w:jc w:val="both"/>
        <w:rPr>
          <w:rFonts w:eastAsiaTheme="minorHAnsi"/>
          <w:lang w:eastAsia="en-US"/>
        </w:rPr>
      </w:pPr>
      <w:r w:rsidRPr="001A28D2">
        <w:rPr>
          <w:rFonts w:eastAsiaTheme="minorHAnsi"/>
          <w:lang w:eastAsia="en-US"/>
        </w:rPr>
        <w:t xml:space="preserve">б) </w:t>
      </w:r>
      <w:r w:rsidR="002D6E61" w:rsidRPr="001A28D2">
        <w:rPr>
          <w:rFonts w:eastAsiaTheme="minorHAnsi"/>
          <w:lang w:eastAsia="en-US"/>
        </w:rPr>
        <w:t>Министерство на труда и социалната политика (</w:t>
      </w:r>
      <w:r w:rsidR="009661F1" w:rsidRPr="001A28D2">
        <w:rPr>
          <w:rFonts w:eastAsiaTheme="minorHAnsi"/>
          <w:lang w:eastAsia="en-US"/>
        </w:rPr>
        <w:t>МТСП</w:t>
      </w:r>
      <w:r w:rsidR="002D6E61" w:rsidRPr="001A28D2">
        <w:rPr>
          <w:rFonts w:eastAsiaTheme="minorHAnsi"/>
          <w:lang w:eastAsia="en-US"/>
        </w:rPr>
        <w:t>)</w:t>
      </w:r>
      <w:r w:rsidR="009661F1" w:rsidRPr="001A28D2">
        <w:rPr>
          <w:rFonts w:eastAsiaTheme="minorHAnsi"/>
          <w:lang w:eastAsia="en-US"/>
        </w:rPr>
        <w:t xml:space="preserve"> - извършени вътрешно компенсирани промени за сметка на разходен показател „Текущи трансфери, обезщетения и помощи за домакинствата“;</w:t>
      </w:r>
    </w:p>
    <w:p w14:paraId="1BB746DE" w14:textId="0A876014" w:rsidR="009661F1" w:rsidRPr="001A28D2" w:rsidRDefault="00923E99" w:rsidP="007E77CC">
      <w:pPr>
        <w:ind w:firstLine="709"/>
        <w:contextualSpacing/>
        <w:jc w:val="both"/>
        <w:rPr>
          <w:rFonts w:eastAsiaTheme="minorHAnsi"/>
          <w:lang w:eastAsia="en-US"/>
        </w:rPr>
      </w:pPr>
      <w:r w:rsidRPr="001A28D2">
        <w:rPr>
          <w:rFonts w:eastAsiaTheme="minorHAnsi"/>
          <w:lang w:eastAsia="en-US"/>
        </w:rPr>
        <w:t xml:space="preserve">в) </w:t>
      </w:r>
      <w:r w:rsidR="009661F1" w:rsidRPr="001A28D2">
        <w:rPr>
          <w:rFonts w:eastAsiaTheme="minorHAnsi"/>
          <w:lang w:eastAsia="en-US"/>
        </w:rPr>
        <w:t xml:space="preserve">Министерството на </w:t>
      </w:r>
      <w:proofErr w:type="spellStart"/>
      <w:r w:rsidR="009661F1" w:rsidRPr="001A28D2">
        <w:rPr>
          <w:rFonts w:eastAsiaTheme="minorHAnsi"/>
          <w:lang w:eastAsia="en-US"/>
        </w:rPr>
        <w:t>младежта</w:t>
      </w:r>
      <w:proofErr w:type="spellEnd"/>
      <w:r w:rsidR="009661F1" w:rsidRPr="001A28D2">
        <w:rPr>
          <w:rFonts w:eastAsiaTheme="minorHAnsi"/>
          <w:lang w:eastAsia="en-US"/>
        </w:rPr>
        <w:t xml:space="preserve"> и спорта – одобрени допълнителни разходи с актове на Министерския съвет</w:t>
      </w:r>
      <w:r w:rsidR="00C133D0" w:rsidRPr="001A28D2">
        <w:rPr>
          <w:rFonts w:eastAsiaTheme="minorHAnsi"/>
          <w:lang w:eastAsia="en-US"/>
        </w:rPr>
        <w:t xml:space="preserve"> (МС)</w:t>
      </w:r>
      <w:r w:rsidR="009661F1" w:rsidRPr="001A28D2">
        <w:rPr>
          <w:rFonts w:eastAsiaTheme="minorHAnsi"/>
          <w:lang w:eastAsia="en-US"/>
        </w:rPr>
        <w:t xml:space="preserve"> на основание чл. 109, ал. 3 от З</w:t>
      </w:r>
      <w:r w:rsidR="00B34904" w:rsidRPr="001A28D2">
        <w:rPr>
          <w:rFonts w:eastAsiaTheme="minorHAnsi"/>
          <w:lang w:eastAsia="en-US"/>
        </w:rPr>
        <w:t xml:space="preserve">ПФ </w:t>
      </w:r>
      <w:r w:rsidR="009661F1" w:rsidRPr="001A28D2">
        <w:rPr>
          <w:rFonts w:eastAsiaTheme="minorHAnsi"/>
          <w:lang w:eastAsia="en-US"/>
        </w:rPr>
        <w:t xml:space="preserve">и извършени промени по реда на чл. 110, ал. 1 от ЗПФ за увеличаване на разходите за сметка на наличности по банковата сметка за чужди средства по чл. 59б от Закона за физическото възпитание и спорта </w:t>
      </w:r>
      <w:r w:rsidR="00C30EF2" w:rsidRPr="001A28D2">
        <w:rPr>
          <w:rFonts w:eastAsiaTheme="minorHAnsi"/>
          <w:lang w:eastAsia="en-US"/>
        </w:rPr>
        <w:t>(</w:t>
      </w:r>
      <w:r w:rsidR="009661F1" w:rsidRPr="001A28D2">
        <w:rPr>
          <w:rFonts w:eastAsiaTheme="minorHAnsi"/>
          <w:lang w:eastAsia="en-US"/>
        </w:rPr>
        <w:t>съгл. § 15 от преходните и заключителните разпоредби на ЗПФ</w:t>
      </w:r>
      <w:r w:rsidR="00C30EF2" w:rsidRPr="001A28D2">
        <w:rPr>
          <w:rFonts w:eastAsiaTheme="minorHAnsi"/>
          <w:lang w:eastAsia="en-US"/>
        </w:rPr>
        <w:t>)</w:t>
      </w:r>
      <w:r w:rsidR="009661F1" w:rsidRPr="001A28D2">
        <w:rPr>
          <w:rFonts w:eastAsiaTheme="minorHAnsi"/>
          <w:lang w:eastAsia="en-US"/>
        </w:rPr>
        <w:t>;</w:t>
      </w:r>
    </w:p>
    <w:p w14:paraId="61267628" w14:textId="77777777" w:rsidR="009661F1" w:rsidRPr="001A28D2" w:rsidRDefault="00923E99" w:rsidP="007E77CC">
      <w:pPr>
        <w:ind w:firstLine="709"/>
        <w:contextualSpacing/>
        <w:jc w:val="both"/>
        <w:rPr>
          <w:rFonts w:eastAsiaTheme="minorHAnsi"/>
          <w:lang w:eastAsia="en-US"/>
        </w:rPr>
      </w:pPr>
      <w:r w:rsidRPr="001A28D2">
        <w:rPr>
          <w:rFonts w:eastAsiaTheme="minorHAnsi"/>
          <w:lang w:eastAsia="en-US"/>
        </w:rPr>
        <w:t xml:space="preserve">г) </w:t>
      </w:r>
      <w:r w:rsidR="009661F1" w:rsidRPr="001A28D2">
        <w:rPr>
          <w:rFonts w:eastAsiaTheme="minorHAnsi"/>
          <w:lang w:eastAsia="en-US"/>
        </w:rPr>
        <w:t>Държавен фонд „Земеделие“ - разходи за плащания на средства по държавни помощи и национални доплащания към Директни плащания на юридически лица с нестопанска цел по бюджетна програма „Държавни помощи, национални доплащания и САПАРД“. За тези плащания по бюджета на ДФ „Земеделие“ за 2016 г. са извършени вътрешно компенсирани промени по реда на чл. 112, ал. 2 от ЗПФ. Същите са разходи за плащания, възникнали на база съдебни решения;</w:t>
      </w:r>
    </w:p>
    <w:p w14:paraId="1B8FCFA0" w14:textId="4217E4A8" w:rsidR="009661F1" w:rsidRPr="001A28D2" w:rsidRDefault="00923E99" w:rsidP="007E77CC">
      <w:pPr>
        <w:ind w:firstLine="709"/>
        <w:contextualSpacing/>
        <w:jc w:val="both"/>
        <w:rPr>
          <w:rFonts w:eastAsiaTheme="minorHAnsi"/>
          <w:lang w:eastAsia="en-US"/>
        </w:rPr>
      </w:pPr>
      <w:r w:rsidRPr="001A28D2">
        <w:rPr>
          <w:rFonts w:eastAsiaTheme="minorHAnsi"/>
          <w:lang w:eastAsia="en-US"/>
        </w:rPr>
        <w:lastRenderedPageBreak/>
        <w:t xml:space="preserve">д) </w:t>
      </w:r>
      <w:r w:rsidR="009661F1" w:rsidRPr="001A28D2">
        <w:rPr>
          <w:rFonts w:eastAsiaTheme="minorHAnsi"/>
          <w:lang w:eastAsia="en-US"/>
        </w:rPr>
        <w:t>Министерския съвет</w:t>
      </w:r>
      <w:r w:rsidR="00F81EE9" w:rsidRPr="001A28D2">
        <w:rPr>
          <w:rFonts w:eastAsiaTheme="minorHAnsi"/>
          <w:lang w:eastAsia="en-US"/>
        </w:rPr>
        <w:t xml:space="preserve"> </w:t>
      </w:r>
      <w:r w:rsidR="009661F1" w:rsidRPr="001A28D2">
        <w:rPr>
          <w:rFonts w:eastAsiaTheme="minorHAnsi"/>
          <w:lang w:eastAsia="en-US"/>
        </w:rPr>
        <w:t xml:space="preserve">- </w:t>
      </w:r>
      <w:proofErr w:type="spellStart"/>
      <w:r w:rsidR="009661F1" w:rsidRPr="001A28D2">
        <w:rPr>
          <w:rFonts w:eastAsiaTheme="minorHAnsi"/>
          <w:lang w:eastAsia="en-US"/>
        </w:rPr>
        <w:t>вътрешнокомпенсирани</w:t>
      </w:r>
      <w:proofErr w:type="spellEnd"/>
      <w:r w:rsidR="009661F1" w:rsidRPr="001A28D2">
        <w:rPr>
          <w:rFonts w:eastAsiaTheme="minorHAnsi"/>
          <w:lang w:eastAsia="en-US"/>
        </w:rPr>
        <w:t xml:space="preserve"> промени</w:t>
      </w:r>
      <w:r w:rsidR="009661F1" w:rsidRPr="001A28D2">
        <w:rPr>
          <w:rFonts w:eastAsiaTheme="minorHAnsi"/>
          <w:vertAlign w:val="superscript"/>
          <w:lang w:eastAsia="en-US"/>
        </w:rPr>
        <w:footnoteReference w:id="23"/>
      </w:r>
      <w:r w:rsidR="009661F1" w:rsidRPr="001A28D2">
        <w:rPr>
          <w:rFonts w:eastAsiaTheme="minorHAnsi"/>
          <w:lang w:eastAsia="en-US"/>
        </w:rPr>
        <w:t xml:space="preserve"> и одобрени допълнителни разходи по „Политика в областта на правото на вероизповедание”, бюджетна програма „Вероизповедания”.</w:t>
      </w:r>
      <w:r w:rsidR="009661F1" w:rsidRPr="001A28D2">
        <w:rPr>
          <w:rFonts w:eastAsiaTheme="minorHAnsi"/>
          <w:vertAlign w:val="superscript"/>
          <w:lang w:eastAsia="en-US"/>
        </w:rPr>
        <w:footnoteReference w:id="24"/>
      </w:r>
    </w:p>
    <w:p w14:paraId="771CE099" w14:textId="51D90321" w:rsidR="00B34904" w:rsidRPr="001A28D2" w:rsidRDefault="00AA0C74" w:rsidP="007E77CC">
      <w:pPr>
        <w:ind w:firstLine="709"/>
        <w:jc w:val="both"/>
        <w:rPr>
          <w:rFonts w:eastAsiaTheme="minorHAnsi"/>
          <w:lang w:eastAsia="en-US"/>
        </w:rPr>
      </w:pPr>
      <w:r w:rsidRPr="001A28D2">
        <w:rPr>
          <w:rFonts w:eastAsiaTheme="minorHAnsi"/>
          <w:lang w:eastAsia="en-US"/>
        </w:rPr>
        <w:t>3.1.</w:t>
      </w:r>
      <w:proofErr w:type="spellStart"/>
      <w:r w:rsidRPr="001A28D2">
        <w:rPr>
          <w:rFonts w:eastAsiaTheme="minorHAnsi"/>
          <w:lang w:eastAsia="en-US"/>
        </w:rPr>
        <w:t>1</w:t>
      </w:r>
      <w:proofErr w:type="spellEnd"/>
      <w:r w:rsidRPr="001A28D2">
        <w:rPr>
          <w:rFonts w:eastAsiaTheme="minorHAnsi"/>
          <w:lang w:eastAsia="en-US"/>
        </w:rPr>
        <w:t xml:space="preserve">.5. </w:t>
      </w:r>
      <w:r w:rsidR="009661F1" w:rsidRPr="001A28D2">
        <w:rPr>
          <w:rFonts w:eastAsiaTheme="minorHAnsi"/>
          <w:lang w:eastAsia="en-US"/>
        </w:rPr>
        <w:t xml:space="preserve">Отчетените „Текущи трансфери, обезщетения и помощи за домакинствата“ по ДБ в размер на 943 304,5 хил. лв. са със 115 299,2 хил. лв. по-малко от приетите със ЗДБРБ за 2016 г. </w:t>
      </w:r>
    </w:p>
    <w:p w14:paraId="29E1459E" w14:textId="77777777" w:rsidR="009661F1" w:rsidRPr="001A28D2" w:rsidRDefault="009661F1" w:rsidP="007E77CC">
      <w:pPr>
        <w:ind w:firstLine="709"/>
        <w:jc w:val="both"/>
        <w:rPr>
          <w:rFonts w:eastAsiaTheme="minorHAnsi"/>
          <w:lang w:eastAsia="en-US"/>
        </w:rPr>
      </w:pPr>
      <w:r w:rsidRPr="001A28D2">
        <w:rPr>
          <w:rFonts w:eastAsiaTheme="minorHAnsi"/>
          <w:lang w:eastAsia="en-US"/>
        </w:rPr>
        <w:t>Приетите със ЗДБРБ за 2016 г. и включени в отчета 4 разходни показател</w:t>
      </w:r>
      <w:r w:rsidR="0078102D" w:rsidRPr="001A28D2">
        <w:rPr>
          <w:rFonts w:eastAsiaTheme="minorHAnsi"/>
          <w:lang w:eastAsia="en-US"/>
        </w:rPr>
        <w:t>и</w:t>
      </w:r>
      <w:r w:rsidRPr="001A28D2">
        <w:rPr>
          <w:rFonts w:eastAsiaTheme="minorHAnsi"/>
          <w:lang w:eastAsia="en-US"/>
        </w:rPr>
        <w:t xml:space="preserve"> обхващат 78,1 на сто от текущите разходи по ДБ. Освен тях в общата стойност на показателя „Текущи разходи“ се съдържат по закон </w:t>
      </w:r>
      <w:r w:rsidR="00B34904" w:rsidRPr="001A28D2">
        <w:rPr>
          <w:rFonts w:eastAsiaTheme="minorHAnsi"/>
          <w:lang w:eastAsia="en-US"/>
        </w:rPr>
        <w:t xml:space="preserve">в размер на </w:t>
      </w:r>
      <w:r w:rsidRPr="001A28D2">
        <w:rPr>
          <w:rFonts w:eastAsiaTheme="minorHAnsi"/>
          <w:lang w:eastAsia="en-US"/>
        </w:rPr>
        <w:t xml:space="preserve">1 843 101,4 хил. лв. и по отчет </w:t>
      </w:r>
      <w:r w:rsidR="00B34904" w:rsidRPr="001A28D2">
        <w:rPr>
          <w:rFonts w:eastAsiaTheme="minorHAnsi"/>
          <w:lang w:eastAsia="en-US"/>
        </w:rPr>
        <w:t xml:space="preserve">в размер на </w:t>
      </w:r>
      <w:r w:rsidRPr="001A28D2">
        <w:rPr>
          <w:rFonts w:eastAsiaTheme="minorHAnsi"/>
          <w:lang w:eastAsia="en-US"/>
        </w:rPr>
        <w:t xml:space="preserve">1 773 732,2 хил. лв. разходи, които по икономическия си характер са свързани с издръжка на бюджетните организации, стипендии, членски внос, участие в международни организации и други. </w:t>
      </w:r>
    </w:p>
    <w:p w14:paraId="423897F0" w14:textId="03FFA2F2" w:rsidR="009661F1" w:rsidRPr="001A28D2" w:rsidRDefault="00AA0C74" w:rsidP="007E77CC">
      <w:pPr>
        <w:ind w:firstLine="709"/>
        <w:jc w:val="both"/>
        <w:rPr>
          <w:rFonts w:eastAsiaTheme="minorHAnsi"/>
          <w:lang w:eastAsia="en-US"/>
        </w:rPr>
      </w:pPr>
      <w:r w:rsidRPr="001A28D2">
        <w:rPr>
          <w:rFonts w:eastAsiaTheme="minorHAnsi"/>
          <w:lang w:eastAsia="en-US"/>
        </w:rPr>
        <w:t xml:space="preserve">3.1.2. </w:t>
      </w:r>
      <w:r w:rsidR="009661F1" w:rsidRPr="001A28D2">
        <w:rPr>
          <w:rFonts w:eastAsiaTheme="minorHAnsi"/>
          <w:lang w:eastAsia="en-US"/>
        </w:rPr>
        <w:t>В отчета за изпълнението на ДБ за 2016 г. са отразени капиталови разходи в размер на 1 974 946,3 хил. лв., като изпълнението на показателя е 78,6 на сто от планираното.</w:t>
      </w:r>
    </w:p>
    <w:p w14:paraId="1029AE5A" w14:textId="6EC2D8BE" w:rsidR="00CB7F30" w:rsidRPr="001A28D2" w:rsidRDefault="00CB7F30" w:rsidP="007E77CC">
      <w:pPr>
        <w:spacing w:line="259" w:lineRule="auto"/>
        <w:ind w:firstLine="709"/>
        <w:jc w:val="both"/>
      </w:pPr>
      <w:r w:rsidRPr="001A28D2">
        <w:t>3.1.</w:t>
      </w:r>
      <w:r w:rsidR="00AA0C74" w:rsidRPr="001A28D2">
        <w:t>2.</w:t>
      </w:r>
      <w:r w:rsidRPr="001A28D2">
        <w:t>1.</w:t>
      </w:r>
      <w:r w:rsidR="00C30EF2" w:rsidRPr="001A28D2">
        <w:t xml:space="preserve"> </w:t>
      </w:r>
      <w:r w:rsidRPr="001A28D2">
        <w:t xml:space="preserve">Капиталови разходи за ПРБ, прилагащи </w:t>
      </w:r>
      <w:r w:rsidRPr="001A28D2">
        <w:rPr>
          <w:iCs/>
        </w:rPr>
        <w:t>програмен формат</w:t>
      </w:r>
      <w:r w:rsidRPr="001A28D2">
        <w:t xml:space="preserve"> на </w:t>
      </w:r>
      <w:r w:rsidRPr="001A28D2">
        <w:rPr>
          <w:iCs/>
        </w:rPr>
        <w:t>бюджет</w:t>
      </w:r>
    </w:p>
    <w:p w14:paraId="2A127635" w14:textId="77777777" w:rsidR="00CB7F30" w:rsidRPr="001A28D2" w:rsidRDefault="00CB7F30" w:rsidP="007E77CC">
      <w:pPr>
        <w:autoSpaceDE w:val="0"/>
        <w:autoSpaceDN w:val="0"/>
        <w:adjustRightInd w:val="0"/>
        <w:ind w:firstLine="709"/>
        <w:jc w:val="both"/>
      </w:pPr>
      <w:r w:rsidRPr="001A28D2">
        <w:t>Със ЗДБРБ за 2016 г. са планирани капиталови разходи в размер на 2 511 887,9 хил. лв.</w:t>
      </w:r>
      <w:r w:rsidRPr="001A28D2">
        <w:rPr>
          <w:rStyle w:val="FootnoteReference"/>
        </w:rPr>
        <w:footnoteReference w:id="25"/>
      </w:r>
      <w:r w:rsidRPr="001A28D2">
        <w:t xml:space="preserve"> От тях 2 101 987,6 хил. лв. са предвидени по централния бюджет за 2016 г., като същите се разпределят</w:t>
      </w:r>
      <w:r w:rsidRPr="001A28D2">
        <w:rPr>
          <w:rStyle w:val="FootnoteReference"/>
        </w:rPr>
        <w:footnoteReference w:id="26"/>
      </w:r>
      <w:r w:rsidRPr="001A28D2">
        <w:t xml:space="preserve"> по бюджетите на съответните ПРБ и по области на политики/функционални области и по бюджетни програми.</w:t>
      </w:r>
      <w:r w:rsidRPr="001A28D2">
        <w:rPr>
          <w:rStyle w:val="FootnoteReference"/>
        </w:rPr>
        <w:footnoteReference w:id="27"/>
      </w:r>
    </w:p>
    <w:p w14:paraId="214D9BFC" w14:textId="77777777" w:rsidR="00CB7F30" w:rsidRPr="001A28D2" w:rsidRDefault="00CB7F30" w:rsidP="007E77CC">
      <w:pPr>
        <w:autoSpaceDE w:val="0"/>
        <w:autoSpaceDN w:val="0"/>
        <w:adjustRightInd w:val="0"/>
        <w:ind w:firstLine="709"/>
        <w:jc w:val="both"/>
      </w:pPr>
      <w:r w:rsidRPr="001A28D2">
        <w:t>Утвърдените от МС капиталови разходи по области на политики и програми възлизат на 393 651,4 хил. лв. и се разпределят между 23 ПРБ, прилагащи програмен формат на бюджета, в 57 политики. За 23 първостепенните разпоредители, неприлагащи програмен формат на бюджет са утвърдени 16 248,9 хил. лв. капиталови разходи.</w:t>
      </w:r>
      <w:r w:rsidRPr="001A28D2">
        <w:rPr>
          <w:rStyle w:val="FootnoteReference"/>
        </w:rPr>
        <w:footnoteReference w:id="28"/>
      </w:r>
    </w:p>
    <w:p w14:paraId="3965C606" w14:textId="6BEA7B9D" w:rsidR="00CB7F30" w:rsidRPr="001A28D2" w:rsidRDefault="00CB7F30" w:rsidP="007E77CC">
      <w:pPr>
        <w:autoSpaceDE w:val="0"/>
        <w:autoSpaceDN w:val="0"/>
        <w:adjustRightInd w:val="0"/>
        <w:ind w:firstLine="709"/>
        <w:jc w:val="both"/>
      </w:pPr>
      <w:r w:rsidRPr="001A28D2">
        <w:t>По уточнен план общата сума на капиталовите разходи за бюджетните организации, прилагащи програмен формат на бюджета, възлиза на 1 852 672,4 хил. лв. Отчетени са 1 814 381,4 хил. лв. или с 38 291 хил. лв. по-малко от уточнения план. От два от тях -</w:t>
      </w:r>
      <w:r w:rsidR="000E41D0" w:rsidRPr="001A28D2">
        <w:t xml:space="preserve"> </w:t>
      </w:r>
      <w:r w:rsidR="0078102D" w:rsidRPr="001A28D2">
        <w:t xml:space="preserve">МК </w:t>
      </w:r>
      <w:r w:rsidRPr="001A28D2">
        <w:t xml:space="preserve">и </w:t>
      </w:r>
      <w:r w:rsidR="0078102D" w:rsidRPr="001A28D2">
        <w:t>МЗХ</w:t>
      </w:r>
      <w:r w:rsidR="000E41D0" w:rsidRPr="001A28D2">
        <w:t>,</w:t>
      </w:r>
      <w:r w:rsidR="0078102D" w:rsidRPr="001A28D2">
        <w:t xml:space="preserve"> </w:t>
      </w:r>
      <w:r w:rsidRPr="001A28D2">
        <w:t xml:space="preserve">са отчетени превишения спрямо уточнения план – с 510,8 хил. лв. и с 4,3 хил. лв. </w:t>
      </w:r>
      <w:proofErr w:type="spellStart"/>
      <w:r w:rsidRPr="001A28D2">
        <w:t>Превишението</w:t>
      </w:r>
      <w:proofErr w:type="spellEnd"/>
      <w:r w:rsidRPr="001A28D2">
        <w:t>, отчетено от МК</w:t>
      </w:r>
      <w:r w:rsidR="006A08C0" w:rsidRPr="001A28D2">
        <w:t>,</w:t>
      </w:r>
      <w:r w:rsidRPr="001A28D2">
        <w:t xml:space="preserve"> се дължи на неправилно отчетени разходи за </w:t>
      </w:r>
      <w:proofErr w:type="spellStart"/>
      <w:r w:rsidRPr="001A28D2">
        <w:t>консервационно-реставрационни</w:t>
      </w:r>
      <w:proofErr w:type="spellEnd"/>
      <w:r w:rsidRPr="001A28D2">
        <w:t xml:space="preserve"> и строително-монтажни работи на обект „Голямата базилика с архиепископия – манастир, град Плиска“. Направени са корекции след края на бюджетната година и поради това са отчетени по-високи капиталови разходи. </w:t>
      </w:r>
      <w:proofErr w:type="spellStart"/>
      <w:r w:rsidRPr="001A28D2">
        <w:t>Превишението</w:t>
      </w:r>
      <w:proofErr w:type="spellEnd"/>
      <w:r w:rsidRPr="001A28D2">
        <w:t>, извършено от МЗХ</w:t>
      </w:r>
      <w:r w:rsidR="0052403C" w:rsidRPr="001A28D2">
        <w:t>,</w:t>
      </w:r>
      <w:r w:rsidRPr="001A28D2">
        <w:t xml:space="preserve"> се дължи на </w:t>
      </w:r>
      <w:proofErr w:type="spellStart"/>
      <w:r w:rsidRPr="001A28D2">
        <w:t>прекласифициран</w:t>
      </w:r>
      <w:r w:rsidR="000E41D0" w:rsidRPr="001A28D2">
        <w:t>е</w:t>
      </w:r>
      <w:proofErr w:type="spellEnd"/>
      <w:r w:rsidRPr="001A28D2">
        <w:t xml:space="preserve"> в годишния отчет на </w:t>
      </w:r>
      <w:r w:rsidRPr="001A28D2">
        <w:lastRenderedPageBreak/>
        <w:t>разходи</w:t>
      </w:r>
      <w:r w:rsidR="000E41D0" w:rsidRPr="001A28D2">
        <w:t>,</w:t>
      </w:r>
      <w:r w:rsidRPr="001A28D2">
        <w:t xml:space="preserve"> като текущ ремонт от Българска агенция по безопасност на храните в разходи за придобиване на дълготрайни материални активи.</w:t>
      </w:r>
      <w:r w:rsidRPr="001A28D2">
        <w:rPr>
          <w:rStyle w:val="FootnoteReference"/>
        </w:rPr>
        <w:t xml:space="preserve"> </w:t>
      </w:r>
      <w:r w:rsidRPr="001A28D2">
        <w:rPr>
          <w:rStyle w:val="FootnoteReference"/>
        </w:rPr>
        <w:footnoteReference w:id="29"/>
      </w:r>
    </w:p>
    <w:p w14:paraId="106AA5DB" w14:textId="54114DCB" w:rsidR="00CB7F30" w:rsidRPr="001A28D2" w:rsidRDefault="00CB7F30" w:rsidP="007E77CC">
      <w:pPr>
        <w:ind w:firstLine="709"/>
        <w:jc w:val="both"/>
      </w:pPr>
      <w:r w:rsidRPr="001A28D2">
        <w:t>С ПМС №</w:t>
      </w:r>
      <w:r w:rsidR="00B73FAB" w:rsidRPr="001A28D2">
        <w:t> </w:t>
      </w:r>
      <w:r w:rsidRPr="001A28D2">
        <w:t>18 от 02.</w:t>
      </w:r>
      <w:proofErr w:type="spellStart"/>
      <w:r w:rsidRPr="001A28D2">
        <w:t>02</w:t>
      </w:r>
      <w:proofErr w:type="spellEnd"/>
      <w:r w:rsidRPr="001A28D2">
        <w:t>.2015</w:t>
      </w:r>
      <w:r w:rsidR="00B73FAB" w:rsidRPr="001A28D2">
        <w:t> </w:t>
      </w:r>
      <w:r w:rsidRPr="001A28D2">
        <w:t xml:space="preserve">г. е приета „Национална програма за енергийна ефективност на </w:t>
      </w:r>
      <w:proofErr w:type="spellStart"/>
      <w:r w:rsidRPr="001A28D2">
        <w:t>многофамилните</w:t>
      </w:r>
      <w:proofErr w:type="spellEnd"/>
      <w:r w:rsidRPr="001A28D2">
        <w:t xml:space="preserve"> жилищни сгради“, определени са условията и редът за предоставяне на безвъзмездна финансова помощ по програмата, определени са органите, отговорни за реализацията й, като </w:t>
      </w:r>
      <w:r w:rsidR="006F6FED" w:rsidRPr="001A28D2">
        <w:t>МРРБ</w:t>
      </w:r>
      <w:r w:rsidRPr="001A28D2">
        <w:t xml:space="preserve"> е определено за координатор на процеса по предоставяне на безвъзмездната финансова помощ.</w:t>
      </w:r>
      <w:r w:rsidRPr="001A28D2">
        <w:rPr>
          <w:vertAlign w:val="superscript"/>
        </w:rPr>
        <w:footnoteReference w:id="30"/>
      </w:r>
      <w:r w:rsidRPr="001A28D2">
        <w:t xml:space="preserve"> В рамките на бюджетната процедура за съответната година координаторът трябва да планира средствата за помощта за включване в държавния бюджет и средносрочната бюджетна прогноза.</w:t>
      </w:r>
      <w:r w:rsidRPr="001A28D2">
        <w:rPr>
          <w:rStyle w:val="FootnoteReference"/>
        </w:rPr>
        <w:footnoteReference w:id="31"/>
      </w:r>
      <w:r w:rsidRPr="001A28D2">
        <w:t xml:space="preserve"> Съгласно разпоредбите на </w:t>
      </w:r>
      <w:r w:rsidR="000E41D0" w:rsidRPr="001A28D2">
        <w:t>ЗПФ</w:t>
      </w:r>
      <w:r w:rsidRPr="001A28D2">
        <w:t>, не се допуска започването на програми или проекти, разходите за които не са предвидени в закона за държавния бюджет,</w:t>
      </w:r>
      <w:r w:rsidRPr="001A28D2">
        <w:rPr>
          <w:rStyle w:val="FootnoteReference"/>
        </w:rPr>
        <w:footnoteReference w:id="32"/>
      </w:r>
      <w:r w:rsidRPr="001A28D2">
        <w:t xml:space="preserve"> а съгласно постановлението за приемането на Националната програма, разходите за безвъзмездна финансова помощ за следващите години следва да се предвиждат по ЦБ за съответната година.</w:t>
      </w:r>
      <w:r w:rsidRPr="001A28D2">
        <w:rPr>
          <w:rStyle w:val="FootnoteReference"/>
        </w:rPr>
        <w:footnoteReference w:id="33"/>
      </w:r>
    </w:p>
    <w:p w14:paraId="66697595" w14:textId="79424E78" w:rsidR="00CB7F30" w:rsidRPr="001A28D2" w:rsidRDefault="00CB7F30" w:rsidP="007E77CC">
      <w:pPr>
        <w:ind w:firstLine="709"/>
        <w:jc w:val="both"/>
      </w:pPr>
      <w:r w:rsidRPr="001A28D2">
        <w:rPr>
          <w:color w:val="000000"/>
          <w:spacing w:val="2"/>
        </w:rPr>
        <w:t xml:space="preserve">В началото на 2016 г. по </w:t>
      </w:r>
      <w:r w:rsidR="000E41D0" w:rsidRPr="001A28D2">
        <w:rPr>
          <w:color w:val="000000"/>
          <w:spacing w:val="2"/>
        </w:rPr>
        <w:t>ЦБ</w:t>
      </w:r>
      <w:r w:rsidRPr="001A28D2">
        <w:rPr>
          <w:color w:val="000000"/>
          <w:spacing w:val="2"/>
        </w:rPr>
        <w:t xml:space="preserve"> са предвидени</w:t>
      </w:r>
      <w:r w:rsidRPr="001A28D2">
        <w:rPr>
          <w:rStyle w:val="FootnoteReference"/>
          <w:color w:val="000000"/>
          <w:spacing w:val="2"/>
        </w:rPr>
        <w:footnoteReference w:id="34"/>
      </w:r>
      <w:r w:rsidRPr="001A28D2">
        <w:rPr>
          <w:color w:val="000000"/>
          <w:spacing w:val="2"/>
        </w:rPr>
        <w:t xml:space="preserve"> капиталови разходи в размер на 100 000,0 хил. лв. за безвъзмездна финансова помощ по </w:t>
      </w:r>
      <w:r w:rsidR="0065633E" w:rsidRPr="001A28D2">
        <w:rPr>
          <w:color w:val="000000"/>
          <w:spacing w:val="2"/>
        </w:rPr>
        <w:t>„</w:t>
      </w:r>
      <w:r w:rsidRPr="001A28D2">
        <w:rPr>
          <w:color w:val="000000"/>
          <w:spacing w:val="2"/>
        </w:rPr>
        <w:t>Н</w:t>
      </w:r>
      <w:r w:rsidRPr="001A28D2">
        <w:t xml:space="preserve">ационална програма за енергийна ефективност на </w:t>
      </w:r>
      <w:proofErr w:type="spellStart"/>
      <w:r w:rsidRPr="001A28D2">
        <w:t>многофамилните</w:t>
      </w:r>
      <w:proofErr w:type="spellEnd"/>
      <w:r w:rsidRPr="001A28D2">
        <w:t xml:space="preserve"> жилищни сгради</w:t>
      </w:r>
      <w:r w:rsidR="0065633E" w:rsidRPr="001A28D2">
        <w:t>“</w:t>
      </w:r>
      <w:r w:rsidRPr="001A28D2">
        <w:t>.</w:t>
      </w:r>
      <w:r w:rsidRPr="001A28D2">
        <w:rPr>
          <w:rStyle w:val="FootnoteReference"/>
        </w:rPr>
        <w:footnoteReference w:id="35"/>
      </w:r>
      <w:r w:rsidRPr="001A28D2">
        <w:t xml:space="preserve"> </w:t>
      </w:r>
    </w:p>
    <w:p w14:paraId="76D0C9B7" w14:textId="7FC94834" w:rsidR="00CB7F30" w:rsidRPr="001A28D2" w:rsidRDefault="00CB7F30" w:rsidP="007E77CC">
      <w:pPr>
        <w:ind w:firstLine="709"/>
        <w:jc w:val="both"/>
        <w:textAlignment w:val="center"/>
      </w:pPr>
      <w:r w:rsidRPr="001A28D2">
        <w:t xml:space="preserve">При съгласуване на </w:t>
      </w:r>
      <w:r w:rsidR="00C21390" w:rsidRPr="001A28D2">
        <w:t>РМС</w:t>
      </w:r>
      <w:r w:rsidRPr="001A28D2">
        <w:t xml:space="preserve"> за одобряване на законопроект</w:t>
      </w:r>
      <w:r w:rsidR="00C21390" w:rsidRPr="001A28D2">
        <w:t>а</w:t>
      </w:r>
      <w:r w:rsidRPr="001A28D2">
        <w:t xml:space="preserve"> за държавния бюджет на Република България за 2016</w:t>
      </w:r>
      <w:r w:rsidR="0021780D" w:rsidRPr="001A28D2">
        <w:t> </w:t>
      </w:r>
      <w:r w:rsidRPr="001A28D2">
        <w:t>г. от МРРБ е постъпило становище</w:t>
      </w:r>
      <w:r w:rsidRPr="001A28D2">
        <w:rPr>
          <w:rStyle w:val="FootnoteReference"/>
        </w:rPr>
        <w:footnoteReference w:id="36"/>
      </w:r>
      <w:r w:rsidRPr="001A28D2">
        <w:t xml:space="preserve"> относно допълнителни средства по бюджета на МРРБ.</w:t>
      </w:r>
      <w:r w:rsidRPr="001A28D2">
        <w:rPr>
          <w:rStyle w:val="FootnoteReference"/>
        </w:rPr>
        <w:footnoteReference w:id="37"/>
      </w:r>
      <w:r w:rsidRPr="001A28D2">
        <w:t xml:space="preserve"> На този етап не е предвиден интересът, който възниква през годината към Националната програма за енергийна ефективност.</w:t>
      </w:r>
    </w:p>
    <w:p w14:paraId="42D76399" w14:textId="77777777" w:rsidR="00CB7F30" w:rsidRPr="001A28D2" w:rsidRDefault="00CB7F30" w:rsidP="007E77CC">
      <w:pPr>
        <w:ind w:firstLine="709"/>
        <w:jc w:val="both"/>
        <w:textAlignment w:val="center"/>
        <w:rPr>
          <w:color w:val="000000"/>
          <w:spacing w:val="2"/>
        </w:rPr>
      </w:pPr>
      <w:r w:rsidRPr="001A28D2">
        <w:t>В края на отчетния период</w:t>
      </w:r>
      <w:r w:rsidRPr="001A28D2">
        <w:rPr>
          <w:rStyle w:val="FootnoteReference"/>
        </w:rPr>
        <w:footnoteReference w:id="38"/>
      </w:r>
      <w:r w:rsidRPr="001A28D2">
        <w:t xml:space="preserve"> от МРРБ е изготвен проект на ПМС за одобряване на допълнителни разходи по бюджета на МРРБ за изпълнение на Националната програма, като съгласно доклада към проекта</w:t>
      </w:r>
      <w:r w:rsidRPr="001A28D2">
        <w:rPr>
          <w:color w:val="000000"/>
          <w:spacing w:val="2"/>
        </w:rPr>
        <w:t xml:space="preserve"> към 18.11.2016</w:t>
      </w:r>
      <w:r w:rsidR="0058292E" w:rsidRPr="001A28D2">
        <w:rPr>
          <w:color w:val="000000"/>
          <w:spacing w:val="2"/>
        </w:rPr>
        <w:t> </w:t>
      </w:r>
      <w:r w:rsidRPr="001A28D2">
        <w:rPr>
          <w:color w:val="000000"/>
          <w:spacing w:val="2"/>
        </w:rPr>
        <w:t>г. има сключени договори между общините и изпълнителите на обща стойност 982 983,1 хил. лв.</w:t>
      </w:r>
      <w:r w:rsidRPr="001A28D2">
        <w:rPr>
          <w:rStyle w:val="FootnoteReference"/>
          <w:color w:val="000000"/>
          <w:spacing w:val="2"/>
        </w:rPr>
        <w:footnoteReference w:id="39"/>
      </w:r>
    </w:p>
    <w:p w14:paraId="5C14B0A2" w14:textId="77777777" w:rsidR="00CB7F30" w:rsidRPr="001A28D2" w:rsidRDefault="00CB7F30" w:rsidP="007E77CC">
      <w:pPr>
        <w:autoSpaceDE w:val="0"/>
        <w:autoSpaceDN w:val="0"/>
        <w:adjustRightInd w:val="0"/>
        <w:ind w:firstLine="709"/>
        <w:jc w:val="both"/>
      </w:pPr>
      <w:r w:rsidRPr="001A28D2">
        <w:t>С ПМС</w:t>
      </w:r>
      <w:r w:rsidR="00705FB3" w:rsidRPr="001A28D2">
        <w:t> </w:t>
      </w:r>
      <w:r w:rsidRPr="001A28D2">
        <w:t>№ 339 от 02.12.2016 г.</w:t>
      </w:r>
      <w:r w:rsidRPr="001A28D2">
        <w:rPr>
          <w:rStyle w:val="FootnoteReference"/>
        </w:rPr>
        <w:footnoteReference w:id="40"/>
      </w:r>
      <w:r w:rsidRPr="001A28D2">
        <w:t>, са о</w:t>
      </w:r>
      <w:r w:rsidRPr="001A28D2">
        <w:rPr>
          <w:color w:val="000000"/>
          <w:spacing w:val="2"/>
        </w:rPr>
        <w:t>добрени допълнителни разходи в размер до 1 млрд. лв. по бюджета на МРРБ за сметка на предвидените средства по централния бюджет за 2016 г. и на преструктуриране на разходи и/или трансфери по централния бюджет за 2016 г. Съгласно заповед на министъра на финансите</w:t>
      </w:r>
      <w:r w:rsidRPr="001A28D2">
        <w:rPr>
          <w:rStyle w:val="FootnoteReference"/>
          <w:color w:val="000000"/>
          <w:spacing w:val="2"/>
        </w:rPr>
        <w:footnoteReference w:id="41"/>
      </w:r>
      <w:r w:rsidRPr="001A28D2">
        <w:rPr>
          <w:color w:val="000000"/>
          <w:spacing w:val="2"/>
        </w:rPr>
        <w:t xml:space="preserve"> се намаляват предвидените капиталови разходи по ЦБ в размер на 154 000,0 хил. лв. и се преструктурират разходи и трансфери в размер на 846 000,0 хил. лв., с които се увеличава бюджетното взаимоотношение на ЦБ с МРРБ. </w:t>
      </w:r>
      <w:r w:rsidRPr="001A28D2">
        <w:t xml:space="preserve">С измененията по ЦБ средствата са пренасочени към Политиката за интегрирано развитие на регионите, ефективно и ефикасно използване на публичните финанси и финансови инструменти за постигане на </w:t>
      </w:r>
      <w:r w:rsidRPr="001A28D2">
        <w:lastRenderedPageBreak/>
        <w:t xml:space="preserve">растеж и подобряване качеството на жизнената среда, в която е включена Националната програма. </w:t>
      </w:r>
    </w:p>
    <w:p w14:paraId="1C998E28" w14:textId="3AECAE6B" w:rsidR="00A95370" w:rsidRPr="001A28D2" w:rsidRDefault="00CB7F30" w:rsidP="00E03394">
      <w:pPr>
        <w:ind w:firstLine="709"/>
        <w:jc w:val="both"/>
        <w:textAlignment w:val="center"/>
      </w:pPr>
      <w:r w:rsidRPr="001A28D2">
        <w:rPr>
          <w:color w:val="000000"/>
          <w:spacing w:val="2"/>
        </w:rPr>
        <w:t xml:space="preserve">Извършени са промени по бюджета на МРРБ в изпълнение на Постановлението. </w:t>
      </w:r>
      <w:r w:rsidR="00A95370" w:rsidRPr="001A28D2">
        <w:t>От МФ са дадени указания на координатора по програмата относно счетоводните записвания</w:t>
      </w:r>
      <w:r w:rsidR="00E03394" w:rsidRPr="001A28D2">
        <w:t>.</w:t>
      </w:r>
      <w:r w:rsidR="00E03394" w:rsidRPr="001A28D2">
        <w:rPr>
          <w:rStyle w:val="FootnoteReference"/>
          <w:color w:val="000000"/>
          <w:spacing w:val="2"/>
        </w:rPr>
        <w:t xml:space="preserve"> </w:t>
      </w:r>
      <w:r w:rsidR="00E03394" w:rsidRPr="001A28D2">
        <w:rPr>
          <w:rStyle w:val="FootnoteReference"/>
          <w:color w:val="000000"/>
          <w:spacing w:val="2"/>
        </w:rPr>
        <w:footnoteReference w:id="42"/>
      </w:r>
    </w:p>
    <w:p w14:paraId="5EABAFCA" w14:textId="6B2F9CA6" w:rsidR="00CB7F30" w:rsidRPr="001A28D2" w:rsidRDefault="00CB7F30" w:rsidP="007E77CC">
      <w:pPr>
        <w:autoSpaceDE w:val="0"/>
        <w:autoSpaceDN w:val="0"/>
        <w:adjustRightInd w:val="0"/>
        <w:ind w:firstLine="709"/>
        <w:jc w:val="both"/>
      </w:pPr>
      <w:r w:rsidRPr="001A28D2">
        <w:t>Сумите от безвъзмездната финансова помощ</w:t>
      </w:r>
      <w:r w:rsidRPr="001A28D2">
        <w:rPr>
          <w:rStyle w:val="FootnoteReference"/>
        </w:rPr>
        <w:footnoteReference w:id="43"/>
      </w:r>
      <w:r w:rsidRPr="001A28D2">
        <w:t xml:space="preserve"> стават дължими и се превеждат на ББР от ДБ чрез бюджета на МРРБ, когато главниците и лихвите по отпуснатото от банката финансиране подлежат на погасяване.</w:t>
      </w:r>
      <w:r w:rsidRPr="001A28D2">
        <w:rPr>
          <w:rStyle w:val="FootnoteReference"/>
        </w:rPr>
        <w:footnoteReference w:id="44"/>
      </w:r>
      <w:r w:rsidRPr="001A28D2">
        <w:t xml:space="preserve"> Сумата, отпусната в изпълнение на ПМС</w:t>
      </w:r>
      <w:r w:rsidR="00110451" w:rsidRPr="001A28D2">
        <w:t> </w:t>
      </w:r>
      <w:r w:rsidRPr="001A28D2">
        <w:t>№</w:t>
      </w:r>
      <w:r w:rsidR="00110451" w:rsidRPr="001A28D2">
        <w:t> </w:t>
      </w:r>
      <w:r w:rsidRPr="001A28D2">
        <w:t>339 от 2016</w:t>
      </w:r>
      <w:r w:rsidR="00110451" w:rsidRPr="001A28D2">
        <w:t> </w:t>
      </w:r>
      <w:r w:rsidRPr="001A28D2">
        <w:t xml:space="preserve">г., е отчетена като разход по бюджета на МРРБ и преведена по </w:t>
      </w:r>
      <w:r w:rsidR="00A3683B" w:rsidRPr="001A28D2">
        <w:t>отделно</w:t>
      </w:r>
      <w:r w:rsidRPr="001A28D2">
        <w:t xml:space="preserve"> открита банкова сметка за чужди средства, в изпълнение на Постановлението</w:t>
      </w:r>
      <w:r w:rsidRPr="001A28D2">
        <w:rPr>
          <w:rStyle w:val="FootnoteReference"/>
        </w:rPr>
        <w:footnoteReference w:id="45"/>
      </w:r>
      <w:r w:rsidRPr="001A28D2">
        <w:t>, като към 31.12.2016 г. от нея не са изплащани разходи.</w:t>
      </w:r>
      <w:r w:rsidRPr="001A28D2">
        <w:rPr>
          <w:rStyle w:val="FootnoteReference"/>
        </w:rPr>
        <w:footnoteReference w:id="46"/>
      </w:r>
      <w:r w:rsidR="00A95370" w:rsidRPr="001A28D2">
        <w:t xml:space="preserve"> </w:t>
      </w:r>
    </w:p>
    <w:p w14:paraId="7B83AE66" w14:textId="77777777" w:rsidR="00CB7F30" w:rsidRPr="001A28D2" w:rsidRDefault="00CB7F30" w:rsidP="007E77CC">
      <w:pPr>
        <w:autoSpaceDE w:val="0"/>
        <w:autoSpaceDN w:val="0"/>
        <w:adjustRightInd w:val="0"/>
        <w:ind w:firstLine="709"/>
        <w:jc w:val="both"/>
      </w:pPr>
      <w:r w:rsidRPr="001A28D2">
        <w:t xml:space="preserve">Извън </w:t>
      </w:r>
      <w:proofErr w:type="spellStart"/>
      <w:r w:rsidRPr="001A28D2">
        <w:t>одитирания</w:t>
      </w:r>
      <w:proofErr w:type="spellEnd"/>
      <w:r w:rsidRPr="001A28D2">
        <w:t xml:space="preserve"> период, с ПМС № 29 от 26.01.2017 г.</w:t>
      </w:r>
      <w:r w:rsidRPr="001A28D2">
        <w:rPr>
          <w:rStyle w:val="FootnoteReference"/>
        </w:rPr>
        <w:footnoteReference w:id="47"/>
      </w:r>
      <w:r w:rsidRPr="001A28D2">
        <w:t xml:space="preserve"> за изменение и допълнение на ПМС № 18 от 06.02.2015 г.</w:t>
      </w:r>
      <w:r w:rsidR="00320895" w:rsidRPr="001A28D2">
        <w:t>,</w:t>
      </w:r>
      <w:r w:rsidRPr="001A28D2">
        <w:t xml:space="preserve"> финансовият ресурс, с който ще се осъществява Програмата,</w:t>
      </w:r>
      <w:r w:rsidRPr="001A28D2">
        <w:rPr>
          <w:rStyle w:val="FootnoteReference"/>
        </w:rPr>
        <w:footnoteReference w:id="48"/>
      </w:r>
      <w:r w:rsidRPr="001A28D2">
        <w:t xml:space="preserve"> е променен от 1 на 2 млрд. лв. </w:t>
      </w:r>
    </w:p>
    <w:p w14:paraId="05C66CFA" w14:textId="77777777" w:rsidR="00CB7F30" w:rsidRPr="001A28D2" w:rsidRDefault="00CB7F30" w:rsidP="007E77CC">
      <w:pPr>
        <w:autoSpaceDE w:val="0"/>
        <w:autoSpaceDN w:val="0"/>
        <w:adjustRightInd w:val="0"/>
        <w:ind w:firstLine="709"/>
        <w:jc w:val="both"/>
      </w:pPr>
      <w:r w:rsidRPr="001A28D2">
        <w:t>Политиката в областта на осъществяването на държавните функции на територията на областите в България заема второ място по отчетени капиталови разходи със 140 030,1 хил. лв., следвана от Политика в областта на отбранителните способности със 136 601,8 хил. лв.</w:t>
      </w:r>
    </w:p>
    <w:p w14:paraId="284F7848" w14:textId="77777777" w:rsidR="00CC68D6" w:rsidRPr="001A28D2" w:rsidRDefault="00565BF8" w:rsidP="007E77CC">
      <w:pPr>
        <w:autoSpaceDE w:val="0"/>
        <w:autoSpaceDN w:val="0"/>
        <w:adjustRightInd w:val="0"/>
        <w:ind w:firstLine="709"/>
        <w:jc w:val="both"/>
      </w:pPr>
      <w:r w:rsidRPr="001A28D2">
        <w:t>Не са п</w:t>
      </w:r>
      <w:r w:rsidR="00CC68D6" w:rsidRPr="001A28D2">
        <w:t>ревишени извършените капиталови разходи по области на политики и бюджетни програми над планираните с изключение на Политиката в областта на опазване на движимото и недвижимото културно наследство – с 593,2 хил. лв. и Политиката в областта на земеделието и селските райони – с 31,8 хил. лв., поради неправилно отчетени разходи и ненавременното им коригиране.</w:t>
      </w:r>
      <w:r w:rsidR="00483FB6" w:rsidRPr="001A28D2">
        <w:rPr>
          <w:rStyle w:val="FootnoteReference"/>
        </w:rPr>
        <w:footnoteReference w:id="49"/>
      </w:r>
    </w:p>
    <w:p w14:paraId="0BC6243F" w14:textId="77777777" w:rsidR="00CC68D6" w:rsidRPr="001A28D2" w:rsidRDefault="00CC68D6" w:rsidP="007E77CC">
      <w:pPr>
        <w:autoSpaceDE w:val="0"/>
        <w:autoSpaceDN w:val="0"/>
        <w:adjustRightInd w:val="0"/>
        <w:ind w:firstLine="709"/>
        <w:jc w:val="both"/>
      </w:pPr>
    </w:p>
    <w:p w14:paraId="4B69404E" w14:textId="2C4B4FFD" w:rsidR="00CB7F30" w:rsidRPr="001A28D2" w:rsidRDefault="00CB7F30" w:rsidP="007E77CC">
      <w:pPr>
        <w:autoSpaceDE w:val="0"/>
        <w:autoSpaceDN w:val="0"/>
        <w:adjustRightInd w:val="0"/>
        <w:ind w:firstLine="709"/>
        <w:jc w:val="both"/>
        <w:rPr>
          <w:i/>
        </w:rPr>
      </w:pPr>
      <w:r w:rsidRPr="001A28D2">
        <w:rPr>
          <w:i/>
        </w:rPr>
        <w:t xml:space="preserve">Най-голямо увеличение на капиталови разходи през годината спрямо приетите със закона е извършено по бюджета на МРРБ. Уточненият план е по-висок с 1 096 492,1 хил. лв. спрямо закона, което до голяма степен се дължи на одобрени допълнителни разходи по бюджета на МРРБ за 2016 г. за изпълнение на Националната програма за енергийна ефективност на </w:t>
      </w:r>
      <w:proofErr w:type="spellStart"/>
      <w:r w:rsidRPr="001A28D2">
        <w:rPr>
          <w:i/>
        </w:rPr>
        <w:t>многофамилните</w:t>
      </w:r>
      <w:proofErr w:type="spellEnd"/>
      <w:r w:rsidRPr="001A28D2">
        <w:rPr>
          <w:i/>
        </w:rPr>
        <w:t xml:space="preserve"> жилищни сгради. </w:t>
      </w:r>
      <w:r w:rsidR="00615AC0" w:rsidRPr="001A28D2">
        <w:rPr>
          <w:i/>
        </w:rPr>
        <w:t>Съгласно разпоредб</w:t>
      </w:r>
      <w:r w:rsidR="00F80829" w:rsidRPr="001A28D2">
        <w:rPr>
          <w:i/>
        </w:rPr>
        <w:t xml:space="preserve">ата </w:t>
      </w:r>
      <w:r w:rsidR="00615AC0" w:rsidRPr="001A28D2">
        <w:rPr>
          <w:i/>
        </w:rPr>
        <w:t xml:space="preserve"> на </w:t>
      </w:r>
      <w:r w:rsidR="00C97DDF" w:rsidRPr="001A28D2">
        <w:rPr>
          <w:i/>
        </w:rPr>
        <w:t xml:space="preserve">чл. 119, ал. 2 </w:t>
      </w:r>
      <w:r w:rsidR="00C135D2" w:rsidRPr="001A28D2">
        <w:rPr>
          <w:i/>
        </w:rPr>
        <w:t>ЗПФ</w:t>
      </w:r>
      <w:r w:rsidR="00615AC0" w:rsidRPr="001A28D2">
        <w:rPr>
          <w:i/>
        </w:rPr>
        <w:t>, не се допуска започването на програми или проекти, разходите за които не са предвидени в закона за държавния бюджет, а съгласно постановлението за приемането на Националната програма, разходите за безвъзмездна финансова помощ за следващите години следва да се предвиждат по ЦБ за съответната година</w:t>
      </w:r>
      <w:r w:rsidR="00C97DDF" w:rsidRPr="001A28D2">
        <w:rPr>
          <w:i/>
        </w:rPr>
        <w:t>, което не спазено</w:t>
      </w:r>
      <w:r w:rsidR="00615AC0" w:rsidRPr="001A28D2">
        <w:rPr>
          <w:i/>
        </w:rPr>
        <w:t xml:space="preserve">. </w:t>
      </w:r>
      <w:r w:rsidRPr="001A28D2">
        <w:rPr>
          <w:i/>
        </w:rPr>
        <w:t>Не е предвиден интересът към програмата, който възниква в течение на годината.</w:t>
      </w:r>
    </w:p>
    <w:p w14:paraId="1FD4CBC0" w14:textId="3020D0DF" w:rsidR="00CB7F30" w:rsidRPr="001A28D2" w:rsidRDefault="00CB7F30" w:rsidP="007E77CC">
      <w:pPr>
        <w:autoSpaceDE w:val="0"/>
        <w:autoSpaceDN w:val="0"/>
        <w:adjustRightInd w:val="0"/>
        <w:ind w:firstLine="709"/>
        <w:jc w:val="both"/>
        <w:rPr>
          <w:i/>
        </w:rPr>
      </w:pPr>
      <w:r w:rsidRPr="001A28D2">
        <w:rPr>
          <w:i/>
        </w:rPr>
        <w:t xml:space="preserve">Не е установено </w:t>
      </w:r>
      <w:proofErr w:type="spellStart"/>
      <w:r w:rsidRPr="001A28D2">
        <w:rPr>
          <w:i/>
        </w:rPr>
        <w:t>превишение</w:t>
      </w:r>
      <w:proofErr w:type="spellEnd"/>
      <w:r w:rsidRPr="001A28D2">
        <w:rPr>
          <w:i/>
        </w:rPr>
        <w:t xml:space="preserve"> на извършените капиталови разходи по области на политики и бюджетни програми над планираните с изключение на Политиката в </w:t>
      </w:r>
      <w:r w:rsidRPr="001A28D2">
        <w:rPr>
          <w:i/>
        </w:rPr>
        <w:lastRenderedPageBreak/>
        <w:t>областта на опазване на движимото и недвижимото културно наследство – с 593,2 хил. лв. и Политиката в областта на земеделието и селските райони – с 31,8 хил. лв., поради неправилно отчетени разходи и ненавременното им коригиране.</w:t>
      </w:r>
    </w:p>
    <w:p w14:paraId="33F477AD" w14:textId="46FC116B" w:rsidR="0004188C" w:rsidRPr="001A28D2" w:rsidRDefault="0004188C" w:rsidP="007E77CC">
      <w:pPr>
        <w:pStyle w:val="ListParagraph"/>
        <w:autoSpaceDE w:val="0"/>
        <w:autoSpaceDN w:val="0"/>
        <w:adjustRightInd w:val="0"/>
        <w:ind w:left="0" w:firstLine="709"/>
        <w:jc w:val="both"/>
        <w:rPr>
          <w:rFonts w:ascii="Times New Roman" w:hAnsi="Times New Roman" w:cs="Times New Roman"/>
          <w:lang w:val="bg-BG"/>
        </w:rPr>
      </w:pPr>
    </w:p>
    <w:p w14:paraId="318432E9" w14:textId="7EF26408" w:rsidR="00CB7F30" w:rsidRPr="001A28D2" w:rsidRDefault="00CB7F30" w:rsidP="007E77CC">
      <w:pPr>
        <w:pStyle w:val="ListParagraph"/>
        <w:autoSpaceDE w:val="0"/>
        <w:autoSpaceDN w:val="0"/>
        <w:adjustRightInd w:val="0"/>
        <w:ind w:left="0" w:firstLine="709"/>
        <w:jc w:val="both"/>
        <w:rPr>
          <w:rFonts w:ascii="Times New Roman" w:hAnsi="Times New Roman" w:cs="Times New Roman"/>
          <w:lang w:val="bg-BG"/>
        </w:rPr>
      </w:pPr>
      <w:r w:rsidRPr="001A28D2">
        <w:rPr>
          <w:rFonts w:ascii="Times New Roman" w:hAnsi="Times New Roman" w:cs="Times New Roman"/>
          <w:lang w:val="bg-BG"/>
        </w:rPr>
        <w:t>3.1.2.</w:t>
      </w:r>
      <w:proofErr w:type="spellStart"/>
      <w:r w:rsidR="003D1B9E" w:rsidRPr="001A28D2">
        <w:rPr>
          <w:rFonts w:ascii="Times New Roman" w:hAnsi="Times New Roman" w:cs="Times New Roman"/>
          <w:lang w:val="bg-BG"/>
        </w:rPr>
        <w:t>2</w:t>
      </w:r>
      <w:proofErr w:type="spellEnd"/>
      <w:r w:rsidR="003D1B9E" w:rsidRPr="001A28D2">
        <w:rPr>
          <w:rFonts w:ascii="Times New Roman" w:hAnsi="Times New Roman" w:cs="Times New Roman"/>
          <w:lang w:val="bg-BG"/>
        </w:rPr>
        <w:t>.</w:t>
      </w:r>
      <w:r w:rsidRPr="001A28D2">
        <w:rPr>
          <w:rFonts w:ascii="Times New Roman" w:hAnsi="Times New Roman" w:cs="Times New Roman"/>
          <w:lang w:val="bg-BG"/>
        </w:rPr>
        <w:t xml:space="preserve"> Капиталови разходи на ПРБ, неприлагащи програмен формат на бюджет</w:t>
      </w:r>
    </w:p>
    <w:p w14:paraId="37A1EABD" w14:textId="701739FD" w:rsidR="00CB7F30" w:rsidRDefault="00CB7F30" w:rsidP="007E77CC">
      <w:pPr>
        <w:autoSpaceDE w:val="0"/>
        <w:autoSpaceDN w:val="0"/>
        <w:adjustRightInd w:val="0"/>
        <w:ind w:firstLine="709"/>
        <w:jc w:val="both"/>
      </w:pPr>
      <w:r w:rsidRPr="001A28D2">
        <w:t>За ПРБ, неприлагащи програмен формат, уточненият план за капиталови разходи е 25 898</w:t>
      </w:r>
      <w:r w:rsidR="00763069" w:rsidRPr="001A28D2">
        <w:t>,6 хил. лв. Отчетени са 10 712</w:t>
      </w:r>
      <w:r w:rsidRPr="001A28D2">
        <w:t> хил. лв., с 15 186,6 хил. лв. по-малко или 41,4</w:t>
      </w:r>
      <w:r w:rsidR="00B05717" w:rsidRPr="001A28D2">
        <w:t> </w:t>
      </w:r>
      <w:r w:rsidRPr="001A28D2">
        <w:t>на</w:t>
      </w:r>
      <w:r w:rsidR="00B05717" w:rsidRPr="001A28D2">
        <w:t> </w:t>
      </w:r>
      <w:r w:rsidRPr="001A28D2">
        <w:t>сто от уточнения план. Недостигнатото ниво на планирани капиталови разходи се дължи основно на Висшия съдебен съвет, на който при определени със ЗДБРБ 2016</w:t>
      </w:r>
      <w:r w:rsidR="00705FB3" w:rsidRPr="001A28D2">
        <w:t> </w:t>
      </w:r>
      <w:r w:rsidR="00763069" w:rsidRPr="001A28D2">
        <w:t>г. 8 500</w:t>
      </w:r>
      <w:r w:rsidRPr="001A28D2">
        <w:t xml:space="preserve"> хил. лв., уточненият план е 17 986,7 хил. лв., а са отчетени </w:t>
      </w:r>
      <w:r w:rsidR="00763069" w:rsidRPr="001A28D2">
        <w:t>5 727</w:t>
      </w:r>
      <w:r w:rsidRPr="001A28D2">
        <w:t> хил. лв. или 31,8 на сто от планираните капиталови разходи. Непълното усвояване</w:t>
      </w:r>
      <w:r w:rsidR="00A16243" w:rsidRPr="001A28D2">
        <w:t>,</w:t>
      </w:r>
      <w:r w:rsidRPr="001A28D2">
        <w:t xml:space="preserve"> </w:t>
      </w:r>
      <w:r w:rsidR="00A16243" w:rsidRPr="001A28D2">
        <w:t>според обяснения от одитиран</w:t>
      </w:r>
      <w:r w:rsidR="00303718" w:rsidRPr="001A28D2">
        <w:t>ата организация</w:t>
      </w:r>
      <w:r w:rsidR="00A16243" w:rsidRPr="001A28D2">
        <w:t xml:space="preserve">, </w:t>
      </w:r>
      <w:r w:rsidRPr="001A28D2">
        <w:t>се дължи на забавяне на процедури по ЗОП и открити, но неприключили процедури.</w:t>
      </w:r>
      <w:r w:rsidR="003E6FFF" w:rsidRPr="001A28D2">
        <w:rPr>
          <w:rStyle w:val="FootnoteReference"/>
        </w:rPr>
        <w:t xml:space="preserve"> </w:t>
      </w:r>
      <w:r w:rsidR="003E6FFF" w:rsidRPr="001A28D2">
        <w:rPr>
          <w:rStyle w:val="FootnoteReference"/>
        </w:rPr>
        <w:footnoteReference w:id="50"/>
      </w:r>
    </w:p>
    <w:p w14:paraId="37EE5969" w14:textId="77777777" w:rsidR="00983766" w:rsidRPr="001A28D2" w:rsidRDefault="00983766" w:rsidP="007E77CC">
      <w:pPr>
        <w:autoSpaceDE w:val="0"/>
        <w:autoSpaceDN w:val="0"/>
        <w:adjustRightInd w:val="0"/>
        <w:ind w:firstLine="709"/>
        <w:jc w:val="both"/>
      </w:pPr>
    </w:p>
    <w:p w14:paraId="61CDA9B3" w14:textId="77777777" w:rsidR="00CB7F30" w:rsidRPr="001A28D2" w:rsidRDefault="00CB7F30" w:rsidP="007E77CC">
      <w:pPr>
        <w:autoSpaceDE w:val="0"/>
        <w:autoSpaceDN w:val="0"/>
        <w:adjustRightInd w:val="0"/>
        <w:ind w:firstLine="709"/>
        <w:jc w:val="both"/>
        <w:rPr>
          <w:i/>
        </w:rPr>
      </w:pPr>
      <w:r w:rsidRPr="001A28D2">
        <w:rPr>
          <w:i/>
        </w:rPr>
        <w:t xml:space="preserve">Не е установено </w:t>
      </w:r>
      <w:proofErr w:type="spellStart"/>
      <w:r w:rsidRPr="001A28D2">
        <w:rPr>
          <w:i/>
        </w:rPr>
        <w:t>превишение</w:t>
      </w:r>
      <w:proofErr w:type="spellEnd"/>
      <w:r w:rsidRPr="001A28D2">
        <w:rPr>
          <w:i/>
        </w:rPr>
        <w:t xml:space="preserve"> на отчетените капиталови разходи над планираните. Установеното непълно усвояване се дължи </w:t>
      </w:r>
      <w:r w:rsidR="00C81D9C" w:rsidRPr="001A28D2">
        <w:rPr>
          <w:i/>
        </w:rPr>
        <w:t xml:space="preserve">основно </w:t>
      </w:r>
      <w:r w:rsidRPr="001A28D2">
        <w:rPr>
          <w:i/>
        </w:rPr>
        <w:t>на забавени процедури по ЗОП.</w:t>
      </w:r>
    </w:p>
    <w:p w14:paraId="29F419E3" w14:textId="77777777" w:rsidR="00CB7F30" w:rsidRPr="001A28D2" w:rsidRDefault="00CB7F30" w:rsidP="007E77CC">
      <w:pPr>
        <w:autoSpaceDE w:val="0"/>
        <w:autoSpaceDN w:val="0"/>
        <w:adjustRightInd w:val="0"/>
        <w:ind w:firstLine="709"/>
        <w:jc w:val="both"/>
      </w:pPr>
    </w:p>
    <w:p w14:paraId="1491D57C" w14:textId="3EC042BC" w:rsidR="00CB7F30" w:rsidRPr="001A28D2" w:rsidRDefault="00CB7F30" w:rsidP="00705FB3">
      <w:pPr>
        <w:pStyle w:val="ListParagraph"/>
        <w:autoSpaceDE w:val="0"/>
        <w:autoSpaceDN w:val="0"/>
        <w:adjustRightInd w:val="0"/>
        <w:ind w:left="0" w:firstLine="709"/>
        <w:jc w:val="both"/>
        <w:rPr>
          <w:rFonts w:ascii="Times New Roman" w:hAnsi="Times New Roman" w:cs="Times New Roman"/>
          <w:lang w:val="bg-BG"/>
        </w:rPr>
      </w:pPr>
      <w:r w:rsidRPr="001A28D2">
        <w:rPr>
          <w:rFonts w:ascii="Times New Roman" w:hAnsi="Times New Roman" w:cs="Times New Roman"/>
          <w:lang w:val="bg-BG"/>
        </w:rPr>
        <w:t>3.1.</w:t>
      </w:r>
      <w:r w:rsidR="003D1B9E" w:rsidRPr="001A28D2">
        <w:rPr>
          <w:rFonts w:ascii="Times New Roman" w:hAnsi="Times New Roman" w:cs="Times New Roman"/>
          <w:lang w:val="bg-BG"/>
        </w:rPr>
        <w:t>2.</w:t>
      </w:r>
      <w:r w:rsidRPr="001A28D2">
        <w:rPr>
          <w:rFonts w:ascii="Times New Roman" w:hAnsi="Times New Roman" w:cs="Times New Roman"/>
          <w:lang w:val="bg-BG"/>
        </w:rPr>
        <w:t xml:space="preserve">3. Предоставени капиталови разходи от </w:t>
      </w:r>
      <w:r w:rsidR="009D7789" w:rsidRPr="001A28D2">
        <w:rPr>
          <w:rFonts w:ascii="Times New Roman" w:hAnsi="Times New Roman" w:cs="Times New Roman"/>
          <w:lang w:val="bg-BG"/>
        </w:rPr>
        <w:t>ц</w:t>
      </w:r>
      <w:r w:rsidRPr="001A28D2">
        <w:rPr>
          <w:rFonts w:ascii="Times New Roman" w:hAnsi="Times New Roman" w:cs="Times New Roman"/>
          <w:lang w:val="bg-BG"/>
        </w:rPr>
        <w:t>ентралния бюджет през 2016 г.</w:t>
      </w:r>
      <w:r w:rsidR="00CD2EB5" w:rsidRPr="001A28D2">
        <w:rPr>
          <w:rStyle w:val="FootnoteReference"/>
          <w:rFonts w:ascii="Times New Roman" w:hAnsi="Times New Roman" w:cs="Times New Roman"/>
          <w:lang w:val="bg-BG"/>
        </w:rPr>
        <w:footnoteReference w:id="51"/>
      </w:r>
    </w:p>
    <w:p w14:paraId="39B7BC7B" w14:textId="77777777" w:rsidR="00CB7F30" w:rsidRPr="001A28D2" w:rsidRDefault="00CB7F30" w:rsidP="007E77CC">
      <w:pPr>
        <w:autoSpaceDE w:val="0"/>
        <w:autoSpaceDN w:val="0"/>
        <w:adjustRightInd w:val="0"/>
        <w:ind w:firstLine="709"/>
        <w:jc w:val="both"/>
      </w:pPr>
      <w:r w:rsidRPr="001A28D2">
        <w:t>Утвърдените по ЦБ от министъра на финансите капиталови разходи са в размер на 2 101 987,6 хил. лв. Същите са разпределени по функции и дейности, като най-много средства 1 610 593,5 хил. лв. или 76,6 на сто са предвидени по функция VIII. Икономически дейности и услуги. Общият размер на одобрените с акт на МС промени по ЦБ за 2016 г. е 1 882 349,3 хил. лв., от които 1 690 990,6 хил. лв. за ПРБ и 191 358,7 хил. лв. за общини, като същите са одобрени по бюджетите на ПРБ по политики и програми и по бюджетите на общините по реда на чл. 109, ал. 3 от ЗПФ. След извършените промени уточненият план за капиталови разходи по ЦБ за 2016 г. е 219 638,3 хил. лв., а са отчетени 149 233,8 хил. лв.</w:t>
      </w:r>
    </w:p>
    <w:p w14:paraId="58C68AA2" w14:textId="28D50A50" w:rsidR="00CB7F30" w:rsidRPr="001A28D2" w:rsidRDefault="00CB7F30" w:rsidP="007E77CC">
      <w:pPr>
        <w:autoSpaceDE w:val="0"/>
        <w:autoSpaceDN w:val="0"/>
        <w:adjustRightInd w:val="0"/>
        <w:ind w:firstLine="709"/>
        <w:jc w:val="both"/>
      </w:pPr>
      <w:r w:rsidRPr="001A28D2">
        <w:t>3.1.</w:t>
      </w:r>
      <w:r w:rsidR="003D1B9E" w:rsidRPr="001A28D2">
        <w:t>2.</w:t>
      </w:r>
      <w:r w:rsidRPr="001A28D2">
        <w:t>3.1. По бюджетите на първостепенните разпоредители с бюджет</w:t>
      </w:r>
      <w:r w:rsidR="00CD2EB5" w:rsidRPr="001A28D2">
        <w:rPr>
          <w:rStyle w:val="FootnoteReference"/>
        </w:rPr>
        <w:footnoteReference w:id="52"/>
      </w:r>
    </w:p>
    <w:p w14:paraId="53C13B6C" w14:textId="4687614D" w:rsidR="00CB7F30" w:rsidRPr="001A28D2" w:rsidRDefault="00532A2A" w:rsidP="007E77CC">
      <w:pPr>
        <w:autoSpaceDE w:val="0"/>
        <w:autoSpaceDN w:val="0"/>
        <w:adjustRightInd w:val="0"/>
        <w:ind w:firstLine="709"/>
        <w:jc w:val="both"/>
      </w:pPr>
      <w:r w:rsidRPr="001A28D2">
        <w:t xml:space="preserve">От одобрените допълнително </w:t>
      </w:r>
      <w:r w:rsidR="00CB7F30" w:rsidRPr="001A28D2">
        <w:t xml:space="preserve">по бюджетите на ПРБ </w:t>
      </w:r>
      <w:r w:rsidRPr="001A28D2">
        <w:t xml:space="preserve">1 690 990,6 хил. лв. </w:t>
      </w:r>
      <w:r w:rsidR="00CB7F30" w:rsidRPr="001A28D2">
        <w:t xml:space="preserve">най-голям </w:t>
      </w:r>
      <w:r w:rsidR="00763069" w:rsidRPr="001A28D2">
        <w:t>размер 834 000</w:t>
      </w:r>
      <w:r w:rsidR="00CB7F30" w:rsidRPr="001A28D2">
        <w:t> хил. лв. са предоставени по „Политика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Преразпределението е извършвано на основание ПМС, издавани са заповеди от министъра на финансите в изпълнение на постановленията. Преразпределението е извършвано при спазване разпоредбите на ЗПФ.</w:t>
      </w:r>
    </w:p>
    <w:p w14:paraId="5EAB6AD1" w14:textId="77777777" w:rsidR="0033797D" w:rsidRPr="001A28D2" w:rsidRDefault="0033797D" w:rsidP="007E77CC">
      <w:pPr>
        <w:autoSpaceDE w:val="0"/>
        <w:autoSpaceDN w:val="0"/>
        <w:adjustRightInd w:val="0"/>
        <w:ind w:firstLine="709"/>
        <w:jc w:val="both"/>
      </w:pPr>
    </w:p>
    <w:p w14:paraId="054CB1E1" w14:textId="77777777" w:rsidR="0033797D" w:rsidRPr="001A28D2" w:rsidRDefault="0033797D" w:rsidP="007E77CC">
      <w:pPr>
        <w:autoSpaceDE w:val="0"/>
        <w:autoSpaceDN w:val="0"/>
        <w:adjustRightInd w:val="0"/>
        <w:ind w:firstLine="709"/>
        <w:jc w:val="both"/>
      </w:pPr>
    </w:p>
    <w:p w14:paraId="6A50CA7F" w14:textId="77777777" w:rsidR="0033797D" w:rsidRPr="001A28D2" w:rsidRDefault="0033797D" w:rsidP="007E77CC">
      <w:pPr>
        <w:autoSpaceDE w:val="0"/>
        <w:autoSpaceDN w:val="0"/>
        <w:adjustRightInd w:val="0"/>
        <w:ind w:firstLine="709"/>
        <w:jc w:val="both"/>
      </w:pPr>
    </w:p>
    <w:p w14:paraId="38754819" w14:textId="77777777" w:rsidR="0033797D" w:rsidRPr="001A28D2" w:rsidRDefault="0033797D" w:rsidP="007E77CC">
      <w:pPr>
        <w:autoSpaceDE w:val="0"/>
        <w:autoSpaceDN w:val="0"/>
        <w:adjustRightInd w:val="0"/>
        <w:ind w:firstLine="709"/>
        <w:jc w:val="both"/>
      </w:pPr>
    </w:p>
    <w:p w14:paraId="065BB862" w14:textId="77777777" w:rsidR="0033797D" w:rsidRPr="001A28D2" w:rsidRDefault="0033797D" w:rsidP="007E77CC">
      <w:pPr>
        <w:autoSpaceDE w:val="0"/>
        <w:autoSpaceDN w:val="0"/>
        <w:adjustRightInd w:val="0"/>
        <w:ind w:firstLine="709"/>
        <w:jc w:val="both"/>
      </w:pPr>
    </w:p>
    <w:p w14:paraId="07BD3E27" w14:textId="77777777" w:rsidR="0033797D" w:rsidRPr="001A28D2" w:rsidRDefault="0033797D" w:rsidP="007E77CC">
      <w:pPr>
        <w:autoSpaceDE w:val="0"/>
        <w:autoSpaceDN w:val="0"/>
        <w:adjustRightInd w:val="0"/>
        <w:ind w:firstLine="709"/>
        <w:jc w:val="both"/>
      </w:pPr>
    </w:p>
    <w:p w14:paraId="02061AA4" w14:textId="77777777" w:rsidR="0033797D" w:rsidRPr="001A28D2" w:rsidRDefault="0033797D" w:rsidP="007E77CC">
      <w:pPr>
        <w:autoSpaceDE w:val="0"/>
        <w:autoSpaceDN w:val="0"/>
        <w:adjustRightInd w:val="0"/>
        <w:ind w:firstLine="709"/>
        <w:jc w:val="both"/>
      </w:pPr>
    </w:p>
    <w:p w14:paraId="37117E85" w14:textId="6A885EBF" w:rsidR="00564E74" w:rsidRPr="001A28D2" w:rsidRDefault="00CB7F30" w:rsidP="00564E74">
      <w:pPr>
        <w:autoSpaceDE w:val="0"/>
        <w:autoSpaceDN w:val="0"/>
        <w:adjustRightInd w:val="0"/>
        <w:ind w:firstLine="709"/>
        <w:jc w:val="both"/>
      </w:pPr>
      <w:r w:rsidRPr="001A28D2">
        <w:lastRenderedPageBreak/>
        <w:t>3.1.</w:t>
      </w:r>
      <w:r w:rsidR="003D1B9E" w:rsidRPr="001A28D2">
        <w:t>2.</w:t>
      </w:r>
      <w:r w:rsidRPr="001A28D2">
        <w:t>3.2.</w:t>
      </w:r>
      <w:r w:rsidR="009D7789" w:rsidRPr="001A28D2">
        <w:t xml:space="preserve"> </w:t>
      </w:r>
      <w:r w:rsidRPr="001A28D2">
        <w:t xml:space="preserve">По бюджетите на </w:t>
      </w:r>
      <w:r w:rsidR="00564E74" w:rsidRPr="001A28D2">
        <w:t>общините</w:t>
      </w:r>
      <w:r w:rsidR="00CD2EB5" w:rsidRPr="001A28D2">
        <w:rPr>
          <w:rStyle w:val="FootnoteReference"/>
        </w:rPr>
        <w:footnoteReference w:id="53"/>
      </w:r>
    </w:p>
    <w:p w14:paraId="500EE2E3" w14:textId="77777777" w:rsidR="00D449D3" w:rsidRPr="001A28D2" w:rsidRDefault="00D449D3" w:rsidP="00564E74">
      <w:pPr>
        <w:autoSpaceDE w:val="0"/>
        <w:autoSpaceDN w:val="0"/>
        <w:adjustRightInd w:val="0"/>
        <w:ind w:firstLine="709"/>
        <w:jc w:val="both"/>
        <w:rPr>
          <w:color w:val="000000" w:themeColor="text1"/>
        </w:rPr>
      </w:pPr>
    </w:p>
    <w:tbl>
      <w:tblPr>
        <w:tblStyle w:val="TableGrid"/>
        <w:tblW w:w="9209" w:type="dxa"/>
        <w:tblLook w:val="04A0" w:firstRow="1" w:lastRow="0" w:firstColumn="1" w:lastColumn="0" w:noHBand="0" w:noVBand="1"/>
      </w:tblPr>
      <w:tblGrid>
        <w:gridCol w:w="3774"/>
        <w:gridCol w:w="1236"/>
        <w:gridCol w:w="2963"/>
        <w:gridCol w:w="1236"/>
      </w:tblGrid>
      <w:tr w:rsidR="00CB7F30" w:rsidRPr="001A28D2" w14:paraId="79066D63" w14:textId="77777777" w:rsidTr="00F47317">
        <w:tc>
          <w:tcPr>
            <w:tcW w:w="9209" w:type="dxa"/>
            <w:gridSpan w:val="4"/>
            <w:shd w:val="clear" w:color="auto" w:fill="B8CCE4" w:themeFill="accent1" w:themeFillTint="66"/>
          </w:tcPr>
          <w:p w14:paraId="352F7774" w14:textId="77777777" w:rsidR="00CB7F30" w:rsidRPr="001A28D2" w:rsidRDefault="00CB7F30" w:rsidP="00F31070">
            <w:pPr>
              <w:autoSpaceDE w:val="0"/>
              <w:autoSpaceDN w:val="0"/>
              <w:adjustRightInd w:val="0"/>
              <w:jc w:val="center"/>
            </w:pPr>
            <w:r w:rsidRPr="001A28D2">
              <w:rPr>
                <w:b/>
              </w:rPr>
              <w:t>Предоставени по бюджетите на общините (хил. лв.)</w:t>
            </w:r>
            <w:r w:rsidRPr="001A28D2">
              <w:rPr>
                <w:rStyle w:val="FootnoteReference"/>
                <w:b/>
              </w:rPr>
              <w:footnoteReference w:id="54"/>
            </w:r>
          </w:p>
        </w:tc>
      </w:tr>
      <w:tr w:rsidR="00CB7F30" w:rsidRPr="001A28D2" w14:paraId="797B932A" w14:textId="77777777" w:rsidTr="00F47317">
        <w:tc>
          <w:tcPr>
            <w:tcW w:w="3823" w:type="dxa"/>
            <w:shd w:val="clear" w:color="auto" w:fill="DBE5F1" w:themeFill="accent1" w:themeFillTint="33"/>
          </w:tcPr>
          <w:p w14:paraId="069F5D6A" w14:textId="77777777" w:rsidR="00CB7F30" w:rsidRPr="001A28D2" w:rsidRDefault="00CB7F30" w:rsidP="00F47317">
            <w:pPr>
              <w:autoSpaceDE w:val="0"/>
              <w:autoSpaceDN w:val="0"/>
              <w:adjustRightInd w:val="0"/>
              <w:jc w:val="center"/>
              <w:rPr>
                <w:b/>
              </w:rPr>
            </w:pPr>
            <w:r w:rsidRPr="001A28D2">
              <w:rPr>
                <w:b/>
              </w:rPr>
              <w:t>Брой промени/основание</w:t>
            </w:r>
          </w:p>
        </w:tc>
        <w:tc>
          <w:tcPr>
            <w:tcW w:w="1134" w:type="dxa"/>
            <w:shd w:val="clear" w:color="auto" w:fill="DBE5F1" w:themeFill="accent1" w:themeFillTint="33"/>
          </w:tcPr>
          <w:p w14:paraId="2ACF5518" w14:textId="77777777" w:rsidR="00CB7F30" w:rsidRPr="001A28D2" w:rsidRDefault="00CB7F30" w:rsidP="00F47317">
            <w:pPr>
              <w:autoSpaceDE w:val="0"/>
              <w:autoSpaceDN w:val="0"/>
              <w:adjustRightInd w:val="0"/>
              <w:jc w:val="center"/>
              <w:rPr>
                <w:b/>
              </w:rPr>
            </w:pPr>
            <w:r w:rsidRPr="001A28D2">
              <w:rPr>
                <w:b/>
              </w:rPr>
              <w:t>Общо</w:t>
            </w:r>
          </w:p>
        </w:tc>
        <w:tc>
          <w:tcPr>
            <w:tcW w:w="4252" w:type="dxa"/>
            <w:gridSpan w:val="2"/>
            <w:shd w:val="clear" w:color="auto" w:fill="DBE5F1" w:themeFill="accent1" w:themeFillTint="33"/>
          </w:tcPr>
          <w:p w14:paraId="6F004C4A" w14:textId="77777777" w:rsidR="00CB7F30" w:rsidRPr="001A28D2" w:rsidRDefault="00CB7F30" w:rsidP="00F47317">
            <w:pPr>
              <w:autoSpaceDE w:val="0"/>
              <w:autoSpaceDN w:val="0"/>
              <w:adjustRightInd w:val="0"/>
              <w:jc w:val="center"/>
              <w:rPr>
                <w:b/>
              </w:rPr>
            </w:pPr>
            <w:r w:rsidRPr="001A28D2">
              <w:rPr>
                <w:b/>
              </w:rPr>
              <w:t>От тях</w:t>
            </w:r>
          </w:p>
        </w:tc>
      </w:tr>
      <w:tr w:rsidR="00CB7F30" w:rsidRPr="001A28D2" w14:paraId="1B599DD2" w14:textId="77777777" w:rsidTr="00F47317">
        <w:tc>
          <w:tcPr>
            <w:tcW w:w="3823" w:type="dxa"/>
            <w:vMerge w:val="restart"/>
          </w:tcPr>
          <w:p w14:paraId="14C99BD6" w14:textId="77777777" w:rsidR="00CB7F30" w:rsidRPr="001A28D2" w:rsidRDefault="00CB7F30" w:rsidP="00F47317">
            <w:pPr>
              <w:pStyle w:val="ListParagraph"/>
              <w:numPr>
                <w:ilvl w:val="0"/>
                <w:numId w:val="26"/>
              </w:numPr>
              <w:tabs>
                <w:tab w:val="left" w:pos="306"/>
              </w:tabs>
              <w:autoSpaceDE w:val="0"/>
              <w:autoSpaceDN w:val="0"/>
              <w:adjustRightInd w:val="0"/>
              <w:ind w:left="22" w:firstLine="0"/>
              <w:jc w:val="both"/>
              <w:rPr>
                <w:rFonts w:ascii="Times New Roman" w:hAnsi="Times New Roman" w:cs="Times New Roman"/>
                <w:lang w:val="bg-BG"/>
              </w:rPr>
            </w:pPr>
            <w:r w:rsidRPr="001A28D2">
              <w:rPr>
                <w:rFonts w:ascii="Times New Roman" w:hAnsi="Times New Roman" w:cs="Times New Roman"/>
                <w:lang w:val="bg-BG"/>
              </w:rPr>
              <w:t>21 промени на основание ПМС и заповеди на министъра на финансите в изпълнение на ПМС</w:t>
            </w:r>
          </w:p>
          <w:p w14:paraId="156C11AC" w14:textId="46901984" w:rsidR="00CB7F30" w:rsidRPr="001A28D2" w:rsidRDefault="00CB7F30" w:rsidP="00F47317">
            <w:pPr>
              <w:pStyle w:val="ListParagraph"/>
              <w:numPr>
                <w:ilvl w:val="0"/>
                <w:numId w:val="26"/>
              </w:numPr>
              <w:tabs>
                <w:tab w:val="left" w:pos="306"/>
              </w:tabs>
              <w:autoSpaceDE w:val="0"/>
              <w:autoSpaceDN w:val="0"/>
              <w:adjustRightInd w:val="0"/>
              <w:ind w:left="22" w:firstLine="0"/>
              <w:jc w:val="both"/>
              <w:rPr>
                <w:rFonts w:ascii="Times New Roman" w:hAnsi="Times New Roman" w:cs="Times New Roman"/>
                <w:lang w:val="bg-BG"/>
              </w:rPr>
            </w:pPr>
            <w:r w:rsidRPr="001A28D2">
              <w:rPr>
                <w:rFonts w:ascii="Times New Roman" w:hAnsi="Times New Roman" w:cs="Times New Roman"/>
                <w:lang w:val="bg-BG"/>
              </w:rPr>
              <w:t>3 бр. промени на основание</w:t>
            </w:r>
            <w:r w:rsidR="00403F7F" w:rsidRPr="001A28D2">
              <w:rPr>
                <w:rFonts w:ascii="Times New Roman" w:hAnsi="Times New Roman" w:cs="Times New Roman"/>
                <w:lang w:val="bg-BG"/>
              </w:rPr>
              <w:br/>
            </w:r>
            <w:r w:rsidRPr="001A28D2">
              <w:rPr>
                <w:rFonts w:ascii="Times New Roman" w:hAnsi="Times New Roman" w:cs="Times New Roman"/>
                <w:lang w:val="bg-BG"/>
              </w:rPr>
              <w:t xml:space="preserve"> чл. 103, ал. 1 от ЗПФ</w:t>
            </w:r>
          </w:p>
        </w:tc>
        <w:tc>
          <w:tcPr>
            <w:tcW w:w="1134" w:type="dxa"/>
            <w:vMerge w:val="restart"/>
            <w:vAlign w:val="center"/>
          </w:tcPr>
          <w:p w14:paraId="6DEEBE69" w14:textId="77777777" w:rsidR="00CB7F30" w:rsidRPr="001A28D2" w:rsidRDefault="00CB7F30" w:rsidP="00F47317">
            <w:pPr>
              <w:autoSpaceDE w:val="0"/>
              <w:autoSpaceDN w:val="0"/>
              <w:adjustRightInd w:val="0"/>
              <w:jc w:val="right"/>
            </w:pPr>
            <w:r w:rsidRPr="001A28D2">
              <w:t>191 358,7 </w:t>
            </w:r>
          </w:p>
        </w:tc>
        <w:tc>
          <w:tcPr>
            <w:tcW w:w="3016" w:type="dxa"/>
          </w:tcPr>
          <w:p w14:paraId="7B0BB48F" w14:textId="77777777" w:rsidR="00CB7F30" w:rsidRPr="001A28D2" w:rsidRDefault="00CB7F30" w:rsidP="00F47317">
            <w:pPr>
              <w:autoSpaceDE w:val="0"/>
              <w:autoSpaceDN w:val="0"/>
              <w:adjustRightInd w:val="0"/>
              <w:jc w:val="both"/>
            </w:pPr>
            <w:r w:rsidRPr="001A28D2">
              <w:t>За държавни дейности</w:t>
            </w:r>
          </w:p>
        </w:tc>
        <w:tc>
          <w:tcPr>
            <w:tcW w:w="1236" w:type="dxa"/>
            <w:vAlign w:val="center"/>
          </w:tcPr>
          <w:p w14:paraId="0B1AB9E1" w14:textId="77777777" w:rsidR="00CB7F30" w:rsidRPr="001A28D2" w:rsidRDefault="00CB7F30" w:rsidP="00F47317">
            <w:pPr>
              <w:autoSpaceDE w:val="0"/>
              <w:autoSpaceDN w:val="0"/>
              <w:adjustRightInd w:val="0"/>
              <w:jc w:val="right"/>
            </w:pPr>
            <w:r w:rsidRPr="001A28D2">
              <w:t>7 698,1 </w:t>
            </w:r>
          </w:p>
        </w:tc>
      </w:tr>
      <w:tr w:rsidR="00CB7F30" w:rsidRPr="001A28D2" w14:paraId="50974EEA" w14:textId="77777777" w:rsidTr="00F47317">
        <w:tc>
          <w:tcPr>
            <w:tcW w:w="3823" w:type="dxa"/>
            <w:vMerge/>
          </w:tcPr>
          <w:p w14:paraId="580833CA" w14:textId="77777777" w:rsidR="00CB7F30" w:rsidRPr="001A28D2" w:rsidRDefault="00CB7F30" w:rsidP="00F47317">
            <w:pPr>
              <w:autoSpaceDE w:val="0"/>
              <w:autoSpaceDN w:val="0"/>
              <w:adjustRightInd w:val="0"/>
              <w:jc w:val="both"/>
            </w:pPr>
          </w:p>
        </w:tc>
        <w:tc>
          <w:tcPr>
            <w:tcW w:w="1134" w:type="dxa"/>
            <w:vMerge/>
          </w:tcPr>
          <w:p w14:paraId="4DB7B68E" w14:textId="77777777" w:rsidR="00CB7F30" w:rsidRPr="001A28D2" w:rsidRDefault="00CB7F30" w:rsidP="00F47317">
            <w:pPr>
              <w:autoSpaceDE w:val="0"/>
              <w:autoSpaceDN w:val="0"/>
              <w:adjustRightInd w:val="0"/>
              <w:jc w:val="both"/>
            </w:pPr>
          </w:p>
        </w:tc>
        <w:tc>
          <w:tcPr>
            <w:tcW w:w="3016" w:type="dxa"/>
          </w:tcPr>
          <w:p w14:paraId="1BE34E30" w14:textId="77777777" w:rsidR="00CB7F30" w:rsidRPr="001A28D2" w:rsidRDefault="00CB7F30" w:rsidP="00F47317">
            <w:pPr>
              <w:autoSpaceDE w:val="0"/>
              <w:autoSpaceDN w:val="0"/>
              <w:adjustRightInd w:val="0"/>
              <w:jc w:val="both"/>
            </w:pPr>
            <w:r w:rsidRPr="001A28D2">
              <w:t>За капиталови разходи</w:t>
            </w:r>
          </w:p>
        </w:tc>
        <w:tc>
          <w:tcPr>
            <w:tcW w:w="1236" w:type="dxa"/>
            <w:vAlign w:val="center"/>
          </w:tcPr>
          <w:p w14:paraId="7A3B50CA" w14:textId="77777777" w:rsidR="00CB7F30" w:rsidRPr="001A28D2" w:rsidRDefault="00CB7F30" w:rsidP="00F47317">
            <w:pPr>
              <w:autoSpaceDE w:val="0"/>
              <w:autoSpaceDN w:val="0"/>
              <w:adjustRightInd w:val="0"/>
              <w:jc w:val="right"/>
            </w:pPr>
            <w:r w:rsidRPr="001A28D2">
              <w:t>147 621,7 </w:t>
            </w:r>
          </w:p>
        </w:tc>
      </w:tr>
      <w:tr w:rsidR="00CB7F30" w:rsidRPr="001A28D2" w14:paraId="3FF8C4F0" w14:textId="77777777" w:rsidTr="00F47317">
        <w:tc>
          <w:tcPr>
            <w:tcW w:w="3823" w:type="dxa"/>
            <w:vMerge/>
          </w:tcPr>
          <w:p w14:paraId="57BB58D3" w14:textId="77777777" w:rsidR="00CB7F30" w:rsidRPr="001A28D2" w:rsidRDefault="00CB7F30" w:rsidP="00F47317">
            <w:pPr>
              <w:autoSpaceDE w:val="0"/>
              <w:autoSpaceDN w:val="0"/>
              <w:adjustRightInd w:val="0"/>
              <w:jc w:val="both"/>
            </w:pPr>
          </w:p>
        </w:tc>
        <w:tc>
          <w:tcPr>
            <w:tcW w:w="1134" w:type="dxa"/>
            <w:vMerge/>
          </w:tcPr>
          <w:p w14:paraId="494B6D1F" w14:textId="77777777" w:rsidR="00CB7F30" w:rsidRPr="001A28D2" w:rsidRDefault="00CB7F30" w:rsidP="00F47317">
            <w:pPr>
              <w:autoSpaceDE w:val="0"/>
              <w:autoSpaceDN w:val="0"/>
              <w:adjustRightInd w:val="0"/>
              <w:jc w:val="both"/>
            </w:pPr>
          </w:p>
        </w:tc>
        <w:tc>
          <w:tcPr>
            <w:tcW w:w="3016" w:type="dxa"/>
          </w:tcPr>
          <w:p w14:paraId="6DA60943" w14:textId="77777777" w:rsidR="00CB7F30" w:rsidRPr="001A28D2" w:rsidRDefault="00CB7F30" w:rsidP="00F47317">
            <w:pPr>
              <w:autoSpaceDE w:val="0"/>
              <w:autoSpaceDN w:val="0"/>
              <w:adjustRightInd w:val="0"/>
              <w:jc w:val="both"/>
            </w:pPr>
            <w:r w:rsidRPr="001A28D2">
              <w:t>Целеви трансфер</w:t>
            </w:r>
          </w:p>
        </w:tc>
        <w:tc>
          <w:tcPr>
            <w:tcW w:w="1236" w:type="dxa"/>
            <w:vAlign w:val="center"/>
          </w:tcPr>
          <w:p w14:paraId="15BE48BA" w14:textId="77777777" w:rsidR="00CB7F30" w:rsidRPr="001A28D2" w:rsidRDefault="00CB7F30" w:rsidP="00F47317">
            <w:pPr>
              <w:autoSpaceDE w:val="0"/>
              <w:autoSpaceDN w:val="0"/>
              <w:adjustRightInd w:val="0"/>
              <w:jc w:val="right"/>
            </w:pPr>
            <w:r w:rsidRPr="001A28D2">
              <w:t>35 147,9 </w:t>
            </w:r>
          </w:p>
        </w:tc>
      </w:tr>
      <w:tr w:rsidR="00CB7F30" w:rsidRPr="001A28D2" w14:paraId="42E06EC4" w14:textId="77777777" w:rsidTr="00F47317">
        <w:tc>
          <w:tcPr>
            <w:tcW w:w="3823" w:type="dxa"/>
            <w:vMerge/>
          </w:tcPr>
          <w:p w14:paraId="45A7FBF6" w14:textId="77777777" w:rsidR="00CB7F30" w:rsidRPr="001A28D2" w:rsidRDefault="00CB7F30" w:rsidP="00F47317">
            <w:pPr>
              <w:autoSpaceDE w:val="0"/>
              <w:autoSpaceDN w:val="0"/>
              <w:adjustRightInd w:val="0"/>
              <w:jc w:val="both"/>
            </w:pPr>
          </w:p>
        </w:tc>
        <w:tc>
          <w:tcPr>
            <w:tcW w:w="1134" w:type="dxa"/>
            <w:vMerge/>
          </w:tcPr>
          <w:p w14:paraId="5879DEDD" w14:textId="77777777" w:rsidR="00CB7F30" w:rsidRPr="001A28D2" w:rsidRDefault="00CB7F30" w:rsidP="00F47317">
            <w:pPr>
              <w:autoSpaceDE w:val="0"/>
              <w:autoSpaceDN w:val="0"/>
              <w:adjustRightInd w:val="0"/>
              <w:jc w:val="both"/>
            </w:pPr>
          </w:p>
        </w:tc>
        <w:tc>
          <w:tcPr>
            <w:tcW w:w="3016" w:type="dxa"/>
          </w:tcPr>
          <w:p w14:paraId="56679D99" w14:textId="77777777" w:rsidR="00CB7F30" w:rsidRPr="001A28D2" w:rsidRDefault="00CB7F30" w:rsidP="00F47317">
            <w:pPr>
              <w:autoSpaceDE w:val="0"/>
              <w:autoSpaceDN w:val="0"/>
              <w:adjustRightInd w:val="0"/>
            </w:pPr>
            <w:r w:rsidRPr="001A28D2">
              <w:t>Безлихвен заем за временни касови разриви</w:t>
            </w:r>
          </w:p>
        </w:tc>
        <w:tc>
          <w:tcPr>
            <w:tcW w:w="1236" w:type="dxa"/>
            <w:vAlign w:val="center"/>
          </w:tcPr>
          <w:p w14:paraId="6015E433" w14:textId="77777777" w:rsidR="00CB7F30" w:rsidRPr="001A28D2" w:rsidRDefault="00CB7F30" w:rsidP="00F47317">
            <w:pPr>
              <w:autoSpaceDE w:val="0"/>
              <w:autoSpaceDN w:val="0"/>
              <w:adjustRightInd w:val="0"/>
              <w:jc w:val="right"/>
            </w:pPr>
            <w:r w:rsidRPr="001A28D2">
              <w:t>891 </w:t>
            </w:r>
          </w:p>
        </w:tc>
      </w:tr>
    </w:tbl>
    <w:p w14:paraId="370620CF" w14:textId="77777777" w:rsidR="00CB7F30" w:rsidRPr="001A28D2" w:rsidRDefault="00CB7F30" w:rsidP="00CB7F30">
      <w:pPr>
        <w:autoSpaceDE w:val="0"/>
        <w:autoSpaceDN w:val="0"/>
        <w:adjustRightInd w:val="0"/>
        <w:ind w:firstLine="1134"/>
        <w:jc w:val="both"/>
        <w:rPr>
          <w:i/>
        </w:rPr>
      </w:pPr>
    </w:p>
    <w:p w14:paraId="0125633E" w14:textId="77777777" w:rsidR="00CB7F30" w:rsidRPr="001A28D2" w:rsidRDefault="00CB7F30" w:rsidP="007E77CC">
      <w:pPr>
        <w:autoSpaceDE w:val="0"/>
        <w:autoSpaceDN w:val="0"/>
        <w:adjustRightInd w:val="0"/>
        <w:ind w:firstLine="709"/>
        <w:jc w:val="both"/>
        <w:rPr>
          <w:i/>
        </w:rPr>
      </w:pPr>
      <w:r w:rsidRPr="001A28D2">
        <w:rPr>
          <w:i/>
        </w:rPr>
        <w:t xml:space="preserve">Най-голям дял </w:t>
      </w:r>
      <w:r w:rsidR="004D5A22" w:rsidRPr="001A28D2">
        <w:rPr>
          <w:i/>
        </w:rPr>
        <w:t xml:space="preserve">от планираните </w:t>
      </w:r>
      <w:r w:rsidRPr="001A28D2">
        <w:rPr>
          <w:i/>
        </w:rPr>
        <w:t xml:space="preserve">средства за капиталови разходи от ЦБ са преразпределени по „Политика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Преразпределението е извършвано при спазване разпоредбите на ЗПФ, на основание ПМС и са издавани заповеди от министъра на финансите в изпълнение на постановленията. </w:t>
      </w:r>
    </w:p>
    <w:p w14:paraId="125D044A" w14:textId="77777777" w:rsidR="00CB7F30" w:rsidRPr="001A28D2" w:rsidRDefault="00CB7F30" w:rsidP="007E77CC">
      <w:pPr>
        <w:ind w:firstLine="709"/>
        <w:jc w:val="both"/>
        <w:rPr>
          <w:rFonts w:eastAsiaTheme="minorHAnsi"/>
          <w:b/>
          <w:lang w:eastAsia="en-US"/>
        </w:rPr>
      </w:pPr>
    </w:p>
    <w:p w14:paraId="157A384B" w14:textId="3ED5D192" w:rsidR="009661F1" w:rsidRPr="001A28D2" w:rsidRDefault="0000327A" w:rsidP="007E77CC">
      <w:pPr>
        <w:ind w:firstLine="709"/>
        <w:jc w:val="both"/>
        <w:rPr>
          <w:rFonts w:eastAsiaTheme="minorHAnsi"/>
          <w:lang w:eastAsia="en-US"/>
        </w:rPr>
      </w:pPr>
      <w:r w:rsidRPr="001A28D2">
        <w:rPr>
          <w:rFonts w:eastAsiaTheme="minorHAnsi"/>
          <w:lang w:eastAsia="en-US"/>
        </w:rPr>
        <w:t xml:space="preserve">3.1.3. </w:t>
      </w:r>
      <w:r w:rsidR="009661F1" w:rsidRPr="001A28D2">
        <w:rPr>
          <w:rFonts w:eastAsiaTheme="minorHAnsi"/>
          <w:lang w:eastAsia="en-US"/>
        </w:rPr>
        <w:t>Показателят „Прираст на държавния резерв“ представлява нетен резултат от извършените разходи за попълване на държавния резерв (187 379,9 хил. лв.), намалени с постъпленията от продажба на държавния резерв (166 331,8 хил. лв.) Разходите са отчетени по бюджета на Държавна агенция „Държавен резерв и военновременни запаси“ по реда, определен с чл. 68 от ПМС №</w:t>
      </w:r>
      <w:r w:rsidR="009153DC" w:rsidRPr="001A28D2">
        <w:rPr>
          <w:rFonts w:eastAsiaTheme="minorHAnsi"/>
          <w:lang w:eastAsia="en-US"/>
        </w:rPr>
        <w:t> </w:t>
      </w:r>
      <w:r w:rsidR="009661F1" w:rsidRPr="001A28D2">
        <w:rPr>
          <w:rFonts w:eastAsiaTheme="minorHAnsi"/>
          <w:lang w:eastAsia="en-US"/>
        </w:rPr>
        <w:t>380 от 2015 г.</w:t>
      </w:r>
    </w:p>
    <w:p w14:paraId="0CCE5713" w14:textId="77777777" w:rsidR="009661F1" w:rsidRPr="001A28D2" w:rsidRDefault="009661F1" w:rsidP="007E77CC">
      <w:pPr>
        <w:ind w:firstLine="709"/>
        <w:jc w:val="both"/>
        <w:rPr>
          <w:rFonts w:eastAsiaTheme="minorHAnsi"/>
          <w:lang w:eastAsia="en-US"/>
        </w:rPr>
      </w:pPr>
      <w:r w:rsidRPr="001A28D2">
        <w:rPr>
          <w:rFonts w:eastAsiaTheme="minorHAnsi"/>
          <w:lang w:eastAsia="en-US"/>
        </w:rPr>
        <w:t>Извършените разходи по показателя „Прираст на държавния резерв“ (21 048,1 хил. лв.) достигат 109,4</w:t>
      </w:r>
      <w:r w:rsidR="009153DC" w:rsidRPr="001A28D2">
        <w:rPr>
          <w:rFonts w:eastAsiaTheme="minorHAnsi"/>
          <w:lang w:eastAsia="en-US"/>
        </w:rPr>
        <w:t> </w:t>
      </w:r>
      <w:r w:rsidRPr="001A28D2">
        <w:rPr>
          <w:rFonts w:eastAsiaTheme="minorHAnsi"/>
          <w:lang w:eastAsia="en-US"/>
        </w:rPr>
        <w:t>на</w:t>
      </w:r>
      <w:r w:rsidR="009153DC" w:rsidRPr="001A28D2">
        <w:rPr>
          <w:rFonts w:eastAsiaTheme="minorHAnsi"/>
          <w:lang w:eastAsia="en-US"/>
        </w:rPr>
        <w:t> </w:t>
      </w:r>
      <w:r w:rsidRPr="001A28D2">
        <w:rPr>
          <w:rFonts w:eastAsiaTheme="minorHAnsi"/>
          <w:lang w:eastAsia="en-US"/>
        </w:rPr>
        <w:t>сто изпълнение и са с 1</w:t>
      </w:r>
      <w:r w:rsidR="004D5A22" w:rsidRPr="001A28D2">
        <w:rPr>
          <w:rFonts w:eastAsiaTheme="minorHAnsi"/>
          <w:lang w:eastAsia="en-US"/>
        </w:rPr>
        <w:t> </w:t>
      </w:r>
      <w:r w:rsidRPr="001A28D2">
        <w:rPr>
          <w:rFonts w:eastAsiaTheme="minorHAnsi"/>
          <w:lang w:eastAsia="en-US"/>
        </w:rPr>
        <w:t>815</w:t>
      </w:r>
      <w:r w:rsidR="004D5A22" w:rsidRPr="001A28D2">
        <w:rPr>
          <w:rFonts w:eastAsiaTheme="minorHAnsi"/>
          <w:lang w:eastAsia="en-US"/>
        </w:rPr>
        <w:t> </w:t>
      </w:r>
      <w:r w:rsidRPr="001A28D2">
        <w:rPr>
          <w:rFonts w:eastAsiaTheme="minorHAnsi"/>
          <w:lang w:eastAsia="en-US"/>
        </w:rPr>
        <w:t xml:space="preserve">хил. лв. повече от разчетените. </w:t>
      </w:r>
      <w:proofErr w:type="spellStart"/>
      <w:r w:rsidRPr="001A28D2">
        <w:rPr>
          <w:rFonts w:eastAsiaTheme="minorHAnsi"/>
          <w:lang w:eastAsia="en-US"/>
        </w:rPr>
        <w:t>Превишението</w:t>
      </w:r>
      <w:proofErr w:type="spellEnd"/>
      <w:r w:rsidRPr="001A28D2">
        <w:rPr>
          <w:rFonts w:eastAsiaTheme="minorHAnsi"/>
          <w:lang w:eastAsia="en-US"/>
        </w:rPr>
        <w:t xml:space="preserve"> на отчетения прираст на държавния резерв спрямо утвърдения със ЗДБРБ за 2016</w:t>
      </w:r>
      <w:r w:rsidR="009153DC" w:rsidRPr="001A28D2">
        <w:rPr>
          <w:rFonts w:eastAsiaTheme="minorHAnsi"/>
          <w:lang w:eastAsia="en-US"/>
        </w:rPr>
        <w:t> </w:t>
      </w:r>
      <w:r w:rsidRPr="001A28D2">
        <w:rPr>
          <w:rFonts w:eastAsiaTheme="minorHAnsi"/>
          <w:lang w:eastAsia="en-US"/>
        </w:rPr>
        <w:t xml:space="preserve">г. е във връзка с реализирани икономии в разходите за издръжка, които чрез </w:t>
      </w:r>
      <w:proofErr w:type="spellStart"/>
      <w:r w:rsidRPr="001A28D2">
        <w:rPr>
          <w:rFonts w:eastAsiaTheme="minorHAnsi"/>
          <w:lang w:eastAsia="en-US"/>
        </w:rPr>
        <w:t>вътрешнокомпенсирани</w:t>
      </w:r>
      <w:proofErr w:type="spellEnd"/>
      <w:r w:rsidRPr="001A28D2">
        <w:rPr>
          <w:rFonts w:eastAsiaTheme="minorHAnsi"/>
          <w:lang w:eastAsia="en-US"/>
        </w:rPr>
        <w:t xml:space="preserve"> промени финансират основния приоритет на Държавната агенция „Държавен резерв и военновременни запаси“ за </w:t>
      </w:r>
      <w:proofErr w:type="spellStart"/>
      <w:r w:rsidRPr="001A28D2">
        <w:rPr>
          <w:rFonts w:eastAsiaTheme="minorHAnsi"/>
          <w:lang w:eastAsia="en-US"/>
        </w:rPr>
        <w:t>донатрупване</w:t>
      </w:r>
      <w:proofErr w:type="spellEnd"/>
      <w:r w:rsidRPr="001A28D2">
        <w:rPr>
          <w:rFonts w:eastAsiaTheme="minorHAnsi"/>
          <w:lang w:eastAsia="en-US"/>
        </w:rPr>
        <w:t xml:space="preserve"> на запасите от нефт и нефтопродукти.</w:t>
      </w:r>
      <w:r w:rsidRPr="001A28D2">
        <w:rPr>
          <w:rFonts w:eastAsiaTheme="minorHAnsi"/>
          <w:vertAlign w:val="superscript"/>
          <w:lang w:eastAsia="en-US"/>
        </w:rPr>
        <w:footnoteReference w:id="55"/>
      </w:r>
    </w:p>
    <w:p w14:paraId="62EF2A1C" w14:textId="7934BCE4" w:rsidR="004D5A22" w:rsidRPr="001A28D2" w:rsidRDefault="0000327A" w:rsidP="007E77CC">
      <w:pPr>
        <w:ind w:firstLine="709"/>
        <w:jc w:val="both"/>
      </w:pPr>
      <w:r w:rsidRPr="001A28D2">
        <w:rPr>
          <w:rFonts w:eastAsiaTheme="minorHAnsi"/>
          <w:lang w:eastAsia="en-US"/>
        </w:rPr>
        <w:t xml:space="preserve">3.1.4. </w:t>
      </w:r>
      <w:r w:rsidR="004D5A22" w:rsidRPr="001A28D2">
        <w:rPr>
          <w:rFonts w:eastAsiaTheme="minorHAnsi"/>
          <w:lang w:eastAsia="en-US"/>
        </w:rPr>
        <w:t>Предоставените текущи и капиталови трансфери за чужбина са превишени с 2 137,7 хил. лв., или със 17</w:t>
      </w:r>
      <w:r w:rsidR="00CA2D14" w:rsidRPr="001A28D2">
        <w:rPr>
          <w:rFonts w:eastAsiaTheme="minorHAnsi"/>
          <w:lang w:eastAsia="en-US"/>
        </w:rPr>
        <w:t>,9</w:t>
      </w:r>
      <w:r w:rsidR="004D5A22" w:rsidRPr="001A28D2">
        <w:rPr>
          <w:rFonts w:eastAsiaTheme="minorHAnsi"/>
          <w:lang w:eastAsia="en-US"/>
        </w:rPr>
        <w:t xml:space="preserve"> на сто. </w:t>
      </w:r>
      <w:proofErr w:type="spellStart"/>
      <w:r w:rsidR="004D5A22" w:rsidRPr="001A28D2">
        <w:rPr>
          <w:rFonts w:eastAsiaTheme="minorHAnsi"/>
          <w:lang w:eastAsia="en-US"/>
        </w:rPr>
        <w:t>Прeвишението</w:t>
      </w:r>
      <w:proofErr w:type="spellEnd"/>
      <w:r w:rsidR="004D5A22" w:rsidRPr="001A28D2">
        <w:rPr>
          <w:rFonts w:eastAsiaTheme="minorHAnsi"/>
          <w:lang w:eastAsia="en-US"/>
        </w:rPr>
        <w:t xml:space="preserve"> е </w:t>
      </w:r>
      <w:r w:rsidR="004D5A22" w:rsidRPr="001A28D2">
        <w:t>във връзка с приетия през 2016</w:t>
      </w:r>
      <w:r w:rsidR="009153DC" w:rsidRPr="001A28D2">
        <w:t> </w:t>
      </w:r>
      <w:r w:rsidR="004D5A22" w:rsidRPr="001A28D2">
        <w:t>г. Закон за ратифициране на Общото споразумение за създаване на рамка за управлението и условията на Механизма за Турция в полза на бежанците и сертификата за принос на Република България с приложения към него график на плащанията</w:t>
      </w:r>
      <w:r w:rsidR="00403F7F" w:rsidRPr="001A28D2">
        <w:t xml:space="preserve"> и предоставените допълнителни</w:t>
      </w:r>
      <w:r w:rsidR="004D5A22" w:rsidRPr="001A28D2">
        <w:t xml:space="preserve"> средства въз основа на ПМС №</w:t>
      </w:r>
      <w:r w:rsidR="009153DC" w:rsidRPr="001A28D2">
        <w:t> </w:t>
      </w:r>
      <w:r w:rsidR="004D5A22" w:rsidRPr="001A28D2">
        <w:t>252 от 2016</w:t>
      </w:r>
      <w:r w:rsidR="009153DC" w:rsidRPr="001A28D2">
        <w:t> </w:t>
      </w:r>
      <w:r w:rsidR="004D5A22" w:rsidRPr="001A28D2">
        <w:t>г. за одобряване на допълнителни разходи по бюджета на Министерството на външните работи за 2016</w:t>
      </w:r>
      <w:r w:rsidR="009153DC" w:rsidRPr="001A28D2">
        <w:t> </w:t>
      </w:r>
      <w:r w:rsidR="004D5A22" w:rsidRPr="001A28D2">
        <w:t>г. По принцип този разход възниква в началото на 2016</w:t>
      </w:r>
      <w:r w:rsidR="009153DC" w:rsidRPr="001A28D2">
        <w:t> </w:t>
      </w:r>
      <w:r w:rsidR="004D5A22" w:rsidRPr="001A28D2">
        <w:t>г. на базата на споразумение между държавите членки на ЕС и не би могъл да бъде планиран предварително, но графикът и размерите за плащанията са одобрени от Народното събрание с цитирания закон.</w:t>
      </w:r>
      <w:r w:rsidR="004D5A22" w:rsidRPr="001A28D2">
        <w:rPr>
          <w:rStyle w:val="FootnoteReference"/>
        </w:rPr>
        <w:footnoteReference w:id="56"/>
      </w:r>
    </w:p>
    <w:p w14:paraId="0C2F7131" w14:textId="0F3B46DC" w:rsidR="009661F1" w:rsidRPr="001A28D2" w:rsidRDefault="0000327A" w:rsidP="007E77CC">
      <w:pPr>
        <w:ind w:firstLine="709"/>
        <w:jc w:val="both"/>
        <w:rPr>
          <w:rFonts w:eastAsiaTheme="minorHAnsi"/>
          <w:lang w:eastAsia="en-US"/>
        </w:rPr>
      </w:pPr>
      <w:bookmarkStart w:id="0" w:name="to_paragraph_id31074221"/>
      <w:bookmarkEnd w:id="0"/>
      <w:r w:rsidRPr="001A28D2">
        <w:rPr>
          <w:rFonts w:eastAsiaTheme="minorHAnsi"/>
          <w:lang w:eastAsia="en-US"/>
        </w:rPr>
        <w:t xml:space="preserve">3.1.5. </w:t>
      </w:r>
      <w:r w:rsidR="009661F1" w:rsidRPr="001A28D2">
        <w:rPr>
          <w:rFonts w:eastAsiaTheme="minorHAnsi"/>
          <w:lang w:eastAsia="en-US"/>
        </w:rPr>
        <w:t>Със ЗДБРБ за 2016</w:t>
      </w:r>
      <w:r w:rsidR="009153DC" w:rsidRPr="001A28D2">
        <w:rPr>
          <w:rFonts w:eastAsiaTheme="minorHAnsi"/>
          <w:lang w:eastAsia="en-US"/>
        </w:rPr>
        <w:t> </w:t>
      </w:r>
      <w:r w:rsidR="009661F1" w:rsidRPr="001A28D2">
        <w:rPr>
          <w:rFonts w:eastAsiaTheme="minorHAnsi"/>
          <w:lang w:eastAsia="en-US"/>
        </w:rPr>
        <w:t>г. е приет „Резерв за непредвидени и неотложни разходи“ в размер на 71</w:t>
      </w:r>
      <w:r w:rsidR="009153DC" w:rsidRPr="001A28D2">
        <w:rPr>
          <w:rFonts w:eastAsiaTheme="minorHAnsi"/>
          <w:lang w:eastAsia="en-US"/>
        </w:rPr>
        <w:t> </w:t>
      </w:r>
      <w:r w:rsidR="009661F1" w:rsidRPr="001A28D2">
        <w:rPr>
          <w:rFonts w:eastAsiaTheme="minorHAnsi"/>
          <w:lang w:eastAsia="en-US"/>
        </w:rPr>
        <w:t>100</w:t>
      </w:r>
      <w:r w:rsidR="009153DC" w:rsidRPr="001A28D2">
        <w:rPr>
          <w:rFonts w:eastAsiaTheme="minorHAnsi"/>
          <w:lang w:eastAsia="en-US"/>
        </w:rPr>
        <w:t> </w:t>
      </w:r>
      <w:r w:rsidR="009661F1" w:rsidRPr="001A28D2">
        <w:rPr>
          <w:rFonts w:eastAsiaTheme="minorHAnsi"/>
          <w:lang w:eastAsia="en-US"/>
        </w:rPr>
        <w:t>хил.</w:t>
      </w:r>
      <w:r w:rsidR="009153DC" w:rsidRPr="001A28D2">
        <w:rPr>
          <w:rFonts w:eastAsiaTheme="minorHAnsi"/>
          <w:lang w:eastAsia="en-US"/>
        </w:rPr>
        <w:t> </w:t>
      </w:r>
      <w:r w:rsidR="009661F1" w:rsidRPr="001A28D2">
        <w:rPr>
          <w:rFonts w:eastAsiaTheme="minorHAnsi"/>
          <w:lang w:eastAsia="en-US"/>
        </w:rPr>
        <w:t>лв. Предвиденият резерв е разчетен по ЦБ, като 70</w:t>
      </w:r>
      <w:r w:rsidR="009153DC" w:rsidRPr="001A28D2">
        <w:rPr>
          <w:rFonts w:eastAsiaTheme="minorHAnsi"/>
          <w:lang w:eastAsia="en-US"/>
        </w:rPr>
        <w:t> </w:t>
      </w:r>
      <w:r w:rsidR="009661F1" w:rsidRPr="001A28D2">
        <w:rPr>
          <w:rFonts w:eastAsiaTheme="minorHAnsi"/>
          <w:lang w:eastAsia="en-US"/>
        </w:rPr>
        <w:t>000</w:t>
      </w:r>
      <w:r w:rsidR="009153DC" w:rsidRPr="001A28D2">
        <w:rPr>
          <w:rFonts w:eastAsiaTheme="minorHAnsi"/>
          <w:lang w:eastAsia="en-US"/>
        </w:rPr>
        <w:t> </w:t>
      </w:r>
      <w:r w:rsidR="009661F1" w:rsidRPr="001A28D2">
        <w:rPr>
          <w:rFonts w:eastAsiaTheme="minorHAnsi"/>
          <w:lang w:eastAsia="en-US"/>
        </w:rPr>
        <w:t>хил.</w:t>
      </w:r>
      <w:r w:rsidR="009153DC" w:rsidRPr="001A28D2">
        <w:rPr>
          <w:rFonts w:eastAsiaTheme="minorHAnsi"/>
          <w:lang w:eastAsia="en-US"/>
        </w:rPr>
        <w:t> </w:t>
      </w:r>
      <w:r w:rsidR="009661F1" w:rsidRPr="001A28D2">
        <w:rPr>
          <w:rFonts w:eastAsiaTheme="minorHAnsi"/>
          <w:lang w:eastAsia="en-US"/>
        </w:rPr>
        <w:t xml:space="preserve">лв. от средствата са предназначени за предотвратяване, овладяване и преодоляване на </w:t>
      </w:r>
      <w:r w:rsidR="009661F1" w:rsidRPr="001A28D2">
        <w:rPr>
          <w:rFonts w:eastAsiaTheme="minorHAnsi"/>
          <w:lang w:eastAsia="en-US"/>
        </w:rPr>
        <w:lastRenderedPageBreak/>
        <w:t>последиците от бедствия. Съгласно чл.</w:t>
      </w:r>
      <w:r w:rsidR="009153DC" w:rsidRPr="001A28D2">
        <w:rPr>
          <w:rFonts w:eastAsiaTheme="minorHAnsi"/>
          <w:lang w:eastAsia="en-US"/>
        </w:rPr>
        <w:t> 37, ал. 1 от ПМС № </w:t>
      </w:r>
      <w:r w:rsidR="009661F1" w:rsidRPr="001A28D2">
        <w:rPr>
          <w:rFonts w:eastAsiaTheme="minorHAnsi"/>
          <w:lang w:eastAsia="en-US"/>
        </w:rPr>
        <w:t>380 от 2015</w:t>
      </w:r>
      <w:r w:rsidR="009153DC" w:rsidRPr="001A28D2">
        <w:rPr>
          <w:rFonts w:eastAsiaTheme="minorHAnsi"/>
          <w:lang w:eastAsia="en-US"/>
        </w:rPr>
        <w:t> </w:t>
      </w:r>
      <w:r w:rsidR="009661F1" w:rsidRPr="001A28D2">
        <w:rPr>
          <w:rFonts w:eastAsiaTheme="minorHAnsi"/>
          <w:lang w:eastAsia="en-US"/>
        </w:rPr>
        <w:t xml:space="preserve">г. средствата от резерва за предотвратяване, овладяване и преодоляване на последиците от бедствия се разходват въз основа на акт на Министерския съвет по предложение на междуведомствената комисия за възстановяване и подпомагане към МС и </w:t>
      </w:r>
      <w:proofErr w:type="spellStart"/>
      <w:r w:rsidR="009661F1" w:rsidRPr="001A28D2">
        <w:rPr>
          <w:rFonts w:eastAsiaTheme="minorHAnsi"/>
          <w:lang w:eastAsia="en-US"/>
        </w:rPr>
        <w:t>сe</w:t>
      </w:r>
      <w:proofErr w:type="spellEnd"/>
      <w:r w:rsidR="009661F1" w:rsidRPr="001A28D2">
        <w:rPr>
          <w:rFonts w:eastAsiaTheme="minorHAnsi"/>
          <w:lang w:eastAsia="en-US"/>
        </w:rPr>
        <w:t xml:space="preserve"> отчитат по параграфите от ЕБК и разходните показатели по бюджетите, по които са извършени.</w:t>
      </w:r>
    </w:p>
    <w:p w14:paraId="13162E15" w14:textId="522F331E" w:rsidR="009661F1" w:rsidRPr="001A28D2" w:rsidRDefault="00D0059E" w:rsidP="007E77CC">
      <w:pPr>
        <w:ind w:firstLine="709"/>
        <w:jc w:val="both"/>
        <w:rPr>
          <w:rFonts w:eastAsiaTheme="minorHAnsi"/>
          <w:lang w:eastAsia="en-US"/>
        </w:rPr>
      </w:pPr>
      <w:r w:rsidRPr="001A28D2">
        <w:rPr>
          <w:rFonts w:eastAsiaTheme="minorHAnsi"/>
          <w:lang w:eastAsia="en-US"/>
        </w:rPr>
        <w:t>3</w:t>
      </w:r>
      <w:r w:rsidR="009661F1" w:rsidRPr="001A28D2">
        <w:rPr>
          <w:rFonts w:eastAsiaTheme="minorHAnsi"/>
          <w:lang w:eastAsia="en-US"/>
        </w:rPr>
        <w:t xml:space="preserve">.2. В раздел „Бюджетни взаимоотношения (трансфери) – нето“ по ДБ са отчетени </w:t>
      </w:r>
      <w:r w:rsidR="00CA2D14" w:rsidRPr="001A28D2">
        <w:rPr>
          <w:rFonts w:eastAsiaTheme="minorHAnsi"/>
          <w:lang w:eastAsia="en-US"/>
        </w:rPr>
        <w:t>10 822 498,4</w:t>
      </w:r>
      <w:r w:rsidR="009661F1" w:rsidRPr="001A28D2">
        <w:rPr>
          <w:rFonts w:eastAsiaTheme="minorHAnsi"/>
          <w:lang w:eastAsia="en-US"/>
        </w:rPr>
        <w:t> хил. лв. Сумата превишава с 367</w:t>
      </w:r>
      <w:r w:rsidR="00CA2D14" w:rsidRPr="001A28D2">
        <w:rPr>
          <w:rFonts w:eastAsiaTheme="minorHAnsi"/>
          <w:lang w:eastAsia="en-US"/>
        </w:rPr>
        <w:t xml:space="preserve"> 305,2 </w:t>
      </w:r>
      <w:r w:rsidR="009661F1" w:rsidRPr="001A28D2">
        <w:rPr>
          <w:rFonts w:eastAsiaTheme="minorHAnsi"/>
          <w:lang w:eastAsia="en-US"/>
        </w:rPr>
        <w:t>хил. лв. утвърдените трансфери със ЗДБРБ за 2016</w:t>
      </w:r>
      <w:r w:rsidR="009153DC" w:rsidRPr="001A28D2">
        <w:rPr>
          <w:rFonts w:eastAsiaTheme="minorHAnsi"/>
          <w:lang w:eastAsia="en-US"/>
        </w:rPr>
        <w:t> </w:t>
      </w:r>
      <w:r w:rsidR="009661F1" w:rsidRPr="001A28D2">
        <w:rPr>
          <w:rFonts w:eastAsiaTheme="minorHAnsi"/>
          <w:lang w:eastAsia="en-US"/>
        </w:rPr>
        <w:t>г. и представлява нетен резултат от предоставените и получените трансфери и възстановени временни безлихвени заеми от/за ЦБ (нето).</w:t>
      </w:r>
    </w:p>
    <w:p w14:paraId="54F2A7D4" w14:textId="684F0A79" w:rsidR="009661F1" w:rsidRPr="001A28D2" w:rsidRDefault="001363FB" w:rsidP="007E77CC">
      <w:pPr>
        <w:ind w:firstLine="709"/>
        <w:jc w:val="both"/>
        <w:rPr>
          <w:rFonts w:eastAsiaTheme="minorHAnsi"/>
          <w:lang w:eastAsia="en-US"/>
        </w:rPr>
      </w:pPr>
      <w:r w:rsidRPr="001A28D2">
        <w:rPr>
          <w:rFonts w:eastAsiaTheme="minorHAnsi"/>
          <w:lang w:eastAsia="en-US"/>
        </w:rPr>
        <w:t xml:space="preserve">3.2.1. </w:t>
      </w:r>
      <w:r w:rsidR="009661F1" w:rsidRPr="001A28D2">
        <w:rPr>
          <w:rFonts w:eastAsiaTheme="minorHAnsi"/>
          <w:lang w:eastAsia="en-US"/>
        </w:rPr>
        <w:t xml:space="preserve">По показателя „Предоставени трансфери“ по ДБ са отчетени </w:t>
      </w:r>
      <w:r w:rsidR="00FA3723" w:rsidRPr="001A28D2">
        <w:rPr>
          <w:rFonts w:eastAsiaTheme="minorHAnsi"/>
          <w:lang w:eastAsia="en-US"/>
        </w:rPr>
        <w:t>11 222 266</w:t>
      </w:r>
      <w:r w:rsidR="009661F1" w:rsidRPr="001A28D2">
        <w:rPr>
          <w:rFonts w:eastAsiaTheme="minorHAnsi"/>
          <w:lang w:eastAsia="en-US"/>
        </w:rPr>
        <w:t> хил. лв., при изпълнение 106,6 на</w:t>
      </w:r>
      <w:r w:rsidR="009153DC" w:rsidRPr="001A28D2">
        <w:rPr>
          <w:rFonts w:eastAsiaTheme="minorHAnsi"/>
          <w:lang w:eastAsia="en-US"/>
        </w:rPr>
        <w:t> </w:t>
      </w:r>
      <w:r w:rsidR="009661F1" w:rsidRPr="001A28D2">
        <w:rPr>
          <w:rFonts w:eastAsiaTheme="minorHAnsi"/>
          <w:lang w:eastAsia="en-US"/>
        </w:rPr>
        <w:t xml:space="preserve">сто спрямо сумата приета със ЗДБРБ за 2016 г. </w:t>
      </w:r>
      <w:proofErr w:type="spellStart"/>
      <w:r w:rsidR="009661F1" w:rsidRPr="001A28D2">
        <w:rPr>
          <w:rFonts w:eastAsiaTheme="minorHAnsi"/>
          <w:lang w:eastAsia="en-US"/>
        </w:rPr>
        <w:t>Превишението</w:t>
      </w:r>
      <w:proofErr w:type="spellEnd"/>
      <w:r w:rsidR="009661F1" w:rsidRPr="001A28D2">
        <w:rPr>
          <w:rFonts w:eastAsiaTheme="minorHAnsi"/>
          <w:lang w:eastAsia="en-US"/>
        </w:rPr>
        <w:t xml:space="preserve"> над утвърдените със ЗДБРБ за 2016 г. предоставени трансфери е </w:t>
      </w:r>
      <w:r w:rsidR="00FA3723" w:rsidRPr="001A28D2">
        <w:rPr>
          <w:rFonts w:eastAsiaTheme="minorHAnsi"/>
          <w:lang w:eastAsia="en-US"/>
        </w:rPr>
        <w:t>696 238,8</w:t>
      </w:r>
      <w:r w:rsidR="009661F1" w:rsidRPr="001A28D2">
        <w:rPr>
          <w:rFonts w:eastAsiaTheme="minorHAnsi"/>
          <w:lang w:eastAsia="en-US"/>
        </w:rPr>
        <w:t xml:space="preserve"> хил. лв. </w:t>
      </w:r>
    </w:p>
    <w:p w14:paraId="7C1D65CD" w14:textId="78FF18EB" w:rsidR="009661F1" w:rsidRPr="001A28D2" w:rsidRDefault="009661F1" w:rsidP="007E77CC">
      <w:pPr>
        <w:ind w:firstLine="709"/>
        <w:jc w:val="both"/>
        <w:rPr>
          <w:rFonts w:eastAsiaTheme="minorHAnsi"/>
          <w:lang w:eastAsia="en-US"/>
        </w:rPr>
      </w:pPr>
      <w:r w:rsidRPr="001A28D2">
        <w:rPr>
          <w:rFonts w:eastAsiaTheme="minorHAnsi"/>
          <w:lang w:eastAsia="en-US"/>
        </w:rPr>
        <w:t>В повече са предоставени трансфери на: общините с 557</w:t>
      </w:r>
      <w:r w:rsidR="004123C6" w:rsidRPr="001A28D2">
        <w:rPr>
          <w:rFonts w:eastAsiaTheme="minorHAnsi"/>
          <w:lang w:eastAsia="en-US"/>
        </w:rPr>
        <w:t> </w:t>
      </w:r>
      <w:r w:rsidRPr="001A28D2">
        <w:rPr>
          <w:rFonts w:eastAsiaTheme="minorHAnsi"/>
          <w:lang w:eastAsia="en-US"/>
        </w:rPr>
        <w:t>707,2</w:t>
      </w:r>
      <w:r w:rsidR="004123C6" w:rsidRPr="001A28D2">
        <w:rPr>
          <w:rFonts w:eastAsiaTheme="minorHAnsi"/>
          <w:lang w:eastAsia="en-US"/>
        </w:rPr>
        <w:t> </w:t>
      </w:r>
      <w:r w:rsidRPr="001A28D2">
        <w:rPr>
          <w:rFonts w:eastAsiaTheme="minorHAnsi"/>
          <w:lang w:eastAsia="en-US"/>
        </w:rPr>
        <w:t>хил.</w:t>
      </w:r>
      <w:r w:rsidR="004123C6" w:rsidRPr="001A28D2">
        <w:rPr>
          <w:rFonts w:eastAsiaTheme="minorHAnsi"/>
          <w:lang w:eastAsia="en-US"/>
        </w:rPr>
        <w:t> </w:t>
      </w:r>
      <w:r w:rsidRPr="001A28D2">
        <w:rPr>
          <w:rFonts w:eastAsiaTheme="minorHAnsi"/>
          <w:lang w:eastAsia="en-US"/>
        </w:rPr>
        <w:t>лв.; НЗОК с 533,1</w:t>
      </w:r>
      <w:r w:rsidR="009153DC" w:rsidRPr="001A28D2">
        <w:rPr>
          <w:rFonts w:eastAsiaTheme="minorHAnsi"/>
          <w:lang w:eastAsia="en-US"/>
        </w:rPr>
        <w:t> </w:t>
      </w:r>
      <w:r w:rsidRPr="001A28D2">
        <w:rPr>
          <w:rFonts w:eastAsiaTheme="minorHAnsi"/>
          <w:lang w:eastAsia="en-US"/>
        </w:rPr>
        <w:t>хил.</w:t>
      </w:r>
      <w:r w:rsidR="009153DC" w:rsidRPr="001A28D2">
        <w:rPr>
          <w:rFonts w:eastAsiaTheme="minorHAnsi"/>
          <w:lang w:eastAsia="en-US"/>
        </w:rPr>
        <w:t> </w:t>
      </w:r>
      <w:r w:rsidRPr="001A28D2">
        <w:rPr>
          <w:rFonts w:eastAsiaTheme="minorHAnsi"/>
          <w:lang w:eastAsia="en-US"/>
        </w:rPr>
        <w:t>лв.; БНР със 197,5</w:t>
      </w:r>
      <w:r w:rsidR="009153DC" w:rsidRPr="001A28D2">
        <w:rPr>
          <w:rFonts w:eastAsiaTheme="minorHAnsi"/>
          <w:lang w:eastAsia="en-US"/>
        </w:rPr>
        <w:t> </w:t>
      </w:r>
      <w:r w:rsidRPr="001A28D2">
        <w:rPr>
          <w:rFonts w:eastAsiaTheme="minorHAnsi"/>
          <w:lang w:eastAsia="en-US"/>
        </w:rPr>
        <w:t>хил.</w:t>
      </w:r>
      <w:r w:rsidR="009153DC" w:rsidRPr="001A28D2">
        <w:rPr>
          <w:rFonts w:eastAsiaTheme="minorHAnsi"/>
          <w:lang w:eastAsia="en-US"/>
        </w:rPr>
        <w:t> </w:t>
      </w:r>
      <w:r w:rsidR="00403F7F" w:rsidRPr="001A28D2">
        <w:rPr>
          <w:rFonts w:eastAsiaTheme="minorHAnsi"/>
          <w:lang w:eastAsia="en-US"/>
        </w:rPr>
        <w:t>лв.; БНТ с 500</w:t>
      </w:r>
      <w:r w:rsidR="009153DC" w:rsidRPr="001A28D2">
        <w:rPr>
          <w:rFonts w:eastAsiaTheme="minorHAnsi"/>
          <w:lang w:eastAsia="en-US"/>
        </w:rPr>
        <w:t> хил. </w:t>
      </w:r>
      <w:r w:rsidR="00403F7F" w:rsidRPr="001A28D2">
        <w:rPr>
          <w:rFonts w:eastAsiaTheme="minorHAnsi"/>
          <w:lang w:eastAsia="en-US"/>
        </w:rPr>
        <w:t>лв.; БТА със 120</w:t>
      </w:r>
      <w:r w:rsidR="009153DC" w:rsidRPr="001A28D2">
        <w:rPr>
          <w:rFonts w:eastAsiaTheme="minorHAnsi"/>
          <w:lang w:eastAsia="en-US"/>
        </w:rPr>
        <w:t> </w:t>
      </w:r>
      <w:r w:rsidRPr="001A28D2">
        <w:rPr>
          <w:rFonts w:eastAsiaTheme="minorHAnsi"/>
          <w:lang w:eastAsia="en-US"/>
        </w:rPr>
        <w:t>хил.</w:t>
      </w:r>
      <w:r w:rsidR="009153DC" w:rsidRPr="001A28D2">
        <w:rPr>
          <w:rFonts w:eastAsiaTheme="minorHAnsi"/>
          <w:lang w:eastAsia="en-US"/>
        </w:rPr>
        <w:t> лв.; ДВУ с 5 </w:t>
      </w:r>
      <w:r w:rsidRPr="001A28D2">
        <w:rPr>
          <w:rFonts w:eastAsiaTheme="minorHAnsi"/>
          <w:lang w:eastAsia="en-US"/>
        </w:rPr>
        <w:t>363,6</w:t>
      </w:r>
      <w:r w:rsidR="009153DC" w:rsidRPr="001A28D2">
        <w:rPr>
          <w:rFonts w:eastAsiaTheme="minorHAnsi"/>
          <w:lang w:eastAsia="en-US"/>
        </w:rPr>
        <w:t> </w:t>
      </w:r>
      <w:r w:rsidRPr="001A28D2">
        <w:rPr>
          <w:rFonts w:eastAsiaTheme="minorHAnsi"/>
          <w:lang w:eastAsia="en-US"/>
        </w:rPr>
        <w:t>хил.</w:t>
      </w:r>
      <w:r w:rsidR="009153DC" w:rsidRPr="001A28D2">
        <w:rPr>
          <w:rFonts w:eastAsiaTheme="minorHAnsi"/>
          <w:lang w:eastAsia="en-US"/>
        </w:rPr>
        <w:t> </w:t>
      </w:r>
      <w:r w:rsidRPr="001A28D2">
        <w:rPr>
          <w:rFonts w:eastAsiaTheme="minorHAnsi"/>
          <w:lang w:eastAsia="en-US"/>
        </w:rPr>
        <w:t>лв.; БАН с 10</w:t>
      </w:r>
      <w:r w:rsidR="009153DC" w:rsidRPr="001A28D2">
        <w:rPr>
          <w:rFonts w:eastAsiaTheme="minorHAnsi"/>
          <w:lang w:eastAsia="en-US"/>
        </w:rPr>
        <w:t> 302,8 </w:t>
      </w:r>
      <w:r w:rsidRPr="001A28D2">
        <w:rPr>
          <w:rFonts w:eastAsiaTheme="minorHAnsi"/>
          <w:lang w:eastAsia="en-US"/>
        </w:rPr>
        <w:t>хил.</w:t>
      </w:r>
      <w:r w:rsidR="009153DC" w:rsidRPr="001A28D2">
        <w:rPr>
          <w:rFonts w:eastAsiaTheme="minorHAnsi"/>
          <w:lang w:eastAsia="en-US"/>
        </w:rPr>
        <w:t> </w:t>
      </w:r>
      <w:r w:rsidRPr="001A28D2">
        <w:rPr>
          <w:rFonts w:eastAsiaTheme="minorHAnsi"/>
          <w:lang w:eastAsia="en-US"/>
        </w:rPr>
        <w:t>лв.; ПУДООС с 12</w:t>
      </w:r>
      <w:r w:rsidR="009153DC" w:rsidRPr="001A28D2">
        <w:rPr>
          <w:rFonts w:eastAsiaTheme="minorHAnsi"/>
          <w:lang w:eastAsia="en-US"/>
        </w:rPr>
        <w:t> </w:t>
      </w:r>
      <w:r w:rsidRPr="001A28D2">
        <w:rPr>
          <w:rFonts w:eastAsiaTheme="minorHAnsi"/>
          <w:lang w:eastAsia="en-US"/>
        </w:rPr>
        <w:t>522,4</w:t>
      </w:r>
      <w:r w:rsidR="009153DC" w:rsidRPr="001A28D2">
        <w:rPr>
          <w:rFonts w:eastAsiaTheme="minorHAnsi"/>
          <w:lang w:eastAsia="en-US"/>
        </w:rPr>
        <w:t> </w:t>
      </w:r>
      <w:r w:rsidRPr="001A28D2">
        <w:rPr>
          <w:rFonts w:eastAsiaTheme="minorHAnsi"/>
          <w:lang w:eastAsia="en-US"/>
        </w:rPr>
        <w:t>хил.</w:t>
      </w:r>
      <w:r w:rsidR="009153DC" w:rsidRPr="001A28D2">
        <w:rPr>
          <w:rFonts w:eastAsiaTheme="minorHAnsi"/>
          <w:lang w:eastAsia="en-US"/>
        </w:rPr>
        <w:t> </w:t>
      </w:r>
      <w:r w:rsidRPr="001A28D2">
        <w:rPr>
          <w:rFonts w:eastAsiaTheme="minorHAnsi"/>
          <w:lang w:eastAsia="en-US"/>
        </w:rPr>
        <w:t>лв.</w:t>
      </w:r>
    </w:p>
    <w:p w14:paraId="0ED757FF" w14:textId="77777777" w:rsidR="009661F1" w:rsidRPr="001A28D2" w:rsidRDefault="009661F1" w:rsidP="007E77CC">
      <w:pPr>
        <w:ind w:firstLine="709"/>
        <w:jc w:val="both"/>
        <w:rPr>
          <w:rFonts w:eastAsiaTheme="minorHAnsi"/>
          <w:lang w:eastAsia="en-US"/>
        </w:rPr>
      </w:pPr>
      <w:r w:rsidRPr="001A28D2">
        <w:rPr>
          <w:rFonts w:eastAsiaTheme="minorHAnsi"/>
          <w:lang w:eastAsia="en-US"/>
        </w:rPr>
        <w:t>В повече са предоставени трансфери на:</w:t>
      </w:r>
      <w:r w:rsidRPr="001A28D2">
        <w:rPr>
          <w:rFonts w:eastAsiaTheme="minorHAnsi"/>
          <w:vertAlign w:val="superscript"/>
          <w:lang w:eastAsia="en-US"/>
        </w:rPr>
        <w:t xml:space="preserve"> </w:t>
      </w:r>
      <w:r w:rsidRPr="001A28D2">
        <w:rPr>
          <w:rFonts w:eastAsiaTheme="minorHAnsi"/>
          <w:vertAlign w:val="superscript"/>
          <w:lang w:eastAsia="en-US"/>
        </w:rPr>
        <w:footnoteReference w:id="57"/>
      </w:r>
      <w:r w:rsidRPr="001A28D2">
        <w:rPr>
          <w:rFonts w:eastAsiaTheme="minorHAnsi"/>
          <w:vertAlign w:val="superscript"/>
          <w:lang w:eastAsia="en-US"/>
        </w:rPr>
        <w:t>,</w:t>
      </w:r>
      <w:r w:rsidRPr="001A28D2">
        <w:rPr>
          <w:rFonts w:eastAsiaTheme="minorHAnsi"/>
          <w:vertAlign w:val="superscript"/>
          <w:lang w:eastAsia="en-US"/>
        </w:rPr>
        <w:footnoteReference w:id="58"/>
      </w:r>
    </w:p>
    <w:p w14:paraId="7657821D" w14:textId="77777777" w:rsidR="009661F1" w:rsidRPr="001A28D2" w:rsidRDefault="00835456" w:rsidP="007E77CC">
      <w:pPr>
        <w:ind w:firstLine="709"/>
        <w:contextualSpacing/>
        <w:jc w:val="both"/>
        <w:rPr>
          <w:rFonts w:eastAsiaTheme="minorHAnsi"/>
          <w:lang w:eastAsia="en-US"/>
        </w:rPr>
      </w:pPr>
      <w:r w:rsidRPr="001A28D2">
        <w:rPr>
          <w:rFonts w:eastAsiaTheme="minorHAnsi"/>
          <w:lang w:eastAsia="en-US"/>
        </w:rPr>
        <w:t xml:space="preserve">а) </w:t>
      </w:r>
      <w:r w:rsidR="00C61991" w:rsidRPr="001A28D2">
        <w:rPr>
          <w:rFonts w:eastAsiaTheme="minorHAnsi"/>
          <w:lang w:eastAsia="en-US"/>
        </w:rPr>
        <w:t>о</w:t>
      </w:r>
      <w:r w:rsidR="009661F1" w:rsidRPr="001A28D2">
        <w:rPr>
          <w:rFonts w:eastAsiaTheme="minorHAnsi"/>
          <w:lang w:eastAsia="en-US"/>
        </w:rPr>
        <w:t xml:space="preserve">бщините - поради извършени </w:t>
      </w:r>
      <w:r w:rsidR="00D31D2D" w:rsidRPr="001A28D2">
        <w:rPr>
          <w:rFonts w:eastAsiaTheme="minorHAnsi"/>
          <w:lang w:eastAsia="en-US"/>
        </w:rPr>
        <w:t>промени</w:t>
      </w:r>
      <w:r w:rsidR="009661F1" w:rsidRPr="001A28D2">
        <w:rPr>
          <w:rFonts w:eastAsiaTheme="minorHAnsi"/>
          <w:lang w:eastAsia="en-US"/>
        </w:rPr>
        <w:t xml:space="preserve"> </w:t>
      </w:r>
      <w:r w:rsidR="007B0FF4" w:rsidRPr="001A28D2">
        <w:rPr>
          <w:rFonts w:eastAsiaTheme="minorHAnsi"/>
          <w:lang w:eastAsia="en-US"/>
        </w:rPr>
        <w:t>на бюджетните взаимоотношения</w:t>
      </w:r>
      <w:r w:rsidR="009661F1" w:rsidRPr="001A28D2">
        <w:rPr>
          <w:rFonts w:eastAsiaTheme="minorHAnsi"/>
          <w:lang w:eastAsia="en-US"/>
        </w:rPr>
        <w:t xml:space="preserve"> на общините </w:t>
      </w:r>
      <w:r w:rsidR="007B0FF4" w:rsidRPr="001A28D2">
        <w:rPr>
          <w:rFonts w:eastAsiaTheme="minorHAnsi"/>
          <w:lang w:eastAsia="en-US"/>
        </w:rPr>
        <w:t xml:space="preserve">с ЦБ </w:t>
      </w:r>
      <w:r w:rsidR="009661F1" w:rsidRPr="001A28D2">
        <w:rPr>
          <w:rFonts w:eastAsiaTheme="minorHAnsi"/>
          <w:lang w:eastAsia="en-US"/>
        </w:rPr>
        <w:t>в изпълнение на постановления на Министерския съвет;</w:t>
      </w:r>
    </w:p>
    <w:p w14:paraId="16278062" w14:textId="77777777" w:rsidR="009661F1" w:rsidRPr="001A28D2" w:rsidRDefault="00835456" w:rsidP="007E77CC">
      <w:pPr>
        <w:ind w:firstLine="709"/>
        <w:contextualSpacing/>
        <w:jc w:val="both"/>
        <w:rPr>
          <w:rFonts w:eastAsiaTheme="minorHAnsi"/>
          <w:lang w:eastAsia="en-US"/>
        </w:rPr>
      </w:pPr>
      <w:r w:rsidRPr="001A28D2">
        <w:rPr>
          <w:rFonts w:eastAsiaTheme="minorHAnsi"/>
          <w:lang w:eastAsia="en-US"/>
        </w:rPr>
        <w:t xml:space="preserve">б) </w:t>
      </w:r>
      <w:r w:rsidR="009661F1" w:rsidRPr="001A28D2">
        <w:rPr>
          <w:rFonts w:eastAsiaTheme="minorHAnsi"/>
          <w:lang w:eastAsia="en-US"/>
        </w:rPr>
        <w:t>НЗОК - предоставен допълнителен трансфер от бюджета на МЗ за 2016</w:t>
      </w:r>
      <w:r w:rsidR="009153DC" w:rsidRPr="001A28D2">
        <w:rPr>
          <w:rFonts w:eastAsiaTheme="minorHAnsi"/>
          <w:lang w:eastAsia="en-US"/>
        </w:rPr>
        <w:t> </w:t>
      </w:r>
      <w:r w:rsidR="009661F1" w:rsidRPr="001A28D2">
        <w:rPr>
          <w:rFonts w:eastAsiaTheme="minorHAnsi"/>
          <w:lang w:eastAsia="en-US"/>
        </w:rPr>
        <w:t>г. за изпълнение на задълженията, произтичащи от прилагането на правилата за координация на системите за социална сигурност съгласно §</w:t>
      </w:r>
      <w:r w:rsidR="009153DC" w:rsidRPr="001A28D2">
        <w:rPr>
          <w:rFonts w:eastAsiaTheme="minorHAnsi"/>
          <w:lang w:eastAsia="en-US"/>
        </w:rPr>
        <w:t> </w:t>
      </w:r>
      <w:r w:rsidR="009661F1" w:rsidRPr="001A28D2">
        <w:rPr>
          <w:rFonts w:eastAsiaTheme="minorHAnsi"/>
          <w:lang w:eastAsia="en-US"/>
        </w:rPr>
        <w:t>3 от ПЗР на З</w:t>
      </w:r>
      <w:r w:rsidR="009153DC" w:rsidRPr="001A28D2">
        <w:rPr>
          <w:rFonts w:eastAsiaTheme="minorHAnsi"/>
          <w:lang w:eastAsia="en-US"/>
        </w:rPr>
        <w:t>акона за бюджета на Н</w:t>
      </w:r>
      <w:r w:rsidR="009661F1" w:rsidRPr="001A28D2">
        <w:rPr>
          <w:rFonts w:eastAsiaTheme="minorHAnsi"/>
          <w:lang w:eastAsia="en-US"/>
        </w:rPr>
        <w:t>ЗОК за 2016</w:t>
      </w:r>
      <w:r w:rsidR="009153DC" w:rsidRPr="001A28D2">
        <w:rPr>
          <w:rFonts w:eastAsiaTheme="minorHAnsi"/>
          <w:lang w:eastAsia="en-US"/>
        </w:rPr>
        <w:t> </w:t>
      </w:r>
      <w:r w:rsidR="009661F1" w:rsidRPr="001A28D2">
        <w:rPr>
          <w:rFonts w:eastAsiaTheme="minorHAnsi"/>
          <w:lang w:eastAsia="en-US"/>
        </w:rPr>
        <w:t>г.;</w:t>
      </w:r>
    </w:p>
    <w:p w14:paraId="0474EE2C" w14:textId="77777777" w:rsidR="009661F1" w:rsidRPr="001A28D2" w:rsidRDefault="00835456" w:rsidP="007E77CC">
      <w:pPr>
        <w:ind w:firstLine="709"/>
        <w:contextualSpacing/>
        <w:jc w:val="both"/>
        <w:rPr>
          <w:rFonts w:eastAsiaTheme="minorHAnsi"/>
          <w:lang w:eastAsia="en-US"/>
        </w:rPr>
      </w:pPr>
      <w:r w:rsidRPr="001A28D2">
        <w:rPr>
          <w:rFonts w:eastAsiaTheme="minorHAnsi"/>
          <w:lang w:eastAsia="en-US"/>
        </w:rPr>
        <w:t xml:space="preserve">в) </w:t>
      </w:r>
      <w:r w:rsidR="009661F1" w:rsidRPr="001A28D2">
        <w:rPr>
          <w:rFonts w:eastAsiaTheme="minorHAnsi"/>
          <w:lang w:eastAsia="en-US"/>
        </w:rPr>
        <w:t>БНР</w:t>
      </w:r>
      <w:r w:rsidR="007A1009" w:rsidRPr="001A28D2">
        <w:rPr>
          <w:rFonts w:eastAsiaTheme="minorHAnsi"/>
          <w:lang w:eastAsia="en-US"/>
        </w:rPr>
        <w:t xml:space="preserve"> -</w:t>
      </w:r>
      <w:r w:rsidR="009661F1" w:rsidRPr="001A28D2">
        <w:rPr>
          <w:rFonts w:eastAsiaTheme="minorHAnsi"/>
          <w:lang w:eastAsia="en-US"/>
        </w:rPr>
        <w:t xml:space="preserve"> одобрен допълнителен трансфер съгласно ПМС №</w:t>
      </w:r>
      <w:r w:rsidR="00033715" w:rsidRPr="001A28D2">
        <w:rPr>
          <w:rFonts w:eastAsiaTheme="minorHAnsi"/>
          <w:lang w:eastAsia="en-US"/>
        </w:rPr>
        <w:t> </w:t>
      </w:r>
      <w:r w:rsidR="009661F1" w:rsidRPr="001A28D2">
        <w:rPr>
          <w:rFonts w:eastAsiaTheme="minorHAnsi"/>
          <w:lang w:eastAsia="en-US"/>
        </w:rPr>
        <w:t>232 от 2016</w:t>
      </w:r>
      <w:r w:rsidR="00033715" w:rsidRPr="001A28D2">
        <w:rPr>
          <w:rFonts w:eastAsiaTheme="minorHAnsi"/>
          <w:lang w:eastAsia="en-US"/>
        </w:rPr>
        <w:t> </w:t>
      </w:r>
      <w:r w:rsidR="009661F1" w:rsidRPr="001A28D2">
        <w:rPr>
          <w:rFonts w:eastAsiaTheme="minorHAnsi"/>
          <w:lang w:eastAsia="en-US"/>
        </w:rPr>
        <w:t xml:space="preserve">г. за разходи по подготовката и провеждането на изборите за президент и вицепрезидент на републиката и на национален референдум на </w:t>
      </w:r>
      <w:r w:rsidR="009661F1" w:rsidRPr="001A28D2">
        <w:rPr>
          <w:rFonts w:eastAsiaTheme="minorHAnsi" w:cstheme="minorBidi"/>
          <w:bCs/>
          <w:lang w:eastAsia="en-US"/>
        </w:rPr>
        <w:t>06.11.2016 г.;</w:t>
      </w:r>
    </w:p>
    <w:p w14:paraId="14E1B4CD" w14:textId="77777777" w:rsidR="009661F1" w:rsidRPr="001A28D2" w:rsidRDefault="00835456" w:rsidP="007E77CC">
      <w:pPr>
        <w:ind w:firstLine="709"/>
        <w:contextualSpacing/>
        <w:jc w:val="both"/>
        <w:rPr>
          <w:rFonts w:eastAsiaTheme="minorHAnsi"/>
          <w:lang w:eastAsia="en-US"/>
        </w:rPr>
      </w:pPr>
      <w:r w:rsidRPr="001A28D2">
        <w:rPr>
          <w:rFonts w:eastAsiaTheme="minorHAnsi"/>
          <w:lang w:eastAsia="en-US"/>
        </w:rPr>
        <w:t xml:space="preserve">г) </w:t>
      </w:r>
      <w:r w:rsidR="009661F1" w:rsidRPr="001A28D2">
        <w:rPr>
          <w:rFonts w:eastAsiaTheme="minorHAnsi"/>
          <w:lang w:eastAsia="en-US"/>
        </w:rPr>
        <w:t>БНТ</w:t>
      </w:r>
      <w:r w:rsidR="009661F1" w:rsidRPr="001A28D2">
        <w:rPr>
          <w:rFonts w:eastAsiaTheme="minorHAnsi" w:cstheme="minorBidi"/>
          <w:bCs/>
          <w:lang w:eastAsia="en-US"/>
        </w:rPr>
        <w:t xml:space="preserve"> - одобрен допълнителен трансфер съгласно ПМС №</w:t>
      </w:r>
      <w:r w:rsidR="00033715" w:rsidRPr="001A28D2">
        <w:rPr>
          <w:rFonts w:eastAsiaTheme="minorHAnsi" w:cstheme="minorBidi"/>
          <w:bCs/>
          <w:lang w:eastAsia="en-US"/>
        </w:rPr>
        <w:t> </w:t>
      </w:r>
      <w:r w:rsidR="009661F1" w:rsidRPr="001A28D2">
        <w:rPr>
          <w:rFonts w:eastAsiaTheme="minorHAnsi" w:cstheme="minorBidi"/>
          <w:bCs/>
          <w:lang w:eastAsia="en-US"/>
        </w:rPr>
        <w:t>232 от 2016</w:t>
      </w:r>
      <w:r w:rsidR="00033715" w:rsidRPr="001A28D2">
        <w:rPr>
          <w:rFonts w:eastAsiaTheme="minorHAnsi" w:cstheme="minorBidi"/>
          <w:bCs/>
          <w:lang w:eastAsia="en-US"/>
        </w:rPr>
        <w:t> </w:t>
      </w:r>
      <w:r w:rsidR="009661F1" w:rsidRPr="001A28D2">
        <w:rPr>
          <w:rFonts w:eastAsiaTheme="minorHAnsi" w:cstheme="minorBidi"/>
          <w:bCs/>
          <w:lang w:eastAsia="en-US"/>
        </w:rPr>
        <w:t>г. за разходи по подготовката и провеждането на изборите за президент и вицепрезидент на републиката и на национален референдум на 06.11.2016 г.;</w:t>
      </w:r>
      <w:r w:rsidR="009661F1" w:rsidRPr="001A28D2">
        <w:rPr>
          <w:rFonts w:eastAsiaTheme="minorHAnsi"/>
          <w:lang w:eastAsia="en-US"/>
        </w:rPr>
        <w:t xml:space="preserve"> </w:t>
      </w:r>
    </w:p>
    <w:p w14:paraId="31E1D365" w14:textId="77777777" w:rsidR="009661F1" w:rsidRPr="001A28D2" w:rsidRDefault="00835456" w:rsidP="007E77CC">
      <w:pPr>
        <w:ind w:firstLine="709"/>
        <w:contextualSpacing/>
        <w:jc w:val="both"/>
        <w:rPr>
          <w:rFonts w:eastAsiaTheme="minorHAnsi"/>
          <w:lang w:eastAsia="en-US"/>
        </w:rPr>
      </w:pPr>
      <w:r w:rsidRPr="001A28D2">
        <w:rPr>
          <w:rFonts w:eastAsiaTheme="minorHAnsi"/>
          <w:lang w:eastAsia="en-US"/>
        </w:rPr>
        <w:t xml:space="preserve">д) </w:t>
      </w:r>
      <w:r w:rsidR="009661F1" w:rsidRPr="001A28D2">
        <w:rPr>
          <w:rFonts w:eastAsiaTheme="minorHAnsi"/>
          <w:lang w:eastAsia="en-US"/>
        </w:rPr>
        <w:t>БТА</w:t>
      </w:r>
      <w:r w:rsidR="009661F1" w:rsidRPr="001A28D2">
        <w:rPr>
          <w:rFonts w:eastAsiaTheme="minorHAnsi" w:cstheme="minorBidi"/>
          <w:bCs/>
          <w:lang w:eastAsia="en-US"/>
        </w:rPr>
        <w:t xml:space="preserve"> - допълнително одобрен трансфер съгласно ПМС №</w:t>
      </w:r>
      <w:r w:rsidR="00033715" w:rsidRPr="001A28D2">
        <w:rPr>
          <w:rFonts w:eastAsiaTheme="minorHAnsi" w:cstheme="minorBidi"/>
          <w:bCs/>
          <w:lang w:eastAsia="en-US"/>
        </w:rPr>
        <w:t> </w:t>
      </w:r>
      <w:r w:rsidR="009661F1" w:rsidRPr="001A28D2">
        <w:rPr>
          <w:rFonts w:eastAsiaTheme="minorHAnsi" w:cstheme="minorBidi"/>
          <w:bCs/>
          <w:lang w:eastAsia="en-US"/>
        </w:rPr>
        <w:t>232 от 2016</w:t>
      </w:r>
      <w:r w:rsidR="00033715" w:rsidRPr="001A28D2">
        <w:rPr>
          <w:rFonts w:eastAsiaTheme="minorHAnsi" w:cstheme="minorBidi"/>
          <w:bCs/>
          <w:lang w:eastAsia="en-US"/>
        </w:rPr>
        <w:t> </w:t>
      </w:r>
      <w:r w:rsidR="009661F1" w:rsidRPr="001A28D2">
        <w:rPr>
          <w:rFonts w:eastAsiaTheme="minorHAnsi" w:cstheme="minorBidi"/>
          <w:bCs/>
          <w:lang w:eastAsia="en-US"/>
        </w:rPr>
        <w:t>г., за приемане на план сметката по подготовката и провеждането на избори за президент и вицепрезидент на републиката и национален референдум на 06.11.2016</w:t>
      </w:r>
      <w:r w:rsidR="00033715" w:rsidRPr="001A28D2">
        <w:rPr>
          <w:rFonts w:eastAsiaTheme="minorHAnsi" w:cstheme="minorBidi"/>
          <w:bCs/>
          <w:lang w:eastAsia="en-US"/>
        </w:rPr>
        <w:t> </w:t>
      </w:r>
      <w:r w:rsidR="009661F1" w:rsidRPr="001A28D2">
        <w:rPr>
          <w:rFonts w:eastAsiaTheme="minorHAnsi" w:cstheme="minorBidi"/>
          <w:bCs/>
          <w:lang w:eastAsia="en-US"/>
        </w:rPr>
        <w:t>г.;</w:t>
      </w:r>
    </w:p>
    <w:p w14:paraId="3F77A900" w14:textId="77777777" w:rsidR="009661F1" w:rsidRPr="001A28D2" w:rsidRDefault="00835456" w:rsidP="007E77CC">
      <w:pPr>
        <w:ind w:firstLine="709"/>
        <w:jc w:val="both"/>
        <w:rPr>
          <w:bCs/>
          <w:lang w:eastAsia="en-US"/>
        </w:rPr>
      </w:pPr>
      <w:r w:rsidRPr="001A28D2">
        <w:rPr>
          <w:bCs/>
          <w:lang w:eastAsia="en-US"/>
        </w:rPr>
        <w:t xml:space="preserve">е) </w:t>
      </w:r>
      <w:r w:rsidR="009661F1" w:rsidRPr="001A28D2">
        <w:rPr>
          <w:bCs/>
          <w:lang w:eastAsia="en-US"/>
        </w:rPr>
        <w:t>ПУДООС – с ПМС №</w:t>
      </w:r>
      <w:r w:rsidR="00033715" w:rsidRPr="001A28D2">
        <w:rPr>
          <w:bCs/>
          <w:lang w:eastAsia="en-US"/>
        </w:rPr>
        <w:t> </w:t>
      </w:r>
      <w:r w:rsidR="009661F1" w:rsidRPr="001A28D2">
        <w:rPr>
          <w:bCs/>
          <w:lang w:eastAsia="en-US"/>
        </w:rPr>
        <w:t>254 от 2016</w:t>
      </w:r>
      <w:r w:rsidR="00033715" w:rsidRPr="001A28D2">
        <w:rPr>
          <w:bCs/>
          <w:lang w:eastAsia="en-US"/>
        </w:rPr>
        <w:t> </w:t>
      </w:r>
      <w:r w:rsidR="009661F1" w:rsidRPr="001A28D2">
        <w:rPr>
          <w:bCs/>
          <w:lang w:eastAsia="en-US"/>
        </w:rPr>
        <w:t>г. са одобрени допълнителни трансфери от бюджета на М</w:t>
      </w:r>
      <w:r w:rsidR="008369C3" w:rsidRPr="001A28D2">
        <w:rPr>
          <w:bCs/>
          <w:lang w:eastAsia="en-US"/>
        </w:rPr>
        <w:t>инистерството на околната среда и водите</w:t>
      </w:r>
      <w:r w:rsidR="009661F1" w:rsidRPr="001A28D2">
        <w:rPr>
          <w:bCs/>
          <w:lang w:eastAsia="en-US"/>
        </w:rPr>
        <w:t xml:space="preserve"> за ПУДООС, като средствата са за сметка на преизпълнението на приходите по Закона за водите</w:t>
      </w:r>
      <w:r w:rsidR="007A1009" w:rsidRPr="001A28D2">
        <w:rPr>
          <w:bCs/>
          <w:lang w:eastAsia="en-US"/>
        </w:rPr>
        <w:t>;</w:t>
      </w:r>
    </w:p>
    <w:p w14:paraId="6C9B40A3" w14:textId="76EA6B12" w:rsidR="009661F1" w:rsidRPr="001A28D2" w:rsidRDefault="00835456" w:rsidP="007E77CC">
      <w:pPr>
        <w:ind w:firstLine="709"/>
        <w:jc w:val="both"/>
        <w:rPr>
          <w:bCs/>
          <w:lang w:eastAsia="en-US"/>
        </w:rPr>
      </w:pPr>
      <w:r w:rsidRPr="001A28D2">
        <w:rPr>
          <w:bCs/>
          <w:lang w:eastAsia="en-US"/>
        </w:rPr>
        <w:t xml:space="preserve">ж) </w:t>
      </w:r>
      <w:r w:rsidR="009661F1" w:rsidRPr="001A28D2">
        <w:rPr>
          <w:bCs/>
          <w:lang w:eastAsia="en-US"/>
        </w:rPr>
        <w:t>БАН - предоставени допълнителни средства на БАН на основание чл. 109, ал. 3</w:t>
      </w:r>
      <w:r w:rsidR="003C6ADA" w:rsidRPr="001A28D2">
        <w:rPr>
          <w:bCs/>
          <w:lang w:eastAsia="en-US"/>
        </w:rPr>
        <w:t xml:space="preserve"> от ЗПФ</w:t>
      </w:r>
      <w:r w:rsidR="009661F1" w:rsidRPr="001A28D2">
        <w:rPr>
          <w:bCs/>
          <w:lang w:eastAsia="en-US"/>
        </w:rPr>
        <w:t xml:space="preserve"> с акт на МС, както и на извършени промени на основание чл. 112, ал. 3 от</w:t>
      </w:r>
      <w:r w:rsidR="007A1009" w:rsidRPr="001A28D2">
        <w:rPr>
          <w:bCs/>
          <w:lang w:eastAsia="en-US"/>
        </w:rPr>
        <w:t xml:space="preserve"> ЗПФ между бюджета на МОН и БАН;</w:t>
      </w:r>
    </w:p>
    <w:p w14:paraId="1B0B8CAD" w14:textId="77777777" w:rsidR="009661F1" w:rsidRPr="001A28D2" w:rsidRDefault="00835456" w:rsidP="007E77CC">
      <w:pPr>
        <w:ind w:firstLine="709"/>
        <w:contextualSpacing/>
        <w:jc w:val="both"/>
        <w:rPr>
          <w:rFonts w:eastAsiaTheme="minorHAnsi"/>
          <w:lang w:eastAsia="en-US"/>
        </w:rPr>
      </w:pPr>
      <w:r w:rsidRPr="001A28D2">
        <w:rPr>
          <w:rFonts w:eastAsiaTheme="minorHAnsi"/>
          <w:lang w:eastAsia="en-US"/>
        </w:rPr>
        <w:t xml:space="preserve">з) </w:t>
      </w:r>
      <w:r w:rsidR="009661F1" w:rsidRPr="001A28D2">
        <w:rPr>
          <w:rFonts w:eastAsiaTheme="minorHAnsi"/>
          <w:lang w:eastAsia="en-US"/>
        </w:rPr>
        <w:t>ДВУ, като:</w:t>
      </w:r>
    </w:p>
    <w:p w14:paraId="25208C36" w14:textId="6717B100" w:rsidR="009661F1" w:rsidRPr="001A28D2" w:rsidRDefault="00835456" w:rsidP="007E77CC">
      <w:pPr>
        <w:ind w:firstLine="709"/>
        <w:contextualSpacing/>
        <w:jc w:val="both"/>
        <w:rPr>
          <w:rFonts w:eastAsiaTheme="minorHAnsi"/>
          <w:lang w:eastAsia="en-US"/>
        </w:rPr>
      </w:pPr>
      <w:proofErr w:type="spellStart"/>
      <w:r w:rsidRPr="001A28D2">
        <w:rPr>
          <w:rFonts w:eastAsiaTheme="minorHAnsi"/>
          <w:lang w:eastAsia="en-US"/>
        </w:rPr>
        <w:t>аа</w:t>
      </w:r>
      <w:proofErr w:type="spellEnd"/>
      <w:r w:rsidRPr="001A28D2">
        <w:rPr>
          <w:rFonts w:eastAsiaTheme="minorHAnsi"/>
          <w:lang w:eastAsia="en-US"/>
        </w:rPr>
        <w:t>)</w:t>
      </w:r>
      <w:r w:rsidR="00C107DD" w:rsidRPr="001A28D2">
        <w:rPr>
          <w:rFonts w:eastAsiaTheme="minorHAnsi"/>
          <w:lang w:eastAsia="en-US"/>
        </w:rPr>
        <w:t xml:space="preserve"> </w:t>
      </w:r>
      <w:r w:rsidR="009661F1" w:rsidRPr="001A28D2">
        <w:rPr>
          <w:rFonts w:eastAsiaTheme="minorHAnsi"/>
          <w:lang w:eastAsia="en-US"/>
        </w:rPr>
        <w:t xml:space="preserve">от Министерство на образованието и науката – дължи се на предоставени допълнителни средства на </w:t>
      </w:r>
      <w:r w:rsidR="00D9283B" w:rsidRPr="001A28D2">
        <w:rPr>
          <w:rFonts w:eastAsiaTheme="minorHAnsi"/>
          <w:lang w:eastAsia="en-US"/>
        </w:rPr>
        <w:t>държавни висши училища (</w:t>
      </w:r>
      <w:r w:rsidR="009661F1" w:rsidRPr="001A28D2">
        <w:rPr>
          <w:rFonts w:eastAsiaTheme="minorHAnsi"/>
          <w:lang w:eastAsia="en-US"/>
        </w:rPr>
        <w:t>ДВУ</w:t>
      </w:r>
      <w:r w:rsidR="00D9283B" w:rsidRPr="001A28D2">
        <w:rPr>
          <w:rFonts w:eastAsiaTheme="minorHAnsi"/>
          <w:lang w:eastAsia="en-US"/>
        </w:rPr>
        <w:t>)</w:t>
      </w:r>
      <w:r w:rsidR="009661F1" w:rsidRPr="001A28D2">
        <w:rPr>
          <w:rFonts w:eastAsiaTheme="minorHAnsi"/>
          <w:lang w:eastAsia="en-US"/>
        </w:rPr>
        <w:t xml:space="preserve"> на основание чл.</w:t>
      </w:r>
      <w:r w:rsidR="00033715" w:rsidRPr="001A28D2">
        <w:rPr>
          <w:rFonts w:eastAsiaTheme="minorHAnsi"/>
          <w:lang w:eastAsia="en-US"/>
        </w:rPr>
        <w:t> </w:t>
      </w:r>
      <w:r w:rsidR="009661F1" w:rsidRPr="001A28D2">
        <w:rPr>
          <w:rFonts w:eastAsiaTheme="minorHAnsi"/>
          <w:lang w:eastAsia="en-US"/>
        </w:rPr>
        <w:t>109, ал.</w:t>
      </w:r>
      <w:r w:rsidR="00033715" w:rsidRPr="001A28D2">
        <w:rPr>
          <w:rFonts w:eastAsiaTheme="minorHAnsi"/>
          <w:lang w:eastAsia="en-US"/>
        </w:rPr>
        <w:t> </w:t>
      </w:r>
      <w:r w:rsidR="009661F1" w:rsidRPr="001A28D2">
        <w:rPr>
          <w:rFonts w:eastAsiaTheme="minorHAnsi"/>
          <w:lang w:eastAsia="en-US"/>
        </w:rPr>
        <w:t xml:space="preserve">3 </w:t>
      </w:r>
      <w:r w:rsidR="00403F7F" w:rsidRPr="001A28D2">
        <w:rPr>
          <w:rFonts w:eastAsiaTheme="minorHAnsi"/>
          <w:lang w:eastAsia="en-US"/>
        </w:rPr>
        <w:t xml:space="preserve">от ЗПФ </w:t>
      </w:r>
      <w:r w:rsidR="009661F1" w:rsidRPr="001A28D2">
        <w:rPr>
          <w:rFonts w:eastAsiaTheme="minorHAnsi"/>
          <w:lang w:eastAsia="en-US"/>
        </w:rPr>
        <w:t>с акт на МС; във връзка с чл. 91а от Закона за висшето образование в случаите на разлики между разчетения брой на студентите и докторантите, въз основа на които са предвидени средствата по чл.</w:t>
      </w:r>
      <w:r w:rsidR="00033715" w:rsidRPr="001A28D2">
        <w:rPr>
          <w:rFonts w:eastAsiaTheme="minorHAnsi"/>
          <w:lang w:eastAsia="en-US"/>
        </w:rPr>
        <w:t> </w:t>
      </w:r>
      <w:r w:rsidR="009661F1" w:rsidRPr="001A28D2">
        <w:rPr>
          <w:rFonts w:eastAsiaTheme="minorHAnsi"/>
          <w:lang w:eastAsia="en-US"/>
        </w:rPr>
        <w:t>91, ал.</w:t>
      </w:r>
      <w:r w:rsidR="00033715" w:rsidRPr="001A28D2">
        <w:rPr>
          <w:rFonts w:eastAsiaTheme="minorHAnsi"/>
          <w:lang w:eastAsia="en-US"/>
        </w:rPr>
        <w:t> </w:t>
      </w:r>
      <w:r w:rsidR="009661F1" w:rsidRPr="001A28D2">
        <w:rPr>
          <w:rFonts w:eastAsiaTheme="minorHAnsi"/>
          <w:lang w:eastAsia="en-US"/>
        </w:rPr>
        <w:t xml:space="preserve">1 със ЗДБРБ за съответната година и данните от </w:t>
      </w:r>
      <w:r w:rsidR="009661F1" w:rsidRPr="001A28D2">
        <w:rPr>
          <w:rFonts w:eastAsiaTheme="minorHAnsi"/>
          <w:lang w:eastAsia="en-US"/>
        </w:rPr>
        <w:lastRenderedPageBreak/>
        <w:t>регистъра за броя на приетите за обучение студенти и докторанти, извършени компенсирани промени между бюджетите на ДВУ и бюджета на МОН на основание чл.</w:t>
      </w:r>
      <w:r w:rsidR="00C713C6" w:rsidRPr="001A28D2">
        <w:rPr>
          <w:rFonts w:eastAsiaTheme="minorHAnsi"/>
          <w:lang w:eastAsia="en-US"/>
        </w:rPr>
        <w:t> </w:t>
      </w:r>
      <w:r w:rsidR="009661F1" w:rsidRPr="001A28D2">
        <w:rPr>
          <w:rFonts w:eastAsiaTheme="minorHAnsi"/>
          <w:lang w:eastAsia="en-US"/>
        </w:rPr>
        <w:t>112, ал.</w:t>
      </w:r>
      <w:r w:rsidR="00C713C6" w:rsidRPr="001A28D2">
        <w:rPr>
          <w:rFonts w:eastAsiaTheme="minorHAnsi"/>
          <w:lang w:eastAsia="en-US"/>
        </w:rPr>
        <w:t> </w:t>
      </w:r>
      <w:r w:rsidR="009661F1" w:rsidRPr="001A28D2">
        <w:rPr>
          <w:rFonts w:eastAsiaTheme="minorHAnsi"/>
          <w:lang w:eastAsia="en-US"/>
        </w:rPr>
        <w:t>3 от ЗПФ;</w:t>
      </w:r>
    </w:p>
    <w:p w14:paraId="6CAFB268" w14:textId="5BC94E72" w:rsidR="009661F1" w:rsidRPr="001A28D2" w:rsidRDefault="00835456" w:rsidP="007E77CC">
      <w:pPr>
        <w:ind w:firstLine="709"/>
        <w:contextualSpacing/>
        <w:jc w:val="both"/>
        <w:rPr>
          <w:rFonts w:eastAsiaTheme="minorHAnsi"/>
          <w:lang w:eastAsia="en-US"/>
        </w:rPr>
      </w:pPr>
      <w:proofErr w:type="spellStart"/>
      <w:r w:rsidRPr="001A28D2">
        <w:rPr>
          <w:rFonts w:eastAsiaTheme="minorHAnsi"/>
          <w:lang w:eastAsia="en-US"/>
        </w:rPr>
        <w:t>б</w:t>
      </w:r>
      <w:r w:rsidR="00C107DD" w:rsidRPr="001A28D2">
        <w:rPr>
          <w:rFonts w:eastAsiaTheme="minorHAnsi"/>
          <w:lang w:eastAsia="en-US"/>
        </w:rPr>
        <w:t>б</w:t>
      </w:r>
      <w:proofErr w:type="spellEnd"/>
      <w:r w:rsidR="00C107DD" w:rsidRPr="001A28D2">
        <w:rPr>
          <w:rFonts w:eastAsiaTheme="minorHAnsi"/>
          <w:lang w:eastAsia="en-US"/>
        </w:rPr>
        <w:t xml:space="preserve">) </w:t>
      </w:r>
      <w:r w:rsidR="009661F1" w:rsidRPr="001A28D2">
        <w:rPr>
          <w:rFonts w:eastAsiaTheme="minorHAnsi"/>
          <w:lang w:eastAsia="en-US"/>
        </w:rPr>
        <w:t xml:space="preserve">от Министерство на отбраната - различията се дължат на предоставени допълнителни трансфери на </w:t>
      </w:r>
      <w:r w:rsidR="00D9283B" w:rsidRPr="001A28D2">
        <w:rPr>
          <w:rFonts w:eastAsiaTheme="minorHAnsi"/>
          <w:lang w:eastAsia="en-US"/>
        </w:rPr>
        <w:t>държавни висши военни училища (</w:t>
      </w:r>
      <w:r w:rsidR="009661F1" w:rsidRPr="001A28D2">
        <w:rPr>
          <w:rFonts w:eastAsiaTheme="minorHAnsi"/>
          <w:lang w:eastAsia="en-US"/>
        </w:rPr>
        <w:t>ДВВУ</w:t>
      </w:r>
      <w:r w:rsidR="00D9283B" w:rsidRPr="001A28D2">
        <w:rPr>
          <w:rFonts w:eastAsiaTheme="minorHAnsi"/>
          <w:lang w:eastAsia="en-US"/>
        </w:rPr>
        <w:t>)</w:t>
      </w:r>
      <w:r w:rsidR="009661F1" w:rsidRPr="001A28D2">
        <w:rPr>
          <w:rFonts w:eastAsiaTheme="minorHAnsi"/>
          <w:lang w:eastAsia="en-US"/>
        </w:rPr>
        <w:t xml:space="preserve"> </w:t>
      </w:r>
      <w:r w:rsidR="009661F1" w:rsidRPr="001A28D2">
        <w:rPr>
          <w:bCs/>
          <w:lang w:eastAsia="en-US"/>
        </w:rPr>
        <w:t>от страна</w:t>
      </w:r>
      <w:r w:rsidR="00C713C6" w:rsidRPr="001A28D2">
        <w:rPr>
          <w:bCs/>
          <w:lang w:eastAsia="en-US"/>
        </w:rPr>
        <w:t xml:space="preserve"> на МО, по реда на чл. 112, ал. </w:t>
      </w:r>
      <w:r w:rsidR="009661F1" w:rsidRPr="001A28D2">
        <w:rPr>
          <w:bCs/>
          <w:lang w:eastAsia="en-US"/>
        </w:rPr>
        <w:t>3</w:t>
      </w:r>
      <w:r w:rsidR="00403F7F" w:rsidRPr="001A28D2">
        <w:rPr>
          <w:bCs/>
          <w:lang w:eastAsia="en-US"/>
        </w:rPr>
        <w:t xml:space="preserve"> от ЗПФ</w:t>
      </w:r>
      <w:r w:rsidR="009661F1" w:rsidRPr="001A28D2">
        <w:rPr>
          <w:bCs/>
          <w:lang w:eastAsia="en-US"/>
        </w:rPr>
        <w:t>. Средствата са за обезпечаване обучението и издръжката на курсанти, както и за финансиране участието на военнослужещи в мисии и операции зад граница.</w:t>
      </w:r>
    </w:p>
    <w:p w14:paraId="2B5C21DD" w14:textId="6688220C" w:rsidR="009661F1" w:rsidRPr="001A28D2" w:rsidRDefault="009661F1" w:rsidP="007E77CC">
      <w:pPr>
        <w:ind w:firstLine="709"/>
        <w:jc w:val="both"/>
        <w:rPr>
          <w:rFonts w:eastAsiaTheme="minorHAnsi"/>
          <w:lang w:eastAsia="en-US"/>
        </w:rPr>
      </w:pPr>
      <w:r w:rsidRPr="001A28D2">
        <w:rPr>
          <w:rFonts w:eastAsiaTheme="minorHAnsi"/>
          <w:lang w:eastAsia="en-US"/>
        </w:rPr>
        <w:t>Предоставени са по-малко от приетите със ЗДБРБ за 2016</w:t>
      </w:r>
      <w:r w:rsidR="00033715" w:rsidRPr="001A28D2">
        <w:rPr>
          <w:rFonts w:eastAsiaTheme="minorHAnsi"/>
          <w:lang w:eastAsia="en-US"/>
        </w:rPr>
        <w:t> </w:t>
      </w:r>
      <w:r w:rsidRPr="001A28D2">
        <w:rPr>
          <w:rFonts w:eastAsiaTheme="minorHAnsi"/>
          <w:lang w:eastAsia="en-US"/>
        </w:rPr>
        <w:t xml:space="preserve">г. трансфери на: </w:t>
      </w:r>
      <w:r w:rsidR="009D7789" w:rsidRPr="001A28D2">
        <w:rPr>
          <w:rFonts w:eastAsiaTheme="minorHAnsi"/>
          <w:lang w:eastAsia="en-US"/>
        </w:rPr>
        <w:t>Държавното обществено осигуряване (ДОО)</w:t>
      </w:r>
      <w:r w:rsidRPr="001A28D2">
        <w:rPr>
          <w:rFonts w:eastAsiaTheme="minorHAnsi"/>
          <w:lang w:eastAsia="en-US"/>
        </w:rPr>
        <w:t xml:space="preserve"> със 112 254,9 хил. лв.; Национална компания </w:t>
      </w:r>
      <w:r w:rsidR="007F1BD2" w:rsidRPr="001A28D2">
        <w:rPr>
          <w:rFonts w:eastAsiaTheme="minorHAnsi"/>
          <w:lang w:eastAsia="en-US"/>
        </w:rPr>
        <w:t>„</w:t>
      </w:r>
      <w:r w:rsidRPr="001A28D2">
        <w:rPr>
          <w:rFonts w:eastAsiaTheme="minorHAnsi"/>
          <w:lang w:eastAsia="en-US"/>
        </w:rPr>
        <w:t>Стратегически и инфраструктурни проекти</w:t>
      </w:r>
      <w:r w:rsidR="00403F7F" w:rsidRPr="001A28D2">
        <w:rPr>
          <w:rFonts w:eastAsiaTheme="minorHAnsi"/>
          <w:lang w:eastAsia="en-US"/>
        </w:rPr>
        <w:t>“</w:t>
      </w:r>
      <w:r w:rsidRPr="001A28D2">
        <w:rPr>
          <w:rFonts w:eastAsiaTheme="minorHAnsi"/>
          <w:lang w:eastAsia="en-US"/>
        </w:rPr>
        <w:t xml:space="preserve"> от МРРБ със 799,5 хил. лв.; </w:t>
      </w:r>
      <w:r w:rsidR="007F1BD2" w:rsidRPr="001A28D2">
        <w:rPr>
          <w:rFonts w:eastAsiaTheme="minorHAnsi"/>
          <w:lang w:eastAsia="en-US"/>
        </w:rPr>
        <w:t>д</w:t>
      </w:r>
      <w:r w:rsidRPr="001A28D2">
        <w:rPr>
          <w:rFonts w:eastAsiaTheme="minorHAnsi"/>
          <w:lang w:eastAsia="en-US"/>
        </w:rPr>
        <w:t xml:space="preserve">руги сметки за средства от ЕС и средства по други международни програми и договори, за които се прилага режимът на сметките за средства от ЕС с </w:t>
      </w:r>
      <w:r w:rsidR="005F24B4" w:rsidRPr="001A28D2">
        <w:rPr>
          <w:rFonts w:eastAsiaTheme="minorHAnsi"/>
          <w:lang w:eastAsia="en-US"/>
        </w:rPr>
        <w:t>22 230,</w:t>
      </w:r>
      <w:r w:rsidR="001947C2" w:rsidRPr="001A28D2">
        <w:rPr>
          <w:rFonts w:eastAsiaTheme="minorHAnsi"/>
          <w:lang w:eastAsia="en-US"/>
        </w:rPr>
        <w:t>2</w:t>
      </w:r>
      <w:r w:rsidRPr="001A28D2">
        <w:rPr>
          <w:rFonts w:eastAsiaTheme="minorHAnsi"/>
          <w:lang w:eastAsia="en-US"/>
        </w:rPr>
        <w:t xml:space="preserve"> хил. лв.; </w:t>
      </w:r>
      <w:r w:rsidR="007F1BD2" w:rsidRPr="001A28D2">
        <w:rPr>
          <w:rFonts w:eastAsiaTheme="minorHAnsi"/>
          <w:lang w:eastAsia="en-US"/>
        </w:rPr>
        <w:t>с</w:t>
      </w:r>
      <w:r w:rsidRPr="001A28D2">
        <w:rPr>
          <w:rFonts w:eastAsiaTheme="minorHAnsi"/>
          <w:lang w:eastAsia="en-US"/>
        </w:rPr>
        <w:t xml:space="preserve">метката за средствата от ЕС на Държавния фонд </w:t>
      </w:r>
      <w:r w:rsidR="007F1BD2" w:rsidRPr="001A28D2">
        <w:rPr>
          <w:rFonts w:eastAsiaTheme="minorHAnsi"/>
          <w:lang w:eastAsia="en-US"/>
        </w:rPr>
        <w:t>„</w:t>
      </w:r>
      <w:r w:rsidRPr="001A28D2">
        <w:rPr>
          <w:rFonts w:eastAsiaTheme="minorHAnsi"/>
          <w:lang w:eastAsia="en-US"/>
        </w:rPr>
        <w:t>Земеделие</w:t>
      </w:r>
      <w:r w:rsidR="00403F7F" w:rsidRPr="001A28D2">
        <w:rPr>
          <w:rFonts w:eastAsiaTheme="minorHAnsi"/>
          <w:lang w:eastAsia="en-US"/>
        </w:rPr>
        <w:t>“</w:t>
      </w:r>
      <w:r w:rsidRPr="001A28D2">
        <w:rPr>
          <w:rFonts w:eastAsiaTheme="minorHAnsi"/>
          <w:lang w:eastAsia="en-US"/>
        </w:rPr>
        <w:t xml:space="preserve"> с 54 830,9 хил. лв.</w:t>
      </w:r>
    </w:p>
    <w:p w14:paraId="7AF46D8E" w14:textId="1A3E85DB" w:rsidR="009661F1" w:rsidRPr="001A28D2" w:rsidRDefault="001363FB" w:rsidP="00E00EA9">
      <w:pPr>
        <w:ind w:firstLine="709"/>
        <w:jc w:val="both"/>
        <w:rPr>
          <w:rFonts w:eastAsiaTheme="minorHAnsi"/>
          <w:lang w:eastAsia="en-US"/>
        </w:rPr>
      </w:pPr>
      <w:r w:rsidRPr="001A28D2">
        <w:rPr>
          <w:rFonts w:eastAsiaTheme="minorHAnsi"/>
          <w:lang w:eastAsia="en-US"/>
        </w:rPr>
        <w:t>3.2.</w:t>
      </w:r>
      <w:proofErr w:type="spellStart"/>
      <w:r w:rsidRPr="001A28D2">
        <w:rPr>
          <w:rFonts w:eastAsiaTheme="minorHAnsi"/>
          <w:lang w:eastAsia="en-US"/>
        </w:rPr>
        <w:t>2</w:t>
      </w:r>
      <w:proofErr w:type="spellEnd"/>
      <w:r w:rsidRPr="001A28D2">
        <w:rPr>
          <w:rFonts w:eastAsiaTheme="minorHAnsi"/>
          <w:lang w:eastAsia="en-US"/>
        </w:rPr>
        <w:t xml:space="preserve">. </w:t>
      </w:r>
      <w:r w:rsidR="009661F1" w:rsidRPr="001A28D2">
        <w:rPr>
          <w:rFonts w:eastAsiaTheme="minorHAnsi"/>
          <w:lang w:eastAsia="en-US"/>
        </w:rPr>
        <w:t xml:space="preserve">По показателя „Получени трансфери“ по ДБ са отчетени 392 313,8 хил. лв., при изпълнение 553,8 на сто спрямо сумата, утвърдена със ЗДБРБ за 2016 г. </w:t>
      </w:r>
      <w:proofErr w:type="spellStart"/>
      <w:r w:rsidR="009661F1" w:rsidRPr="001A28D2">
        <w:rPr>
          <w:rFonts w:eastAsiaTheme="minorHAnsi"/>
          <w:lang w:eastAsia="en-US"/>
        </w:rPr>
        <w:t>Превишението</w:t>
      </w:r>
      <w:proofErr w:type="spellEnd"/>
      <w:r w:rsidR="009661F1" w:rsidRPr="001A28D2">
        <w:rPr>
          <w:rFonts w:eastAsiaTheme="minorHAnsi"/>
          <w:lang w:eastAsia="en-US"/>
        </w:rPr>
        <w:t xml:space="preserve"> над приетите със ЗДБРБ за 2016</w:t>
      </w:r>
      <w:r w:rsidR="00033715" w:rsidRPr="001A28D2">
        <w:rPr>
          <w:rFonts w:eastAsiaTheme="minorHAnsi"/>
          <w:lang w:eastAsia="en-US"/>
        </w:rPr>
        <w:t> </w:t>
      </w:r>
      <w:r w:rsidR="009661F1" w:rsidRPr="001A28D2">
        <w:rPr>
          <w:rFonts w:eastAsiaTheme="minorHAnsi"/>
          <w:lang w:eastAsia="en-US"/>
        </w:rPr>
        <w:t xml:space="preserve"> г. е 321 479,8</w:t>
      </w:r>
      <w:r w:rsidR="00033715" w:rsidRPr="001A28D2">
        <w:rPr>
          <w:rFonts w:eastAsiaTheme="minorHAnsi"/>
          <w:lang w:eastAsia="en-US"/>
        </w:rPr>
        <w:t> </w:t>
      </w:r>
      <w:r w:rsidR="009661F1" w:rsidRPr="001A28D2">
        <w:rPr>
          <w:rFonts w:eastAsiaTheme="minorHAnsi"/>
          <w:lang w:eastAsia="en-US"/>
        </w:rPr>
        <w:t>хил.</w:t>
      </w:r>
      <w:r w:rsidR="00033715" w:rsidRPr="001A28D2">
        <w:rPr>
          <w:rFonts w:eastAsiaTheme="minorHAnsi"/>
          <w:lang w:eastAsia="en-US"/>
        </w:rPr>
        <w:t> </w:t>
      </w:r>
      <w:r w:rsidR="009661F1" w:rsidRPr="001A28D2">
        <w:rPr>
          <w:rFonts w:eastAsiaTheme="minorHAnsi"/>
          <w:lang w:eastAsia="en-US"/>
        </w:rPr>
        <w:t>лв. В повече са получени трансфери от ДОО с 1</w:t>
      </w:r>
      <w:r w:rsidR="00033715" w:rsidRPr="001A28D2">
        <w:rPr>
          <w:rFonts w:eastAsiaTheme="minorHAnsi"/>
          <w:lang w:eastAsia="en-US"/>
        </w:rPr>
        <w:t> </w:t>
      </w:r>
      <w:r w:rsidR="00403F7F" w:rsidRPr="001A28D2">
        <w:rPr>
          <w:rFonts w:eastAsiaTheme="minorHAnsi"/>
          <w:lang w:eastAsia="en-US"/>
        </w:rPr>
        <w:t>252</w:t>
      </w:r>
      <w:r w:rsidR="00033715" w:rsidRPr="001A28D2">
        <w:rPr>
          <w:rFonts w:eastAsiaTheme="minorHAnsi"/>
          <w:lang w:eastAsia="en-US"/>
        </w:rPr>
        <w:t> </w:t>
      </w:r>
      <w:r w:rsidR="009661F1" w:rsidRPr="001A28D2">
        <w:rPr>
          <w:rFonts w:eastAsiaTheme="minorHAnsi"/>
          <w:lang w:eastAsia="en-US"/>
        </w:rPr>
        <w:t>хил.</w:t>
      </w:r>
      <w:r w:rsidR="00033715" w:rsidRPr="001A28D2">
        <w:rPr>
          <w:rFonts w:eastAsiaTheme="minorHAnsi"/>
          <w:lang w:eastAsia="en-US"/>
        </w:rPr>
        <w:t> </w:t>
      </w:r>
      <w:r w:rsidR="009661F1" w:rsidRPr="001A28D2">
        <w:rPr>
          <w:rFonts w:eastAsiaTheme="minorHAnsi"/>
          <w:lang w:eastAsia="en-US"/>
        </w:rPr>
        <w:t>лв.</w:t>
      </w:r>
      <w:r w:rsidR="007F1BD2" w:rsidRPr="001A28D2">
        <w:rPr>
          <w:rFonts w:eastAsiaTheme="minorHAnsi"/>
          <w:lang w:eastAsia="en-US"/>
        </w:rPr>
        <w:t xml:space="preserve"> и</w:t>
      </w:r>
      <w:r w:rsidR="009661F1" w:rsidRPr="001A28D2">
        <w:rPr>
          <w:rFonts w:eastAsiaTheme="minorHAnsi"/>
          <w:lang w:eastAsia="en-US"/>
        </w:rPr>
        <w:t xml:space="preserve"> НЗОК със 75</w:t>
      </w:r>
      <w:r w:rsidR="00033715" w:rsidRPr="001A28D2">
        <w:rPr>
          <w:rFonts w:eastAsiaTheme="minorHAnsi"/>
          <w:lang w:eastAsia="en-US"/>
        </w:rPr>
        <w:t> </w:t>
      </w:r>
      <w:r w:rsidR="009661F1" w:rsidRPr="001A28D2">
        <w:rPr>
          <w:rFonts w:eastAsiaTheme="minorHAnsi"/>
          <w:lang w:eastAsia="en-US"/>
        </w:rPr>
        <w:t>306,5</w:t>
      </w:r>
      <w:r w:rsidR="00033715" w:rsidRPr="001A28D2">
        <w:rPr>
          <w:rFonts w:eastAsiaTheme="minorHAnsi"/>
          <w:lang w:eastAsia="en-US"/>
        </w:rPr>
        <w:t> </w:t>
      </w:r>
      <w:r w:rsidR="009661F1" w:rsidRPr="001A28D2">
        <w:rPr>
          <w:rFonts w:eastAsiaTheme="minorHAnsi"/>
          <w:lang w:eastAsia="en-US"/>
        </w:rPr>
        <w:t>хил.</w:t>
      </w:r>
      <w:r w:rsidR="00033715" w:rsidRPr="001A28D2">
        <w:rPr>
          <w:rFonts w:eastAsiaTheme="minorHAnsi"/>
          <w:lang w:eastAsia="en-US"/>
        </w:rPr>
        <w:t> </w:t>
      </w:r>
      <w:r w:rsidR="009661F1" w:rsidRPr="001A28D2">
        <w:rPr>
          <w:rFonts w:eastAsiaTheme="minorHAnsi"/>
          <w:lang w:eastAsia="en-US"/>
        </w:rPr>
        <w:t>лв.</w:t>
      </w:r>
      <w:r w:rsidR="00346511" w:rsidRPr="001A28D2">
        <w:rPr>
          <w:rFonts w:eastAsiaTheme="minorHAnsi"/>
          <w:lang w:eastAsia="en-US"/>
        </w:rPr>
        <w:t>, както следва</w:t>
      </w:r>
      <w:r w:rsidR="009661F1" w:rsidRPr="001A28D2">
        <w:rPr>
          <w:rFonts w:eastAsiaTheme="minorHAnsi"/>
          <w:lang w:eastAsia="en-US"/>
        </w:rPr>
        <w:t>:</w:t>
      </w:r>
      <w:r w:rsidR="009661F1" w:rsidRPr="001A28D2">
        <w:rPr>
          <w:rFonts w:eastAsiaTheme="minorHAnsi"/>
          <w:vertAlign w:val="superscript"/>
          <w:lang w:eastAsia="en-US"/>
        </w:rPr>
        <w:footnoteReference w:id="59"/>
      </w:r>
    </w:p>
    <w:p w14:paraId="0E1BD3E7" w14:textId="77777777" w:rsidR="009661F1" w:rsidRPr="001A28D2" w:rsidRDefault="00835456" w:rsidP="007E77CC">
      <w:pPr>
        <w:ind w:firstLine="709"/>
        <w:contextualSpacing/>
        <w:jc w:val="both"/>
        <w:rPr>
          <w:rFonts w:eastAsiaTheme="minorHAnsi"/>
          <w:lang w:eastAsia="en-US"/>
        </w:rPr>
      </w:pPr>
      <w:r w:rsidRPr="001A28D2">
        <w:rPr>
          <w:bCs/>
          <w:lang w:eastAsia="en-US"/>
        </w:rPr>
        <w:t xml:space="preserve">а) </w:t>
      </w:r>
      <w:r w:rsidR="009661F1" w:rsidRPr="001A28D2">
        <w:rPr>
          <w:bCs/>
          <w:lang w:eastAsia="en-US"/>
        </w:rPr>
        <w:t>ДОО</w:t>
      </w:r>
      <w:r w:rsidR="009661F1" w:rsidRPr="001A28D2">
        <w:rPr>
          <w:rFonts w:eastAsiaTheme="minorHAnsi"/>
          <w:lang w:eastAsia="en-US"/>
        </w:rPr>
        <w:t xml:space="preserve"> – средства за дейности по предотвратяване на трудовите злополуки и професионалните болести съгласно чл. 24, т. 3 от Кодекса за социално осигуряване (КСО), за диагностика на професионалните болести съгласно чл. 24, т. 4 от КСО и други дейности на основание КСО, които се предоставят от бюджета на ДОО към МТСП, в т.ч. на фонд „Условия на труд“, на база реално усвоените средства за тези дейности,</w:t>
      </w:r>
      <w:r w:rsidR="009661F1" w:rsidRPr="001A28D2">
        <w:rPr>
          <w:bCs/>
          <w:lang w:eastAsia="en-US"/>
        </w:rPr>
        <w:t xml:space="preserve"> както и на база средства за профилактика и рехабилитация на </w:t>
      </w:r>
      <w:proofErr w:type="spellStart"/>
      <w:r w:rsidR="009661F1" w:rsidRPr="001A28D2">
        <w:rPr>
          <w:bCs/>
          <w:lang w:eastAsia="en-US"/>
        </w:rPr>
        <w:t>правоимащи</w:t>
      </w:r>
      <w:proofErr w:type="spellEnd"/>
      <w:r w:rsidR="009661F1" w:rsidRPr="001A28D2">
        <w:rPr>
          <w:bCs/>
          <w:lang w:eastAsia="en-US"/>
        </w:rPr>
        <w:t xml:space="preserve"> лица към бюджетни организации;</w:t>
      </w:r>
    </w:p>
    <w:p w14:paraId="5C9D0D5F" w14:textId="0BEA34C5" w:rsidR="009661F1" w:rsidRPr="001A28D2" w:rsidRDefault="00835456" w:rsidP="007E77CC">
      <w:pPr>
        <w:ind w:firstLine="709"/>
        <w:contextualSpacing/>
        <w:jc w:val="both"/>
        <w:rPr>
          <w:rFonts w:eastAsiaTheme="minorHAnsi"/>
          <w:lang w:eastAsia="en-US"/>
        </w:rPr>
      </w:pPr>
      <w:r w:rsidRPr="001A28D2">
        <w:rPr>
          <w:rFonts w:eastAsiaTheme="minorHAnsi"/>
          <w:lang w:eastAsia="en-US"/>
        </w:rPr>
        <w:t xml:space="preserve">б) </w:t>
      </w:r>
      <w:r w:rsidR="009661F1" w:rsidRPr="001A28D2">
        <w:rPr>
          <w:rFonts w:eastAsiaTheme="minorHAnsi"/>
          <w:lang w:eastAsia="en-US"/>
        </w:rPr>
        <w:t xml:space="preserve">НЗОК – дължи се на </w:t>
      </w:r>
      <w:r w:rsidR="002F3AE0" w:rsidRPr="001A28D2">
        <w:rPr>
          <w:rFonts w:eastAsiaTheme="minorHAnsi"/>
          <w:lang w:eastAsia="en-US"/>
        </w:rPr>
        <w:t>плащания</w:t>
      </w:r>
      <w:r w:rsidR="009661F1" w:rsidRPr="001A28D2">
        <w:rPr>
          <w:rFonts w:eastAsiaTheme="minorHAnsi"/>
          <w:lang w:eastAsia="en-US"/>
        </w:rPr>
        <w:t xml:space="preserve"> по сключени договори за извършена болнична помощ между лечебни заведения към разпоредители с бюджет</w:t>
      </w:r>
      <w:r w:rsidR="009661F1" w:rsidRPr="001A28D2">
        <w:rPr>
          <w:bCs/>
          <w:lang w:eastAsia="en-US"/>
        </w:rPr>
        <w:t xml:space="preserve"> </w:t>
      </w:r>
      <w:r w:rsidR="001947C2" w:rsidRPr="001A28D2">
        <w:rPr>
          <w:bCs/>
          <w:lang w:eastAsia="en-US"/>
        </w:rPr>
        <w:t xml:space="preserve">- </w:t>
      </w:r>
      <w:r w:rsidR="009661F1" w:rsidRPr="001A28D2">
        <w:rPr>
          <w:bCs/>
          <w:lang w:eastAsia="en-US"/>
        </w:rPr>
        <w:t>МО, М</w:t>
      </w:r>
      <w:r w:rsidR="00FB0919" w:rsidRPr="001A28D2">
        <w:rPr>
          <w:bCs/>
          <w:lang w:eastAsia="en-US"/>
        </w:rPr>
        <w:t>инистерство на вътрешните работи</w:t>
      </w:r>
      <w:r w:rsidR="009661F1" w:rsidRPr="001A28D2">
        <w:rPr>
          <w:bCs/>
          <w:lang w:eastAsia="en-US"/>
        </w:rPr>
        <w:t xml:space="preserve">, </w:t>
      </w:r>
      <w:r w:rsidR="002D6E61" w:rsidRPr="001A28D2">
        <w:t>Министерство на транспорта, информационните технологии и съобщенията</w:t>
      </w:r>
      <w:r w:rsidR="002D6E61" w:rsidRPr="001A28D2">
        <w:rPr>
          <w:bCs/>
          <w:lang w:eastAsia="en-US"/>
        </w:rPr>
        <w:t xml:space="preserve"> (</w:t>
      </w:r>
      <w:r w:rsidR="009661F1" w:rsidRPr="001A28D2">
        <w:rPr>
          <w:bCs/>
          <w:lang w:eastAsia="en-US"/>
        </w:rPr>
        <w:t>МТИТС)</w:t>
      </w:r>
      <w:r w:rsidR="002D6E61" w:rsidRPr="001A28D2">
        <w:rPr>
          <w:bCs/>
          <w:lang w:eastAsia="en-US"/>
        </w:rPr>
        <w:t>, МС</w:t>
      </w:r>
      <w:r w:rsidR="009661F1" w:rsidRPr="001A28D2">
        <w:rPr>
          <w:rFonts w:eastAsiaTheme="minorHAnsi"/>
          <w:lang w:eastAsia="en-US"/>
        </w:rPr>
        <w:t xml:space="preserve"> и НЗОК, </w:t>
      </w:r>
      <w:r w:rsidR="002F3AE0" w:rsidRPr="001A28D2">
        <w:rPr>
          <w:rFonts w:eastAsiaTheme="minorHAnsi"/>
          <w:lang w:eastAsia="en-US"/>
        </w:rPr>
        <w:t>отчетени</w:t>
      </w:r>
      <w:r w:rsidR="009661F1" w:rsidRPr="001A28D2">
        <w:rPr>
          <w:rFonts w:eastAsiaTheme="minorHAnsi"/>
          <w:lang w:eastAsia="en-US"/>
        </w:rPr>
        <w:t xml:space="preserve"> в съответствие с §</w:t>
      </w:r>
      <w:r w:rsidR="00033715" w:rsidRPr="001A28D2">
        <w:rPr>
          <w:rFonts w:eastAsiaTheme="minorHAnsi"/>
          <w:lang w:eastAsia="en-US"/>
        </w:rPr>
        <w:t> </w:t>
      </w:r>
      <w:r w:rsidR="009661F1" w:rsidRPr="001A28D2">
        <w:rPr>
          <w:rFonts w:eastAsiaTheme="minorHAnsi"/>
          <w:lang w:eastAsia="en-US"/>
        </w:rPr>
        <w:t>4 от ПЗР на Закона за бюджета на НЗОК за 2016 г.</w:t>
      </w:r>
    </w:p>
    <w:p w14:paraId="1016E828" w14:textId="77777777" w:rsidR="009661F1" w:rsidRPr="001A28D2" w:rsidRDefault="00D0059E" w:rsidP="007E77CC">
      <w:pPr>
        <w:ind w:firstLine="709"/>
        <w:contextualSpacing/>
        <w:jc w:val="both"/>
        <w:rPr>
          <w:rFonts w:eastAsiaTheme="minorHAnsi"/>
          <w:lang w:eastAsia="en-US"/>
        </w:rPr>
      </w:pPr>
      <w:r w:rsidRPr="001A28D2">
        <w:rPr>
          <w:rFonts w:eastAsiaTheme="minorHAnsi"/>
          <w:lang w:eastAsia="en-US"/>
        </w:rPr>
        <w:t>3</w:t>
      </w:r>
      <w:r w:rsidR="009661F1" w:rsidRPr="001A28D2">
        <w:rPr>
          <w:rFonts w:eastAsiaTheme="minorHAnsi"/>
          <w:lang w:eastAsia="en-US"/>
        </w:rPr>
        <w:t>.</w:t>
      </w:r>
      <w:proofErr w:type="spellStart"/>
      <w:r w:rsidR="009661F1" w:rsidRPr="001A28D2">
        <w:rPr>
          <w:rFonts w:eastAsiaTheme="minorHAnsi"/>
          <w:lang w:eastAsia="en-US"/>
        </w:rPr>
        <w:t>3</w:t>
      </w:r>
      <w:proofErr w:type="spellEnd"/>
      <w:r w:rsidR="009661F1" w:rsidRPr="001A28D2">
        <w:rPr>
          <w:rFonts w:eastAsiaTheme="minorHAnsi"/>
          <w:lang w:eastAsia="en-US"/>
        </w:rPr>
        <w:t>. Вноската на РБ в общия бюджет на ЕС за 2016</w:t>
      </w:r>
      <w:r w:rsidR="00033715" w:rsidRPr="001A28D2">
        <w:rPr>
          <w:rFonts w:eastAsiaTheme="minorHAnsi"/>
          <w:lang w:eastAsia="en-US"/>
        </w:rPr>
        <w:t> </w:t>
      </w:r>
      <w:r w:rsidR="009661F1" w:rsidRPr="001A28D2">
        <w:rPr>
          <w:rFonts w:eastAsiaTheme="minorHAnsi"/>
          <w:lang w:eastAsia="en-US"/>
        </w:rPr>
        <w:t>г. е 859 451,9 хил. лв. или 85,1 на сто от планираната. Формира се от следните компоненти:</w:t>
      </w:r>
    </w:p>
    <w:p w14:paraId="59D4F68F" w14:textId="77777777" w:rsidR="009661F1" w:rsidRPr="001A28D2" w:rsidRDefault="0095642B" w:rsidP="007E77CC">
      <w:pPr>
        <w:ind w:firstLine="709"/>
        <w:contextualSpacing/>
        <w:jc w:val="both"/>
        <w:rPr>
          <w:rFonts w:eastAsiaTheme="minorHAnsi"/>
          <w:lang w:eastAsia="en-US"/>
        </w:rPr>
      </w:pPr>
      <w:r w:rsidRPr="001A28D2">
        <w:rPr>
          <w:rFonts w:eastAsiaTheme="minorHAnsi"/>
          <w:lang w:eastAsia="en-US"/>
        </w:rPr>
        <w:t xml:space="preserve">а) </w:t>
      </w:r>
      <w:r w:rsidR="009661F1" w:rsidRPr="001A28D2">
        <w:rPr>
          <w:rFonts w:eastAsiaTheme="minorHAnsi"/>
          <w:lang w:eastAsia="en-US"/>
        </w:rPr>
        <w:t>традиционни собствени ресурси в размер на 155 430,1 хил. лв.;</w:t>
      </w:r>
    </w:p>
    <w:p w14:paraId="5A03B659" w14:textId="77777777" w:rsidR="009661F1" w:rsidRPr="001A28D2" w:rsidRDefault="0095642B" w:rsidP="007E77CC">
      <w:pPr>
        <w:ind w:firstLine="709"/>
        <w:contextualSpacing/>
        <w:jc w:val="both"/>
        <w:rPr>
          <w:rFonts w:eastAsiaTheme="minorHAnsi"/>
          <w:lang w:eastAsia="en-US"/>
        </w:rPr>
      </w:pPr>
      <w:r w:rsidRPr="001A28D2">
        <w:rPr>
          <w:rFonts w:eastAsiaTheme="minorHAnsi"/>
          <w:lang w:eastAsia="en-US"/>
        </w:rPr>
        <w:t xml:space="preserve">б) </w:t>
      </w:r>
      <w:r w:rsidR="009661F1" w:rsidRPr="001A28D2">
        <w:rPr>
          <w:rFonts w:eastAsiaTheme="minorHAnsi"/>
          <w:lang w:eastAsia="en-US"/>
        </w:rPr>
        <w:t>ресурс на база приходи от ДДС - 121 958,6 хил. лв.;</w:t>
      </w:r>
    </w:p>
    <w:p w14:paraId="5B774B79" w14:textId="77777777" w:rsidR="009661F1" w:rsidRPr="001A28D2" w:rsidRDefault="0095642B" w:rsidP="007E77CC">
      <w:pPr>
        <w:ind w:firstLine="709"/>
        <w:contextualSpacing/>
        <w:jc w:val="both"/>
        <w:rPr>
          <w:rFonts w:eastAsiaTheme="minorHAnsi"/>
          <w:lang w:eastAsia="en-US"/>
        </w:rPr>
      </w:pPr>
      <w:r w:rsidRPr="001A28D2">
        <w:rPr>
          <w:rFonts w:eastAsiaTheme="minorHAnsi"/>
          <w:lang w:eastAsia="en-US"/>
        </w:rPr>
        <w:t xml:space="preserve">в) </w:t>
      </w:r>
      <w:r w:rsidR="009661F1" w:rsidRPr="001A28D2">
        <w:rPr>
          <w:rFonts w:eastAsiaTheme="minorHAnsi"/>
          <w:lang w:eastAsia="en-US"/>
        </w:rPr>
        <w:t>ресурс на база брутен национален доход - 493 804</w:t>
      </w:r>
      <w:r w:rsidR="007106E5" w:rsidRPr="001A28D2">
        <w:rPr>
          <w:rFonts w:eastAsiaTheme="minorHAnsi"/>
          <w:lang w:eastAsia="en-US"/>
        </w:rPr>
        <w:t>,9 хил. лв.;</w:t>
      </w:r>
    </w:p>
    <w:p w14:paraId="0A974451" w14:textId="77777777" w:rsidR="009661F1" w:rsidRPr="001A28D2" w:rsidRDefault="0095642B" w:rsidP="007E77CC">
      <w:pPr>
        <w:ind w:firstLine="709"/>
        <w:contextualSpacing/>
        <w:jc w:val="both"/>
        <w:rPr>
          <w:rFonts w:eastAsiaTheme="minorHAnsi"/>
          <w:lang w:eastAsia="en-US"/>
        </w:rPr>
      </w:pPr>
      <w:r w:rsidRPr="001A28D2">
        <w:rPr>
          <w:rFonts w:eastAsiaTheme="minorHAnsi"/>
          <w:lang w:eastAsia="en-US"/>
        </w:rPr>
        <w:t xml:space="preserve">г) </w:t>
      </w:r>
      <w:r w:rsidR="009661F1" w:rsidRPr="001A28D2">
        <w:rPr>
          <w:rFonts w:eastAsiaTheme="minorHAnsi"/>
          <w:lang w:eastAsia="en-US"/>
        </w:rPr>
        <w:t>участие на РБ във финансирането на механизма за корекцията в полза на Обединеното кралство - 68 494,1 хил. лв.;</w:t>
      </w:r>
    </w:p>
    <w:p w14:paraId="6824855B" w14:textId="77777777" w:rsidR="009661F1" w:rsidRPr="001A28D2" w:rsidRDefault="0095642B" w:rsidP="007E77CC">
      <w:pPr>
        <w:ind w:firstLine="709"/>
        <w:contextualSpacing/>
        <w:jc w:val="both"/>
        <w:rPr>
          <w:rFonts w:eastAsiaTheme="minorHAnsi"/>
          <w:lang w:eastAsia="en-US"/>
        </w:rPr>
      </w:pPr>
      <w:r w:rsidRPr="001A28D2">
        <w:rPr>
          <w:rFonts w:eastAsiaTheme="minorHAnsi"/>
          <w:lang w:eastAsia="en-US"/>
        </w:rPr>
        <w:t xml:space="preserve">д) </w:t>
      </w:r>
      <w:r w:rsidR="009661F1" w:rsidRPr="001A28D2">
        <w:rPr>
          <w:rFonts w:eastAsiaTheme="minorHAnsi"/>
          <w:lang w:eastAsia="en-US"/>
        </w:rPr>
        <w:t>участие във финансирането за брутното намаление за Нидерландия, Швеция, Дания и Австрия – 19 764,3 хил. лв.</w:t>
      </w:r>
    </w:p>
    <w:p w14:paraId="5C1CDB29" w14:textId="77777777" w:rsidR="009661F1" w:rsidRPr="001A28D2" w:rsidRDefault="009661F1" w:rsidP="007E77CC">
      <w:pPr>
        <w:ind w:firstLine="709"/>
        <w:jc w:val="both"/>
        <w:rPr>
          <w:b/>
        </w:rPr>
      </w:pPr>
    </w:p>
    <w:p w14:paraId="5A108B56" w14:textId="7A7C9FB8" w:rsidR="009661F1" w:rsidRPr="001A28D2" w:rsidRDefault="009661F1" w:rsidP="007E77CC">
      <w:pPr>
        <w:ind w:firstLine="709"/>
        <w:jc w:val="both"/>
        <w:rPr>
          <w:rFonts w:eastAsiaTheme="minorHAnsi"/>
          <w:i/>
          <w:lang w:eastAsia="en-US"/>
        </w:rPr>
      </w:pPr>
      <w:r w:rsidRPr="001A28D2">
        <w:rPr>
          <w:rFonts w:eastAsiaTheme="minorHAnsi"/>
          <w:i/>
          <w:lang w:eastAsia="en-US"/>
        </w:rPr>
        <w:t>В отчета за изпълнението на ДБ за 2016 г. отразените разходи, бюджетни взаимоотношения (нето) и вноска в общия бюджет на ЕС са изпълнени на 97,2 на сто от приетите със ЗДБРБ за 2016 г. или с 623</w:t>
      </w:r>
      <w:r w:rsidR="005F24B4" w:rsidRPr="001A28D2">
        <w:rPr>
          <w:rFonts w:eastAsiaTheme="minorHAnsi"/>
          <w:i/>
          <w:lang w:eastAsia="en-US"/>
        </w:rPr>
        <w:t> </w:t>
      </w:r>
      <w:r w:rsidRPr="001A28D2">
        <w:rPr>
          <w:rFonts w:eastAsiaTheme="minorHAnsi"/>
          <w:i/>
          <w:lang w:eastAsia="en-US"/>
        </w:rPr>
        <w:t>14</w:t>
      </w:r>
      <w:r w:rsidR="005F24B4" w:rsidRPr="001A28D2">
        <w:rPr>
          <w:rFonts w:eastAsiaTheme="minorHAnsi"/>
          <w:i/>
          <w:lang w:eastAsia="en-US"/>
        </w:rPr>
        <w:t>8,</w:t>
      </w:r>
      <w:r w:rsidR="006421EA" w:rsidRPr="001A28D2">
        <w:rPr>
          <w:rFonts w:eastAsiaTheme="minorHAnsi"/>
          <w:i/>
          <w:lang w:eastAsia="en-US"/>
        </w:rPr>
        <w:t>8</w:t>
      </w:r>
      <w:r w:rsidRPr="001A28D2">
        <w:rPr>
          <w:rFonts w:eastAsiaTheme="minorHAnsi"/>
          <w:i/>
          <w:lang w:eastAsia="en-US"/>
        </w:rPr>
        <w:t xml:space="preserve"> хил. лв. по-малко от </w:t>
      </w:r>
      <w:r w:rsidR="009A1689" w:rsidRPr="001A28D2">
        <w:rPr>
          <w:rFonts w:eastAsiaTheme="minorHAnsi"/>
          <w:i/>
          <w:lang w:eastAsia="en-US"/>
        </w:rPr>
        <w:t>планираното</w:t>
      </w:r>
      <w:r w:rsidRPr="001A28D2">
        <w:rPr>
          <w:rFonts w:eastAsiaTheme="minorHAnsi"/>
          <w:i/>
          <w:lang w:eastAsia="en-US"/>
        </w:rPr>
        <w:t xml:space="preserve">. </w:t>
      </w:r>
    </w:p>
    <w:p w14:paraId="47BE3B1B" w14:textId="77777777" w:rsidR="009661F1" w:rsidRPr="001A28D2" w:rsidRDefault="009661F1" w:rsidP="007E77CC">
      <w:pPr>
        <w:ind w:firstLine="709"/>
        <w:jc w:val="both"/>
        <w:textAlignment w:val="center"/>
        <w:rPr>
          <w:rFonts w:eastAsiaTheme="minorHAnsi"/>
          <w:i/>
          <w:lang w:eastAsia="en-US"/>
        </w:rPr>
      </w:pPr>
      <w:r w:rsidRPr="001A28D2">
        <w:rPr>
          <w:rFonts w:eastAsiaTheme="minorHAnsi"/>
          <w:i/>
          <w:lang w:eastAsia="en-US"/>
        </w:rPr>
        <w:t xml:space="preserve">Отчетените разходи (без трансфери и вноска за ЕС) по ДБ за 2016 г. са с 840 162,1 хил. лв. по-малко от приетите със ЗДБРБ за 2016 г. </w:t>
      </w:r>
    </w:p>
    <w:p w14:paraId="67EE64FB" w14:textId="77777777" w:rsidR="009661F1" w:rsidRPr="001A28D2" w:rsidRDefault="009661F1" w:rsidP="007E77CC">
      <w:pPr>
        <w:spacing w:line="259" w:lineRule="auto"/>
        <w:ind w:firstLine="709"/>
        <w:jc w:val="both"/>
        <w:rPr>
          <w:b/>
        </w:rPr>
      </w:pPr>
    </w:p>
    <w:p w14:paraId="3FA4D9C9" w14:textId="58791771" w:rsidR="00BA46E7" w:rsidRPr="001A28D2" w:rsidRDefault="00BA46E7" w:rsidP="007E77CC">
      <w:pPr>
        <w:ind w:firstLine="709"/>
        <w:contextualSpacing/>
        <w:jc w:val="both"/>
        <w:rPr>
          <w:rFonts w:eastAsiaTheme="minorHAnsi"/>
          <w:lang w:eastAsia="en-US"/>
        </w:rPr>
      </w:pPr>
      <w:r w:rsidRPr="001A28D2">
        <w:rPr>
          <w:rFonts w:eastAsiaTheme="minorHAnsi"/>
          <w:b/>
          <w:lang w:eastAsia="en-US"/>
        </w:rPr>
        <w:t>4.</w:t>
      </w:r>
      <w:r w:rsidRPr="001A28D2">
        <w:rPr>
          <w:rFonts w:eastAsiaTheme="minorHAnsi"/>
          <w:lang w:eastAsia="en-US"/>
        </w:rPr>
        <w:t xml:space="preserve"> Бюджетното салдо по ДБ за 2016 г. е отрицателно и е в размер на </w:t>
      </w:r>
      <w:r w:rsidRPr="001A28D2">
        <w:rPr>
          <w:rFonts w:eastAsiaTheme="minorHAnsi"/>
          <w:lang w:eastAsia="en-US"/>
        </w:rPr>
        <w:br/>
        <w:t>(–1 099</w:t>
      </w:r>
      <w:r w:rsidR="005F24B4" w:rsidRPr="001A28D2">
        <w:rPr>
          <w:rFonts w:eastAsiaTheme="minorHAnsi"/>
          <w:lang w:eastAsia="en-US"/>
        </w:rPr>
        <w:t> </w:t>
      </w:r>
      <w:r w:rsidRPr="001A28D2">
        <w:rPr>
          <w:rFonts w:eastAsiaTheme="minorHAnsi"/>
          <w:lang w:eastAsia="en-US"/>
        </w:rPr>
        <w:t>6</w:t>
      </w:r>
      <w:r w:rsidR="005F24B4" w:rsidRPr="001A28D2">
        <w:rPr>
          <w:rFonts w:eastAsiaTheme="minorHAnsi"/>
          <w:lang w:eastAsia="en-US"/>
        </w:rPr>
        <w:t>55,8</w:t>
      </w:r>
      <w:r w:rsidRPr="001A28D2">
        <w:rPr>
          <w:rFonts w:eastAsiaTheme="minorHAnsi"/>
          <w:lang w:eastAsia="en-US"/>
        </w:rPr>
        <w:t>) хил. лв., което е с 687</w:t>
      </w:r>
      <w:r w:rsidR="006857A8" w:rsidRPr="001A28D2">
        <w:rPr>
          <w:rFonts w:eastAsiaTheme="minorHAnsi"/>
          <w:lang w:eastAsia="en-US"/>
        </w:rPr>
        <w:t> </w:t>
      </w:r>
      <w:r w:rsidRPr="001A28D2">
        <w:rPr>
          <w:rFonts w:eastAsiaTheme="minorHAnsi"/>
          <w:lang w:eastAsia="en-US"/>
        </w:rPr>
        <w:t>8</w:t>
      </w:r>
      <w:r w:rsidR="006857A8" w:rsidRPr="001A28D2">
        <w:rPr>
          <w:rFonts w:eastAsiaTheme="minorHAnsi"/>
          <w:lang w:eastAsia="en-US"/>
        </w:rPr>
        <w:t>98,3</w:t>
      </w:r>
      <w:r w:rsidRPr="001A28D2">
        <w:rPr>
          <w:rFonts w:eastAsiaTheme="minorHAnsi"/>
          <w:lang w:eastAsia="en-US"/>
        </w:rPr>
        <w:t> хил. лв. по-малко от заложеното в ЗДБРБ за 2016 г.</w:t>
      </w:r>
    </w:p>
    <w:p w14:paraId="3243BD60" w14:textId="35B98BC2" w:rsidR="00BA46E7" w:rsidRPr="001A28D2" w:rsidRDefault="00BA46E7" w:rsidP="007E77CC">
      <w:pPr>
        <w:tabs>
          <w:tab w:val="left" w:pos="993"/>
        </w:tabs>
        <w:ind w:firstLine="709"/>
        <w:jc w:val="both"/>
        <w:rPr>
          <w:rFonts w:eastAsiaTheme="minorHAnsi"/>
          <w:lang w:eastAsia="en-US"/>
        </w:rPr>
      </w:pPr>
      <w:r w:rsidRPr="001A28D2">
        <w:rPr>
          <w:rFonts w:eastAsiaTheme="minorHAnsi"/>
          <w:b/>
          <w:lang w:eastAsia="en-US"/>
        </w:rPr>
        <w:t>5.</w:t>
      </w:r>
      <w:r w:rsidRPr="001A28D2">
        <w:rPr>
          <w:rFonts w:eastAsiaTheme="minorHAnsi"/>
          <w:lang w:eastAsia="en-US"/>
        </w:rPr>
        <w:t xml:space="preserve"> Финансирането на бюджетното салдо включва постъпленията и плащанията, произтичащи от: поемането и погасяването на дълга; постъпленията от приватизация; операциите с чужди средства; операциите по придобиването и реализирането на финансови активи и пасиви, несвързани с приходи и разходи, както и изменението в наличността на паричните средства за съответната бюджетна година, включително от преоценка на наличните парични средства в чуждестранна валута. В отчета за изпълнението на ДБ за 2016 г. операциите в частта на финансирането (нето) са в размер на 1 099</w:t>
      </w:r>
      <w:r w:rsidR="00E2359D" w:rsidRPr="001A28D2">
        <w:rPr>
          <w:rFonts w:eastAsiaTheme="minorHAnsi"/>
          <w:lang w:eastAsia="en-US"/>
        </w:rPr>
        <w:t> </w:t>
      </w:r>
      <w:r w:rsidRPr="001A28D2">
        <w:rPr>
          <w:rFonts w:eastAsiaTheme="minorHAnsi"/>
          <w:lang w:eastAsia="en-US"/>
        </w:rPr>
        <w:t>6</w:t>
      </w:r>
      <w:r w:rsidR="00E2359D" w:rsidRPr="001A28D2">
        <w:rPr>
          <w:rFonts w:eastAsiaTheme="minorHAnsi"/>
          <w:lang w:eastAsia="en-US"/>
        </w:rPr>
        <w:t>55,8</w:t>
      </w:r>
      <w:r w:rsidRPr="001A28D2">
        <w:rPr>
          <w:rFonts w:eastAsiaTheme="minorHAnsi"/>
          <w:lang w:eastAsia="en-US"/>
        </w:rPr>
        <w:t> хил. лв., в т.ч. външно финансиране (нето) в размер на 3 521 799,8 хил. л</w:t>
      </w:r>
      <w:r w:rsidR="00476F51" w:rsidRPr="001A28D2">
        <w:rPr>
          <w:rFonts w:eastAsiaTheme="minorHAnsi"/>
          <w:lang w:eastAsia="en-US"/>
        </w:rPr>
        <w:t>в., вътрешно финансиране (нето) - (–</w:t>
      </w:r>
      <w:r w:rsidR="007C2418" w:rsidRPr="001A28D2">
        <w:rPr>
          <w:rFonts w:eastAsiaTheme="minorHAnsi"/>
          <w:lang w:eastAsia="en-US"/>
        </w:rPr>
        <w:t> </w:t>
      </w:r>
      <w:r w:rsidRPr="001A28D2">
        <w:rPr>
          <w:rFonts w:eastAsiaTheme="minorHAnsi"/>
          <w:lang w:eastAsia="en-US"/>
        </w:rPr>
        <w:t>2 422</w:t>
      </w:r>
      <w:r w:rsidR="00E2359D" w:rsidRPr="001A28D2">
        <w:rPr>
          <w:rFonts w:eastAsiaTheme="minorHAnsi"/>
          <w:lang w:eastAsia="en-US"/>
        </w:rPr>
        <w:t> </w:t>
      </w:r>
      <w:r w:rsidRPr="001A28D2">
        <w:rPr>
          <w:rFonts w:eastAsiaTheme="minorHAnsi"/>
          <w:lang w:eastAsia="en-US"/>
        </w:rPr>
        <w:t>4</w:t>
      </w:r>
      <w:r w:rsidR="00E2359D" w:rsidRPr="001A28D2">
        <w:rPr>
          <w:rFonts w:eastAsiaTheme="minorHAnsi"/>
          <w:lang w:eastAsia="en-US"/>
        </w:rPr>
        <w:t>72,1</w:t>
      </w:r>
      <w:r w:rsidR="00476F51" w:rsidRPr="001A28D2">
        <w:rPr>
          <w:rFonts w:eastAsiaTheme="minorHAnsi"/>
          <w:lang w:eastAsia="en-US"/>
        </w:rPr>
        <w:t>)</w:t>
      </w:r>
      <w:r w:rsidRPr="001A28D2">
        <w:rPr>
          <w:rFonts w:eastAsiaTheme="minorHAnsi"/>
          <w:lang w:eastAsia="en-US"/>
        </w:rPr>
        <w:t xml:space="preserve"> хил. лв. и приватизация </w:t>
      </w:r>
      <w:r w:rsidR="00476F51" w:rsidRPr="001A28D2">
        <w:rPr>
          <w:rFonts w:eastAsiaTheme="minorHAnsi"/>
          <w:lang w:eastAsia="en-US"/>
        </w:rPr>
        <w:t>в размер на</w:t>
      </w:r>
      <w:r w:rsidRPr="001A28D2">
        <w:rPr>
          <w:rFonts w:eastAsiaTheme="minorHAnsi"/>
          <w:lang w:eastAsia="en-US"/>
        </w:rPr>
        <w:t xml:space="preserve"> 328,2 хил. лв.</w:t>
      </w:r>
    </w:p>
    <w:p w14:paraId="6BC4DF0B" w14:textId="77777777" w:rsidR="004B23CA" w:rsidRPr="001A28D2" w:rsidRDefault="004B23CA" w:rsidP="007E77CC">
      <w:pPr>
        <w:tabs>
          <w:tab w:val="left" w:pos="0"/>
          <w:tab w:val="left" w:pos="993"/>
        </w:tabs>
        <w:ind w:firstLine="709"/>
        <w:jc w:val="both"/>
      </w:pPr>
    </w:p>
    <w:p w14:paraId="7AAD9AA9" w14:textId="3D7552BE" w:rsidR="00BA46E7" w:rsidRPr="001A28D2" w:rsidRDefault="00BA46E7" w:rsidP="007E77CC">
      <w:pPr>
        <w:ind w:firstLine="709"/>
        <w:contextualSpacing/>
        <w:jc w:val="both"/>
        <w:rPr>
          <w:rFonts w:eastAsiaTheme="minorHAnsi"/>
          <w:i/>
          <w:lang w:eastAsia="en-US"/>
        </w:rPr>
      </w:pPr>
      <w:r w:rsidRPr="001A28D2">
        <w:rPr>
          <w:rFonts w:eastAsiaTheme="minorHAnsi"/>
          <w:i/>
          <w:lang w:eastAsia="en-US"/>
        </w:rPr>
        <w:t xml:space="preserve">Бюджетното салдо по ДБ за 2016 г. е отрицателно и е с </w:t>
      </w:r>
      <w:r w:rsidR="00E2359D" w:rsidRPr="001A28D2">
        <w:rPr>
          <w:rFonts w:eastAsiaTheme="minorHAnsi"/>
          <w:i/>
          <w:lang w:eastAsia="en-US"/>
        </w:rPr>
        <w:t>687 898,3</w:t>
      </w:r>
      <w:r w:rsidRPr="001A28D2">
        <w:rPr>
          <w:rFonts w:eastAsiaTheme="minorHAnsi"/>
          <w:i/>
          <w:lang w:eastAsia="en-US"/>
        </w:rPr>
        <w:t> хил. лв. по-малко от заложеното в ЗДБРБ за 2016 г.</w:t>
      </w:r>
    </w:p>
    <w:p w14:paraId="7113345C" w14:textId="2E1D4327" w:rsidR="00BA46E7" w:rsidRPr="001A28D2" w:rsidRDefault="00BA46E7" w:rsidP="007E77CC">
      <w:pPr>
        <w:tabs>
          <w:tab w:val="left" w:pos="993"/>
        </w:tabs>
        <w:ind w:firstLine="709"/>
        <w:jc w:val="both"/>
        <w:rPr>
          <w:rFonts w:eastAsiaTheme="minorHAnsi"/>
          <w:i/>
          <w:lang w:eastAsia="en-US"/>
        </w:rPr>
      </w:pPr>
      <w:r w:rsidRPr="001A28D2">
        <w:rPr>
          <w:rFonts w:eastAsiaTheme="minorHAnsi"/>
          <w:i/>
          <w:lang w:eastAsia="en-US"/>
        </w:rPr>
        <w:t xml:space="preserve">В отчета за изпълнението на ДБ за 2016 г., операциите в частта на финансирането (нето) са в размер на </w:t>
      </w:r>
      <w:r w:rsidR="00E2359D" w:rsidRPr="001A28D2">
        <w:rPr>
          <w:rFonts w:eastAsiaTheme="minorHAnsi"/>
          <w:i/>
          <w:lang w:eastAsia="en-US"/>
        </w:rPr>
        <w:t>1 099 655,8</w:t>
      </w:r>
      <w:r w:rsidRPr="001A28D2">
        <w:rPr>
          <w:rFonts w:eastAsiaTheme="minorHAnsi"/>
          <w:i/>
          <w:lang w:eastAsia="en-US"/>
        </w:rPr>
        <w:t> хил. лв., в т.ч. външно финансиране (нето) в размер на 3</w:t>
      </w:r>
      <w:r w:rsidR="00B03927" w:rsidRPr="001A28D2">
        <w:rPr>
          <w:rFonts w:eastAsiaTheme="minorHAnsi"/>
          <w:i/>
          <w:lang w:eastAsia="en-US"/>
        </w:rPr>
        <w:t> </w:t>
      </w:r>
      <w:r w:rsidRPr="001A28D2">
        <w:rPr>
          <w:rFonts w:eastAsiaTheme="minorHAnsi"/>
          <w:i/>
          <w:lang w:eastAsia="en-US"/>
        </w:rPr>
        <w:t>521</w:t>
      </w:r>
      <w:r w:rsidR="00B03927" w:rsidRPr="001A28D2">
        <w:rPr>
          <w:rFonts w:eastAsiaTheme="minorHAnsi"/>
          <w:i/>
          <w:lang w:eastAsia="en-US"/>
        </w:rPr>
        <w:t> </w:t>
      </w:r>
      <w:r w:rsidRPr="001A28D2">
        <w:rPr>
          <w:rFonts w:eastAsiaTheme="minorHAnsi"/>
          <w:i/>
          <w:lang w:eastAsia="en-US"/>
        </w:rPr>
        <w:t>799,8</w:t>
      </w:r>
      <w:r w:rsidR="00B03927" w:rsidRPr="001A28D2">
        <w:rPr>
          <w:rFonts w:eastAsiaTheme="minorHAnsi"/>
          <w:i/>
          <w:lang w:eastAsia="en-US"/>
        </w:rPr>
        <w:t> </w:t>
      </w:r>
      <w:r w:rsidRPr="001A28D2">
        <w:rPr>
          <w:rFonts w:eastAsiaTheme="minorHAnsi"/>
          <w:i/>
          <w:lang w:eastAsia="en-US"/>
        </w:rPr>
        <w:t>хил.</w:t>
      </w:r>
      <w:r w:rsidR="00B03927" w:rsidRPr="001A28D2">
        <w:rPr>
          <w:rFonts w:eastAsiaTheme="minorHAnsi"/>
          <w:i/>
          <w:lang w:eastAsia="en-US"/>
        </w:rPr>
        <w:t> </w:t>
      </w:r>
      <w:r w:rsidRPr="001A28D2">
        <w:rPr>
          <w:rFonts w:eastAsiaTheme="minorHAnsi"/>
          <w:i/>
          <w:lang w:eastAsia="en-US"/>
        </w:rPr>
        <w:t>лв., вътрешно финансиране (нето)</w:t>
      </w:r>
      <w:r w:rsidR="00C056AC" w:rsidRPr="001A28D2">
        <w:rPr>
          <w:rFonts w:eastAsiaTheme="minorHAnsi"/>
          <w:i/>
          <w:lang w:eastAsia="en-US"/>
        </w:rPr>
        <w:t xml:space="preserve"> </w:t>
      </w:r>
      <w:r w:rsidR="007C2418" w:rsidRPr="001A28D2">
        <w:rPr>
          <w:rFonts w:eastAsiaTheme="minorHAnsi"/>
          <w:i/>
          <w:lang w:eastAsia="en-US"/>
        </w:rPr>
        <w:br/>
        <w:t>(</w:t>
      </w:r>
      <w:r w:rsidRPr="001A28D2">
        <w:rPr>
          <w:rFonts w:eastAsiaTheme="minorHAnsi"/>
          <w:i/>
          <w:lang w:eastAsia="en-US"/>
        </w:rPr>
        <w:t>–</w:t>
      </w:r>
      <w:r w:rsidR="007C2418" w:rsidRPr="001A28D2">
        <w:rPr>
          <w:rFonts w:eastAsiaTheme="minorHAnsi"/>
          <w:i/>
          <w:lang w:eastAsia="en-US"/>
        </w:rPr>
        <w:t> </w:t>
      </w:r>
      <w:r w:rsidRPr="001A28D2">
        <w:rPr>
          <w:rFonts w:eastAsiaTheme="minorHAnsi"/>
          <w:i/>
          <w:lang w:eastAsia="en-US"/>
        </w:rPr>
        <w:t>2</w:t>
      </w:r>
      <w:r w:rsidR="007C2418" w:rsidRPr="001A28D2">
        <w:rPr>
          <w:rFonts w:eastAsiaTheme="minorHAnsi"/>
          <w:i/>
          <w:lang w:eastAsia="en-US"/>
        </w:rPr>
        <w:t> </w:t>
      </w:r>
      <w:r w:rsidRPr="001A28D2">
        <w:rPr>
          <w:rFonts w:eastAsiaTheme="minorHAnsi"/>
          <w:i/>
          <w:lang w:eastAsia="en-US"/>
        </w:rPr>
        <w:t>422</w:t>
      </w:r>
      <w:r w:rsidR="00E2359D" w:rsidRPr="001A28D2">
        <w:rPr>
          <w:rFonts w:eastAsiaTheme="minorHAnsi"/>
          <w:i/>
          <w:lang w:eastAsia="en-US"/>
        </w:rPr>
        <w:t> </w:t>
      </w:r>
      <w:r w:rsidRPr="001A28D2">
        <w:rPr>
          <w:rFonts w:eastAsiaTheme="minorHAnsi"/>
          <w:i/>
          <w:lang w:eastAsia="en-US"/>
        </w:rPr>
        <w:t>4</w:t>
      </w:r>
      <w:r w:rsidR="00E2359D" w:rsidRPr="001A28D2">
        <w:rPr>
          <w:rFonts w:eastAsiaTheme="minorHAnsi"/>
          <w:i/>
          <w:lang w:eastAsia="en-US"/>
        </w:rPr>
        <w:t>72,1</w:t>
      </w:r>
      <w:r w:rsidR="007C2418" w:rsidRPr="001A28D2">
        <w:rPr>
          <w:rFonts w:eastAsiaTheme="minorHAnsi"/>
          <w:i/>
          <w:lang w:eastAsia="en-US"/>
        </w:rPr>
        <w:t>) </w:t>
      </w:r>
      <w:r w:rsidRPr="001A28D2">
        <w:rPr>
          <w:rFonts w:eastAsiaTheme="minorHAnsi"/>
          <w:i/>
          <w:lang w:eastAsia="en-US"/>
        </w:rPr>
        <w:t>хил.</w:t>
      </w:r>
      <w:r w:rsidR="007C2418" w:rsidRPr="001A28D2">
        <w:rPr>
          <w:rFonts w:eastAsiaTheme="minorHAnsi"/>
          <w:i/>
          <w:lang w:eastAsia="en-US"/>
        </w:rPr>
        <w:t> </w:t>
      </w:r>
      <w:r w:rsidRPr="001A28D2">
        <w:rPr>
          <w:rFonts w:eastAsiaTheme="minorHAnsi"/>
          <w:i/>
          <w:lang w:eastAsia="en-US"/>
        </w:rPr>
        <w:t>лв. и приватизация - 328,2</w:t>
      </w:r>
      <w:r w:rsidR="00B03927" w:rsidRPr="001A28D2">
        <w:rPr>
          <w:rFonts w:eastAsiaTheme="minorHAnsi"/>
          <w:i/>
          <w:lang w:eastAsia="en-US"/>
        </w:rPr>
        <w:t> </w:t>
      </w:r>
      <w:r w:rsidRPr="001A28D2">
        <w:rPr>
          <w:rFonts w:eastAsiaTheme="minorHAnsi"/>
          <w:i/>
          <w:lang w:eastAsia="en-US"/>
        </w:rPr>
        <w:t>хил.</w:t>
      </w:r>
      <w:r w:rsidR="00B03927" w:rsidRPr="001A28D2">
        <w:rPr>
          <w:rFonts w:eastAsiaTheme="minorHAnsi"/>
          <w:i/>
          <w:lang w:eastAsia="en-US"/>
        </w:rPr>
        <w:t> </w:t>
      </w:r>
      <w:r w:rsidRPr="001A28D2">
        <w:rPr>
          <w:rFonts w:eastAsiaTheme="minorHAnsi"/>
          <w:i/>
          <w:lang w:eastAsia="en-US"/>
        </w:rPr>
        <w:t>лв.</w:t>
      </w:r>
    </w:p>
    <w:p w14:paraId="08CCAE14" w14:textId="77777777" w:rsidR="00C713C6" w:rsidRPr="001A28D2" w:rsidRDefault="00C713C6" w:rsidP="007E77CC">
      <w:pPr>
        <w:tabs>
          <w:tab w:val="left" w:pos="993"/>
        </w:tabs>
        <w:ind w:firstLine="709"/>
        <w:jc w:val="both"/>
        <w:rPr>
          <w:rFonts w:eastAsiaTheme="minorHAnsi"/>
          <w:i/>
          <w:lang w:eastAsia="en-US"/>
        </w:rPr>
      </w:pPr>
    </w:p>
    <w:p w14:paraId="2F3EE419" w14:textId="77777777" w:rsidR="0047761F" w:rsidRPr="001A28D2" w:rsidRDefault="00D04AE3" w:rsidP="007E77CC">
      <w:pPr>
        <w:tabs>
          <w:tab w:val="left" w:pos="709"/>
        </w:tabs>
        <w:ind w:firstLine="709"/>
        <w:jc w:val="both"/>
        <w:textAlignment w:val="center"/>
        <w:rPr>
          <w:b/>
        </w:rPr>
      </w:pPr>
      <w:r w:rsidRPr="001A28D2">
        <w:rPr>
          <w:b/>
        </w:rPr>
        <w:t>6.</w:t>
      </w:r>
      <w:r w:rsidR="00033715" w:rsidRPr="001A28D2">
        <w:rPr>
          <w:b/>
        </w:rPr>
        <w:t xml:space="preserve"> </w:t>
      </w:r>
      <w:r w:rsidRPr="001A28D2">
        <w:rPr>
          <w:b/>
        </w:rPr>
        <w:t>Съответствие на м</w:t>
      </w:r>
      <w:r w:rsidR="0047761F" w:rsidRPr="001A28D2">
        <w:rPr>
          <w:b/>
        </w:rPr>
        <w:t>аксималн</w:t>
      </w:r>
      <w:r w:rsidRPr="001A28D2">
        <w:rPr>
          <w:b/>
        </w:rPr>
        <w:t>ия</w:t>
      </w:r>
      <w:r w:rsidR="0047761F" w:rsidRPr="001A28D2">
        <w:rPr>
          <w:b/>
        </w:rPr>
        <w:t xml:space="preserve"> размер на ангажиментите за разходи</w:t>
      </w:r>
      <w:r w:rsidRPr="001A28D2">
        <w:rPr>
          <w:b/>
        </w:rPr>
        <w:t>, поети през 2016 г. и максималния размер на новите задължения за разходи, натрупани през 2016 г. със заложените в ЗДБРБ</w:t>
      </w:r>
    </w:p>
    <w:p w14:paraId="1AC15AB7" w14:textId="77777777" w:rsidR="0047761F" w:rsidRPr="001A28D2" w:rsidRDefault="0047761F" w:rsidP="007E77CC">
      <w:pPr>
        <w:ind w:firstLine="709"/>
        <w:jc w:val="both"/>
        <w:textAlignment w:val="center"/>
      </w:pPr>
      <w:r w:rsidRPr="001A28D2">
        <w:rPr>
          <w:lang w:eastAsia="en-US"/>
        </w:rPr>
        <w:t>От ПРБ не могат да бъдат натрупвани нови задължения за разходи, както и да се поемат ангажименти за разходи над определените им със ЗДБРБ лимити</w:t>
      </w:r>
      <w:r w:rsidRPr="001A28D2">
        <w:rPr>
          <w:vertAlign w:val="superscript"/>
          <w:lang w:eastAsia="en-US"/>
        </w:rPr>
        <w:footnoteReference w:id="60"/>
      </w:r>
      <w:r w:rsidRPr="001A28D2">
        <w:rPr>
          <w:lang w:eastAsia="en-US"/>
        </w:rPr>
        <w:t xml:space="preserve">, освен при извършени промени за тези показатели по реда на ЗПФ </w:t>
      </w:r>
      <w:r w:rsidRPr="001A28D2">
        <w:t>или ако за това има решение на Народното събрание.</w:t>
      </w:r>
      <w:r w:rsidRPr="001A28D2">
        <w:rPr>
          <w:vertAlign w:val="superscript"/>
        </w:rPr>
        <w:footnoteReference w:id="61"/>
      </w:r>
      <w:r w:rsidRPr="001A28D2">
        <w:t xml:space="preserve"> </w:t>
      </w:r>
    </w:p>
    <w:p w14:paraId="06C1EAD6" w14:textId="77777777" w:rsidR="0047761F" w:rsidRPr="001A28D2" w:rsidRDefault="0047761F" w:rsidP="007E77CC">
      <w:pPr>
        <w:tabs>
          <w:tab w:val="left" w:pos="993"/>
        </w:tabs>
        <w:ind w:firstLine="709"/>
        <w:jc w:val="both"/>
        <w:rPr>
          <w:rFonts w:cs="Tahoma"/>
          <w:color w:val="000000"/>
        </w:rPr>
      </w:pPr>
      <w:r w:rsidRPr="001A28D2">
        <w:rPr>
          <w:rFonts w:cs="Tahoma"/>
          <w:lang w:eastAsia="en-US"/>
        </w:rPr>
        <w:t xml:space="preserve">Със ЗДБРБ за 2016 г. са </w:t>
      </w:r>
      <w:r w:rsidRPr="001A28D2">
        <w:rPr>
          <w:lang w:eastAsia="en-US"/>
        </w:rPr>
        <w:t xml:space="preserve">утвърдени максимални размери на ангажиментите за разходи, </w:t>
      </w:r>
      <w:r w:rsidRPr="001A28D2">
        <w:rPr>
          <w:rFonts w:cs="Tahoma"/>
          <w:color w:val="000000"/>
        </w:rPr>
        <w:t>които могат да бъдат поети през годината</w:t>
      </w:r>
      <w:r w:rsidRPr="001A28D2">
        <w:rPr>
          <w:lang w:eastAsia="en-US"/>
        </w:rPr>
        <w:t xml:space="preserve"> и на новите задължения за разходи,</w:t>
      </w:r>
      <w:r w:rsidRPr="001A28D2">
        <w:rPr>
          <w:rFonts w:cs="Tahoma"/>
          <w:color w:val="000000"/>
        </w:rPr>
        <w:t xml:space="preserve"> които могат да бъдат натрупани през годината от първостепенните разпоредители с бюджет, част от държавния бюджет.</w:t>
      </w:r>
    </w:p>
    <w:p w14:paraId="585ACABD" w14:textId="77777777" w:rsidR="00033715" w:rsidRPr="001A28D2" w:rsidRDefault="00033715" w:rsidP="007E77CC">
      <w:pPr>
        <w:tabs>
          <w:tab w:val="left" w:pos="993"/>
        </w:tabs>
        <w:ind w:firstLine="709"/>
        <w:jc w:val="both"/>
        <w:rPr>
          <w:rFonts w:cs="Tahoma"/>
          <w:color w:val="000000"/>
        </w:rPr>
      </w:pPr>
      <w:r w:rsidRPr="001A28D2">
        <w:rPr>
          <w:color w:val="000000"/>
        </w:rPr>
        <w:t>6.1.</w:t>
      </w:r>
      <w:r w:rsidR="00C61991" w:rsidRPr="001A28D2">
        <w:rPr>
          <w:color w:val="000000"/>
        </w:rPr>
        <w:t xml:space="preserve"> </w:t>
      </w:r>
      <w:r w:rsidRPr="001A28D2">
        <w:rPr>
          <w:color w:val="000000"/>
        </w:rPr>
        <w:t>Максимален размер на ангажиментите за разходи, поети през 2015 г. и 2016 г.</w:t>
      </w:r>
    </w:p>
    <w:p w14:paraId="2E209AF0" w14:textId="77777777" w:rsidR="00033715" w:rsidRPr="001A28D2" w:rsidRDefault="00033715" w:rsidP="007E77CC">
      <w:pPr>
        <w:tabs>
          <w:tab w:val="left" w:pos="993"/>
        </w:tabs>
        <w:ind w:firstLine="709"/>
        <w:jc w:val="both"/>
        <w:rPr>
          <w:rFonts w:cs="Tahoma"/>
          <w:color w:val="000000"/>
        </w:rPr>
      </w:pPr>
      <w:r w:rsidRPr="001A28D2">
        <w:rPr>
          <w:color w:val="000000"/>
        </w:rPr>
        <w:t xml:space="preserve">Максималният размер на ангажиментите за разходи, които могат да бъдат поети съгласно ЗБДРБ </w:t>
      </w:r>
      <w:r w:rsidRPr="001A28D2">
        <w:t xml:space="preserve">за 2016 г. е 3 776 641,3 хил. лв., в т. ч. </w:t>
      </w:r>
      <w:r w:rsidRPr="001A28D2">
        <w:rPr>
          <w:bCs/>
        </w:rPr>
        <w:t xml:space="preserve">всички ПРБ по държавния бюджет - министерства и ведомства, Сметна палата, Народно събрание и Висшия съдебен съвет и са с 14,1 на сто повече от 2015 г. Максималните размери на министерства и ведомства са </w:t>
      </w:r>
      <w:r w:rsidRPr="001A28D2">
        <w:t xml:space="preserve">3 672 259,9 хил. лв. или 97,2 на сто от общо определените със Закона. По уточнен план общата сума е в размер на 5 429 491,9 хил. лв. или с 43 на сто повече от предвиденото </w:t>
      </w:r>
      <w:r w:rsidRPr="001A28D2">
        <w:lastRenderedPageBreak/>
        <w:t>първоначално в ЗДБРБ и са с 33,7 на сто повече от 2015 г. По уточнен план министерствата и ведомствата заемат 97,8 на сто от общо одобрените.</w:t>
      </w:r>
    </w:p>
    <w:p w14:paraId="33E4C0B4" w14:textId="673098D4" w:rsidR="00033715" w:rsidRPr="001A28D2" w:rsidRDefault="00033715" w:rsidP="007E77CC">
      <w:pPr>
        <w:tabs>
          <w:tab w:val="left" w:pos="993"/>
        </w:tabs>
        <w:ind w:firstLine="709"/>
        <w:jc w:val="both"/>
        <w:rPr>
          <w:rFonts w:cs="Tahoma"/>
          <w:color w:val="000000"/>
        </w:rPr>
      </w:pPr>
      <w:r w:rsidRPr="001A28D2">
        <w:t xml:space="preserve">За 2016 г. са отчетени общо поети ангажименти за разходи на стойност </w:t>
      </w:r>
      <w:r w:rsidR="00403F7F" w:rsidRPr="001A28D2">
        <w:br/>
      </w:r>
      <w:r w:rsidRPr="001A28D2">
        <w:t>5 006 308,9 хил. лв. или 92,2 на сто от приетите с уточнения план, като надвишават с 32,6 на сто приетите по закон и 38,8 на сто повече от 2015 г. Увеличение на максималните раз</w:t>
      </w:r>
      <w:r w:rsidRPr="001A28D2">
        <w:rPr>
          <w:color w:val="000000"/>
        </w:rPr>
        <w:t xml:space="preserve">мери на ангажиментите за разходи, които могат да бъдат поети през 2016 г., прието с уточнения план, се </w:t>
      </w:r>
      <w:r w:rsidRPr="001A28D2">
        <w:t xml:space="preserve">наблюдава при 27 министерства и ведомства, НС и ВСС. При 5 размерът е запазен, </w:t>
      </w:r>
      <w:r w:rsidRPr="001A28D2">
        <w:rPr>
          <w:color w:val="000000"/>
        </w:rPr>
        <w:t xml:space="preserve">а </w:t>
      </w:r>
      <w:r w:rsidRPr="001A28D2">
        <w:t>при 12 министерства и ведомства и Сметна</w:t>
      </w:r>
      <w:r w:rsidR="001B2B50" w:rsidRPr="001A28D2">
        <w:t>та</w:t>
      </w:r>
      <w:r w:rsidRPr="001A28D2">
        <w:t xml:space="preserve"> палата промените са в посока намаление.</w:t>
      </w:r>
    </w:p>
    <w:p w14:paraId="69C19939" w14:textId="0A9FE8DA" w:rsidR="00033715" w:rsidRPr="001A28D2" w:rsidRDefault="00033715" w:rsidP="007E77CC">
      <w:pPr>
        <w:tabs>
          <w:tab w:val="left" w:pos="993"/>
        </w:tabs>
        <w:ind w:firstLine="709"/>
        <w:jc w:val="both"/>
        <w:rPr>
          <w:rFonts w:cs="Tahoma"/>
          <w:color w:val="000000"/>
        </w:rPr>
      </w:pPr>
    </w:p>
    <w:p w14:paraId="33B49E81" w14:textId="77777777" w:rsidR="00403F7F" w:rsidRPr="001A28D2" w:rsidRDefault="00403F7F" w:rsidP="007E77CC">
      <w:pPr>
        <w:tabs>
          <w:tab w:val="left" w:pos="993"/>
        </w:tabs>
        <w:ind w:firstLine="709"/>
        <w:jc w:val="both"/>
        <w:rPr>
          <w:rFonts w:cs="Tahoma"/>
          <w:color w:val="000000"/>
        </w:rPr>
      </w:pPr>
    </w:p>
    <w:tbl>
      <w:tblPr>
        <w:tblStyle w:val="MediumGrid3-Accent6"/>
        <w:tblW w:w="9039" w:type="dxa"/>
        <w:tblLook w:val="04A0" w:firstRow="1" w:lastRow="0" w:firstColumn="1" w:lastColumn="0" w:noHBand="0" w:noVBand="1"/>
      </w:tblPr>
      <w:tblGrid>
        <w:gridCol w:w="2749"/>
        <w:gridCol w:w="1504"/>
        <w:gridCol w:w="1503"/>
        <w:gridCol w:w="1640"/>
        <w:gridCol w:w="1643"/>
      </w:tblGrid>
      <w:tr w:rsidR="0047761F" w:rsidRPr="001A28D2" w14:paraId="477543F9" w14:textId="77777777" w:rsidTr="00E57BA8">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749" w:type="dxa"/>
            <w:vMerge w:val="restart"/>
            <w:noWrap/>
            <w:hideMark/>
          </w:tcPr>
          <w:p w14:paraId="432005C2" w14:textId="77777777" w:rsidR="0047761F" w:rsidRPr="001A28D2" w:rsidRDefault="0047761F" w:rsidP="0047761F">
            <w:pPr>
              <w:jc w:val="center"/>
              <w:rPr>
                <w:rFonts w:ascii="Times New Roman" w:hAnsi="Times New Roman" w:cs="Times New Roman"/>
              </w:rPr>
            </w:pPr>
            <w:r w:rsidRPr="001A28D2">
              <w:rPr>
                <w:rFonts w:ascii="Times New Roman" w:hAnsi="Times New Roman" w:cs="Times New Roman"/>
              </w:rPr>
              <w:t>Наименование</w:t>
            </w:r>
          </w:p>
        </w:tc>
        <w:tc>
          <w:tcPr>
            <w:tcW w:w="6290" w:type="dxa"/>
            <w:gridSpan w:val="4"/>
          </w:tcPr>
          <w:p w14:paraId="3E89CC74" w14:textId="77777777" w:rsidR="0047761F" w:rsidRPr="001A28D2" w:rsidRDefault="0047761F" w:rsidP="004776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Максимален размер на ангажиментите за разходи, поети през 2015 г. и 2016 г. (в хил. лв.)</w:t>
            </w:r>
          </w:p>
        </w:tc>
      </w:tr>
      <w:tr w:rsidR="0047761F" w:rsidRPr="001A28D2" w14:paraId="5F1FC6EC" w14:textId="77777777" w:rsidTr="00E57BA8">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2749" w:type="dxa"/>
            <w:vMerge/>
            <w:hideMark/>
          </w:tcPr>
          <w:p w14:paraId="78BD8C62" w14:textId="77777777" w:rsidR="0047761F" w:rsidRPr="001A28D2" w:rsidRDefault="0047761F" w:rsidP="0047761F">
            <w:pPr>
              <w:rPr>
                <w:rFonts w:ascii="Times New Roman" w:hAnsi="Times New Roman" w:cs="Times New Roman"/>
              </w:rPr>
            </w:pPr>
          </w:p>
        </w:tc>
        <w:tc>
          <w:tcPr>
            <w:tcW w:w="1504" w:type="dxa"/>
          </w:tcPr>
          <w:p w14:paraId="1ABF7F25"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Година</w:t>
            </w:r>
          </w:p>
        </w:tc>
        <w:tc>
          <w:tcPr>
            <w:tcW w:w="1503" w:type="dxa"/>
            <w:hideMark/>
          </w:tcPr>
          <w:p w14:paraId="3F7D6584"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Закон</w:t>
            </w:r>
          </w:p>
        </w:tc>
        <w:tc>
          <w:tcPr>
            <w:tcW w:w="1640" w:type="dxa"/>
            <w:hideMark/>
          </w:tcPr>
          <w:p w14:paraId="48AC3FD6"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Уточнен план</w:t>
            </w:r>
          </w:p>
        </w:tc>
        <w:tc>
          <w:tcPr>
            <w:tcW w:w="1643" w:type="dxa"/>
            <w:hideMark/>
          </w:tcPr>
          <w:p w14:paraId="1319C824"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Отчет</w:t>
            </w:r>
          </w:p>
        </w:tc>
      </w:tr>
      <w:tr w:rsidR="0047761F" w:rsidRPr="001A28D2" w14:paraId="520A0351" w14:textId="77777777" w:rsidTr="00E57BA8">
        <w:trPr>
          <w:trHeight w:val="186"/>
        </w:trPr>
        <w:tc>
          <w:tcPr>
            <w:cnfStyle w:val="001000000000" w:firstRow="0" w:lastRow="0" w:firstColumn="1" w:lastColumn="0" w:oddVBand="0" w:evenVBand="0" w:oddHBand="0" w:evenHBand="0" w:firstRowFirstColumn="0" w:firstRowLastColumn="0" w:lastRowFirstColumn="0" w:lastRowLastColumn="0"/>
            <w:tcW w:w="2749" w:type="dxa"/>
            <w:noWrap/>
            <w:hideMark/>
          </w:tcPr>
          <w:p w14:paraId="611F2E43" w14:textId="77777777" w:rsidR="0047761F" w:rsidRPr="001A28D2" w:rsidRDefault="0047761F" w:rsidP="0047761F">
            <w:pPr>
              <w:jc w:val="center"/>
              <w:rPr>
                <w:rFonts w:ascii="Times New Roman" w:hAnsi="Times New Roman" w:cs="Times New Roman"/>
                <w:sz w:val="16"/>
                <w:szCs w:val="16"/>
              </w:rPr>
            </w:pPr>
            <w:r w:rsidRPr="001A28D2">
              <w:rPr>
                <w:rFonts w:ascii="Times New Roman" w:hAnsi="Times New Roman" w:cs="Times New Roman"/>
                <w:sz w:val="16"/>
                <w:szCs w:val="16"/>
              </w:rPr>
              <w:t> 1</w:t>
            </w:r>
          </w:p>
        </w:tc>
        <w:tc>
          <w:tcPr>
            <w:tcW w:w="1504" w:type="dxa"/>
          </w:tcPr>
          <w:p w14:paraId="043EBB14"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2</w:t>
            </w:r>
          </w:p>
        </w:tc>
        <w:tc>
          <w:tcPr>
            <w:tcW w:w="1503" w:type="dxa"/>
            <w:noWrap/>
            <w:hideMark/>
          </w:tcPr>
          <w:p w14:paraId="759B8F9B"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3</w:t>
            </w:r>
          </w:p>
        </w:tc>
        <w:tc>
          <w:tcPr>
            <w:tcW w:w="1640" w:type="dxa"/>
            <w:noWrap/>
            <w:hideMark/>
          </w:tcPr>
          <w:p w14:paraId="6BE126FD"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4</w:t>
            </w:r>
          </w:p>
        </w:tc>
        <w:tc>
          <w:tcPr>
            <w:tcW w:w="1643" w:type="dxa"/>
            <w:noWrap/>
            <w:hideMark/>
          </w:tcPr>
          <w:p w14:paraId="37A1B784"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5</w:t>
            </w:r>
          </w:p>
        </w:tc>
      </w:tr>
      <w:tr w:rsidR="0047761F" w:rsidRPr="001A28D2" w14:paraId="281C938E" w14:textId="77777777" w:rsidTr="00E57BA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749" w:type="dxa"/>
            <w:vMerge w:val="restart"/>
            <w:hideMark/>
          </w:tcPr>
          <w:p w14:paraId="652E1563"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ВСИЧКО Министерства и ведомства</w:t>
            </w:r>
          </w:p>
        </w:tc>
        <w:tc>
          <w:tcPr>
            <w:tcW w:w="1504" w:type="dxa"/>
          </w:tcPr>
          <w:p w14:paraId="33F76470"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2016 г.</w:t>
            </w:r>
          </w:p>
        </w:tc>
        <w:tc>
          <w:tcPr>
            <w:tcW w:w="1503" w:type="dxa"/>
            <w:noWrap/>
            <w:hideMark/>
          </w:tcPr>
          <w:p w14:paraId="34D4DEA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3 672 259,9</w:t>
            </w:r>
          </w:p>
        </w:tc>
        <w:tc>
          <w:tcPr>
            <w:tcW w:w="1640" w:type="dxa"/>
            <w:noWrap/>
            <w:hideMark/>
          </w:tcPr>
          <w:p w14:paraId="656D73F8"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5 309 497,6</w:t>
            </w:r>
          </w:p>
        </w:tc>
        <w:tc>
          <w:tcPr>
            <w:tcW w:w="1643" w:type="dxa"/>
            <w:noWrap/>
            <w:hideMark/>
          </w:tcPr>
          <w:p w14:paraId="3306D4C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4 916 758,7</w:t>
            </w:r>
          </w:p>
        </w:tc>
      </w:tr>
      <w:tr w:rsidR="0047761F" w:rsidRPr="001A28D2" w14:paraId="4CF06124" w14:textId="77777777" w:rsidTr="00E57BA8">
        <w:trPr>
          <w:trHeight w:val="220"/>
        </w:trPr>
        <w:tc>
          <w:tcPr>
            <w:cnfStyle w:val="001000000000" w:firstRow="0" w:lastRow="0" w:firstColumn="1" w:lastColumn="0" w:oddVBand="0" w:evenVBand="0" w:oddHBand="0" w:evenHBand="0" w:firstRowFirstColumn="0" w:firstRowLastColumn="0" w:lastRowFirstColumn="0" w:lastRowLastColumn="0"/>
            <w:tcW w:w="2749" w:type="dxa"/>
            <w:vMerge/>
          </w:tcPr>
          <w:p w14:paraId="6B558533" w14:textId="77777777" w:rsidR="0047761F" w:rsidRPr="001A28D2" w:rsidRDefault="0047761F" w:rsidP="0047761F">
            <w:pPr>
              <w:rPr>
                <w:rFonts w:ascii="Times New Roman" w:hAnsi="Times New Roman" w:cs="Times New Roman"/>
              </w:rPr>
            </w:pPr>
          </w:p>
        </w:tc>
        <w:tc>
          <w:tcPr>
            <w:tcW w:w="1504" w:type="dxa"/>
          </w:tcPr>
          <w:p w14:paraId="4AE3F4D5"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2015 г.</w:t>
            </w:r>
          </w:p>
        </w:tc>
        <w:tc>
          <w:tcPr>
            <w:tcW w:w="1503" w:type="dxa"/>
            <w:noWrap/>
          </w:tcPr>
          <w:p w14:paraId="26345A3C"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3 224 075,3</w:t>
            </w:r>
          </w:p>
        </w:tc>
        <w:tc>
          <w:tcPr>
            <w:tcW w:w="1640" w:type="dxa"/>
            <w:noWrap/>
          </w:tcPr>
          <w:p w14:paraId="417674E2"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3 975 063,8</w:t>
            </w:r>
          </w:p>
        </w:tc>
        <w:tc>
          <w:tcPr>
            <w:tcW w:w="1643" w:type="dxa"/>
            <w:noWrap/>
          </w:tcPr>
          <w:p w14:paraId="786EC7B5"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3 536 530,3</w:t>
            </w:r>
          </w:p>
        </w:tc>
      </w:tr>
      <w:tr w:rsidR="0047761F" w:rsidRPr="001A28D2" w14:paraId="57DF35F0" w14:textId="77777777" w:rsidTr="00E57BA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49" w:type="dxa"/>
            <w:vMerge w:val="restart"/>
          </w:tcPr>
          <w:p w14:paraId="3CCB7B9E"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Сметна палата</w:t>
            </w:r>
          </w:p>
        </w:tc>
        <w:tc>
          <w:tcPr>
            <w:tcW w:w="1504" w:type="dxa"/>
          </w:tcPr>
          <w:p w14:paraId="6552388F"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2016 г.</w:t>
            </w:r>
          </w:p>
        </w:tc>
        <w:tc>
          <w:tcPr>
            <w:tcW w:w="1503" w:type="dxa"/>
            <w:noWrap/>
          </w:tcPr>
          <w:p w14:paraId="1E50AFD3"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2 000,0</w:t>
            </w:r>
          </w:p>
        </w:tc>
        <w:tc>
          <w:tcPr>
            <w:tcW w:w="1640" w:type="dxa"/>
            <w:noWrap/>
          </w:tcPr>
          <w:p w14:paraId="1875FE62"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1 834,0</w:t>
            </w:r>
          </w:p>
        </w:tc>
        <w:tc>
          <w:tcPr>
            <w:tcW w:w="1643" w:type="dxa"/>
            <w:noWrap/>
          </w:tcPr>
          <w:p w14:paraId="01ACA915"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1 426,1</w:t>
            </w:r>
          </w:p>
        </w:tc>
      </w:tr>
      <w:tr w:rsidR="0047761F" w:rsidRPr="001A28D2" w14:paraId="76297E53" w14:textId="77777777" w:rsidTr="00E57BA8">
        <w:trPr>
          <w:trHeight w:val="220"/>
        </w:trPr>
        <w:tc>
          <w:tcPr>
            <w:cnfStyle w:val="001000000000" w:firstRow="0" w:lastRow="0" w:firstColumn="1" w:lastColumn="0" w:oddVBand="0" w:evenVBand="0" w:oddHBand="0" w:evenHBand="0" w:firstRowFirstColumn="0" w:firstRowLastColumn="0" w:lastRowFirstColumn="0" w:lastRowLastColumn="0"/>
            <w:tcW w:w="2749" w:type="dxa"/>
            <w:vMerge/>
            <w:hideMark/>
          </w:tcPr>
          <w:p w14:paraId="29251195" w14:textId="77777777" w:rsidR="0047761F" w:rsidRPr="001A28D2" w:rsidRDefault="0047761F" w:rsidP="0047761F">
            <w:pPr>
              <w:rPr>
                <w:rFonts w:ascii="Times New Roman" w:hAnsi="Times New Roman" w:cs="Times New Roman"/>
              </w:rPr>
            </w:pPr>
          </w:p>
        </w:tc>
        <w:tc>
          <w:tcPr>
            <w:tcW w:w="1504" w:type="dxa"/>
          </w:tcPr>
          <w:p w14:paraId="0E203FFF"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2015 г.</w:t>
            </w:r>
          </w:p>
        </w:tc>
        <w:tc>
          <w:tcPr>
            <w:tcW w:w="1503" w:type="dxa"/>
            <w:noWrap/>
            <w:hideMark/>
          </w:tcPr>
          <w:p w14:paraId="0643DC54"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2 407,0</w:t>
            </w:r>
          </w:p>
        </w:tc>
        <w:tc>
          <w:tcPr>
            <w:tcW w:w="1640" w:type="dxa"/>
            <w:noWrap/>
            <w:hideMark/>
          </w:tcPr>
          <w:p w14:paraId="746828F3"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1 946,7</w:t>
            </w:r>
          </w:p>
        </w:tc>
        <w:tc>
          <w:tcPr>
            <w:tcW w:w="1643" w:type="dxa"/>
            <w:noWrap/>
            <w:hideMark/>
          </w:tcPr>
          <w:p w14:paraId="5AF7F972"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1 581,6</w:t>
            </w:r>
          </w:p>
        </w:tc>
      </w:tr>
      <w:tr w:rsidR="0047761F" w:rsidRPr="001A28D2" w14:paraId="168E8716" w14:textId="77777777" w:rsidTr="00E57BA8">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749" w:type="dxa"/>
            <w:vMerge w:val="restart"/>
            <w:hideMark/>
          </w:tcPr>
          <w:p w14:paraId="30E03648"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ВСИЧКО Министерства и ведомства + Сметна палата</w:t>
            </w:r>
          </w:p>
        </w:tc>
        <w:tc>
          <w:tcPr>
            <w:tcW w:w="1504" w:type="dxa"/>
          </w:tcPr>
          <w:p w14:paraId="248F3303"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2016 г.</w:t>
            </w:r>
          </w:p>
        </w:tc>
        <w:tc>
          <w:tcPr>
            <w:tcW w:w="1503" w:type="dxa"/>
            <w:noWrap/>
            <w:hideMark/>
          </w:tcPr>
          <w:p w14:paraId="24A4BF2D"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3 674 259,9</w:t>
            </w:r>
          </w:p>
        </w:tc>
        <w:tc>
          <w:tcPr>
            <w:tcW w:w="1640" w:type="dxa"/>
            <w:noWrap/>
            <w:hideMark/>
          </w:tcPr>
          <w:p w14:paraId="5F46E6F4"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5 311 331,7</w:t>
            </w:r>
          </w:p>
        </w:tc>
        <w:tc>
          <w:tcPr>
            <w:tcW w:w="1643" w:type="dxa"/>
            <w:noWrap/>
            <w:hideMark/>
          </w:tcPr>
          <w:p w14:paraId="3E171507"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4 918 184,8</w:t>
            </w:r>
          </w:p>
        </w:tc>
      </w:tr>
      <w:tr w:rsidR="0047761F" w:rsidRPr="001A28D2" w14:paraId="20E79A4B" w14:textId="77777777" w:rsidTr="00E57BA8">
        <w:trPr>
          <w:trHeight w:val="482"/>
        </w:trPr>
        <w:tc>
          <w:tcPr>
            <w:cnfStyle w:val="001000000000" w:firstRow="0" w:lastRow="0" w:firstColumn="1" w:lastColumn="0" w:oddVBand="0" w:evenVBand="0" w:oddHBand="0" w:evenHBand="0" w:firstRowFirstColumn="0" w:firstRowLastColumn="0" w:lastRowFirstColumn="0" w:lastRowLastColumn="0"/>
            <w:tcW w:w="2749" w:type="dxa"/>
            <w:vMerge/>
          </w:tcPr>
          <w:p w14:paraId="74E10CCA" w14:textId="77777777" w:rsidR="0047761F" w:rsidRPr="001A28D2" w:rsidRDefault="0047761F" w:rsidP="0047761F">
            <w:pPr>
              <w:rPr>
                <w:rFonts w:ascii="Times New Roman" w:hAnsi="Times New Roman" w:cs="Times New Roman"/>
              </w:rPr>
            </w:pPr>
          </w:p>
        </w:tc>
        <w:tc>
          <w:tcPr>
            <w:tcW w:w="1504" w:type="dxa"/>
          </w:tcPr>
          <w:p w14:paraId="78B48B41"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2015 г.</w:t>
            </w:r>
          </w:p>
        </w:tc>
        <w:tc>
          <w:tcPr>
            <w:tcW w:w="1503" w:type="dxa"/>
            <w:noWrap/>
          </w:tcPr>
          <w:p w14:paraId="414F2FC7"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3 226 482,3</w:t>
            </w:r>
          </w:p>
        </w:tc>
        <w:tc>
          <w:tcPr>
            <w:tcW w:w="1640" w:type="dxa"/>
            <w:noWrap/>
          </w:tcPr>
          <w:p w14:paraId="15E8C62E"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3 997 010,5</w:t>
            </w:r>
          </w:p>
        </w:tc>
        <w:tc>
          <w:tcPr>
            <w:tcW w:w="1643" w:type="dxa"/>
            <w:noWrap/>
          </w:tcPr>
          <w:p w14:paraId="1E0780DF"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3 538 111,9</w:t>
            </w:r>
          </w:p>
        </w:tc>
      </w:tr>
      <w:tr w:rsidR="0047761F" w:rsidRPr="001A28D2" w14:paraId="1CEA5A02" w14:textId="77777777" w:rsidTr="00E57BA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49" w:type="dxa"/>
            <w:vMerge w:val="restart"/>
          </w:tcPr>
          <w:p w14:paraId="7016FA52"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Народно събрание</w:t>
            </w:r>
          </w:p>
        </w:tc>
        <w:tc>
          <w:tcPr>
            <w:tcW w:w="1504" w:type="dxa"/>
          </w:tcPr>
          <w:p w14:paraId="3C8E1C24"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2016 г.</w:t>
            </w:r>
          </w:p>
        </w:tc>
        <w:tc>
          <w:tcPr>
            <w:tcW w:w="1503" w:type="dxa"/>
            <w:noWrap/>
          </w:tcPr>
          <w:p w14:paraId="32DA70C3"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19 174,2</w:t>
            </w:r>
          </w:p>
        </w:tc>
        <w:tc>
          <w:tcPr>
            <w:tcW w:w="1640" w:type="dxa"/>
            <w:noWrap/>
          </w:tcPr>
          <w:p w14:paraId="0124C0F6"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22 485,2</w:t>
            </w:r>
          </w:p>
        </w:tc>
        <w:tc>
          <w:tcPr>
            <w:tcW w:w="1643" w:type="dxa"/>
            <w:noWrap/>
          </w:tcPr>
          <w:p w14:paraId="7A0B41DB"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24 498,7</w:t>
            </w:r>
          </w:p>
        </w:tc>
      </w:tr>
      <w:tr w:rsidR="0047761F" w:rsidRPr="001A28D2" w14:paraId="48159E18" w14:textId="77777777" w:rsidTr="00E57BA8">
        <w:trPr>
          <w:trHeight w:val="220"/>
        </w:trPr>
        <w:tc>
          <w:tcPr>
            <w:cnfStyle w:val="001000000000" w:firstRow="0" w:lastRow="0" w:firstColumn="1" w:lastColumn="0" w:oddVBand="0" w:evenVBand="0" w:oddHBand="0" w:evenHBand="0" w:firstRowFirstColumn="0" w:firstRowLastColumn="0" w:lastRowFirstColumn="0" w:lastRowLastColumn="0"/>
            <w:tcW w:w="2749" w:type="dxa"/>
            <w:vMerge/>
            <w:hideMark/>
          </w:tcPr>
          <w:p w14:paraId="658BCFDF" w14:textId="77777777" w:rsidR="0047761F" w:rsidRPr="001A28D2" w:rsidRDefault="0047761F" w:rsidP="0047761F">
            <w:pPr>
              <w:rPr>
                <w:rFonts w:ascii="Times New Roman" w:hAnsi="Times New Roman" w:cs="Times New Roman"/>
              </w:rPr>
            </w:pPr>
          </w:p>
        </w:tc>
        <w:tc>
          <w:tcPr>
            <w:tcW w:w="1504" w:type="dxa"/>
          </w:tcPr>
          <w:p w14:paraId="3FB2935A"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2015 г.</w:t>
            </w:r>
          </w:p>
        </w:tc>
        <w:tc>
          <w:tcPr>
            <w:tcW w:w="1503" w:type="dxa"/>
            <w:noWrap/>
            <w:hideMark/>
          </w:tcPr>
          <w:p w14:paraId="40CBA868"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25 857,3</w:t>
            </w:r>
          </w:p>
        </w:tc>
        <w:tc>
          <w:tcPr>
            <w:tcW w:w="1640" w:type="dxa"/>
            <w:noWrap/>
            <w:hideMark/>
          </w:tcPr>
          <w:p w14:paraId="600866E9"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25 343,0</w:t>
            </w:r>
          </w:p>
        </w:tc>
        <w:tc>
          <w:tcPr>
            <w:tcW w:w="1643" w:type="dxa"/>
            <w:noWrap/>
            <w:hideMark/>
          </w:tcPr>
          <w:p w14:paraId="3D60DD46"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14 671,4</w:t>
            </w:r>
          </w:p>
        </w:tc>
      </w:tr>
      <w:tr w:rsidR="0047761F" w:rsidRPr="001A28D2" w14:paraId="4B766583" w14:textId="77777777" w:rsidTr="00E57BA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49" w:type="dxa"/>
            <w:vMerge w:val="restart"/>
            <w:hideMark/>
          </w:tcPr>
          <w:p w14:paraId="005EEC7E"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Висш съдебен съвет</w:t>
            </w:r>
          </w:p>
        </w:tc>
        <w:tc>
          <w:tcPr>
            <w:tcW w:w="1504" w:type="dxa"/>
          </w:tcPr>
          <w:p w14:paraId="54A35538"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2016 г.</w:t>
            </w:r>
          </w:p>
        </w:tc>
        <w:tc>
          <w:tcPr>
            <w:tcW w:w="1503" w:type="dxa"/>
            <w:noWrap/>
            <w:hideMark/>
          </w:tcPr>
          <w:p w14:paraId="19092F12"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83 207,2</w:t>
            </w:r>
          </w:p>
        </w:tc>
        <w:tc>
          <w:tcPr>
            <w:tcW w:w="1640" w:type="dxa"/>
            <w:noWrap/>
            <w:hideMark/>
          </w:tcPr>
          <w:p w14:paraId="105F92B8"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95 674,9</w:t>
            </w:r>
          </w:p>
        </w:tc>
        <w:tc>
          <w:tcPr>
            <w:tcW w:w="1643" w:type="dxa"/>
            <w:noWrap/>
            <w:hideMark/>
          </w:tcPr>
          <w:p w14:paraId="3D8C53C4"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63 625,4</w:t>
            </w:r>
          </w:p>
        </w:tc>
      </w:tr>
      <w:tr w:rsidR="0047761F" w:rsidRPr="001A28D2" w14:paraId="7B0D2498" w14:textId="77777777" w:rsidTr="00E57BA8">
        <w:trPr>
          <w:trHeight w:val="220"/>
        </w:trPr>
        <w:tc>
          <w:tcPr>
            <w:cnfStyle w:val="001000000000" w:firstRow="0" w:lastRow="0" w:firstColumn="1" w:lastColumn="0" w:oddVBand="0" w:evenVBand="0" w:oddHBand="0" w:evenHBand="0" w:firstRowFirstColumn="0" w:firstRowLastColumn="0" w:lastRowFirstColumn="0" w:lastRowLastColumn="0"/>
            <w:tcW w:w="2749" w:type="dxa"/>
            <w:vMerge/>
          </w:tcPr>
          <w:p w14:paraId="18212E3B" w14:textId="77777777" w:rsidR="0047761F" w:rsidRPr="001A28D2" w:rsidRDefault="0047761F" w:rsidP="0047761F">
            <w:pPr>
              <w:rPr>
                <w:rFonts w:ascii="Times New Roman" w:hAnsi="Times New Roman" w:cs="Times New Roman"/>
              </w:rPr>
            </w:pPr>
          </w:p>
        </w:tc>
        <w:tc>
          <w:tcPr>
            <w:tcW w:w="1504" w:type="dxa"/>
          </w:tcPr>
          <w:p w14:paraId="4BF74687"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2015 г.</w:t>
            </w:r>
          </w:p>
        </w:tc>
        <w:tc>
          <w:tcPr>
            <w:tcW w:w="1503" w:type="dxa"/>
            <w:noWrap/>
          </w:tcPr>
          <w:p w14:paraId="6859929D"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58 628,2</w:t>
            </w:r>
          </w:p>
        </w:tc>
        <w:tc>
          <w:tcPr>
            <w:tcW w:w="1640" w:type="dxa"/>
            <w:noWrap/>
          </w:tcPr>
          <w:p w14:paraId="4F5A8E9D"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59 455,2</w:t>
            </w:r>
          </w:p>
        </w:tc>
        <w:tc>
          <w:tcPr>
            <w:tcW w:w="1643" w:type="dxa"/>
            <w:noWrap/>
          </w:tcPr>
          <w:p w14:paraId="601E075B"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53 506,9</w:t>
            </w:r>
          </w:p>
        </w:tc>
      </w:tr>
      <w:tr w:rsidR="0047761F" w:rsidRPr="001A28D2" w14:paraId="53AE003B" w14:textId="77777777" w:rsidTr="00E57BA8">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749" w:type="dxa"/>
            <w:vMerge w:val="restart"/>
            <w:hideMark/>
          </w:tcPr>
          <w:p w14:paraId="4241C2B2"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ВСИЧКО ПРБ по ДБ (Министерства и ведомства + СП + НС + ВСС)</w:t>
            </w:r>
          </w:p>
        </w:tc>
        <w:tc>
          <w:tcPr>
            <w:tcW w:w="1504" w:type="dxa"/>
          </w:tcPr>
          <w:p w14:paraId="6FD6FAA8"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2016 г.</w:t>
            </w:r>
          </w:p>
        </w:tc>
        <w:tc>
          <w:tcPr>
            <w:tcW w:w="1503" w:type="dxa"/>
            <w:noWrap/>
            <w:hideMark/>
          </w:tcPr>
          <w:p w14:paraId="255AF0A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3 776 641,3</w:t>
            </w:r>
          </w:p>
        </w:tc>
        <w:tc>
          <w:tcPr>
            <w:tcW w:w="1640" w:type="dxa"/>
            <w:noWrap/>
            <w:hideMark/>
          </w:tcPr>
          <w:p w14:paraId="2CCDEBB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5 429 491,9</w:t>
            </w:r>
          </w:p>
        </w:tc>
        <w:tc>
          <w:tcPr>
            <w:tcW w:w="1643" w:type="dxa"/>
            <w:noWrap/>
            <w:hideMark/>
          </w:tcPr>
          <w:p w14:paraId="72D7964D"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5 006 308,9</w:t>
            </w:r>
          </w:p>
        </w:tc>
      </w:tr>
      <w:tr w:rsidR="0047761F" w:rsidRPr="001A28D2" w14:paraId="2BA6172D" w14:textId="77777777" w:rsidTr="00E57BA8">
        <w:trPr>
          <w:trHeight w:val="595"/>
        </w:trPr>
        <w:tc>
          <w:tcPr>
            <w:cnfStyle w:val="001000000000" w:firstRow="0" w:lastRow="0" w:firstColumn="1" w:lastColumn="0" w:oddVBand="0" w:evenVBand="0" w:oddHBand="0" w:evenHBand="0" w:firstRowFirstColumn="0" w:firstRowLastColumn="0" w:lastRowFirstColumn="0" w:lastRowLastColumn="0"/>
            <w:tcW w:w="2749" w:type="dxa"/>
            <w:vMerge/>
          </w:tcPr>
          <w:p w14:paraId="554BC5CD" w14:textId="77777777" w:rsidR="0047761F" w:rsidRPr="001A28D2" w:rsidRDefault="0047761F" w:rsidP="0047761F">
            <w:pPr>
              <w:rPr>
                <w:rFonts w:ascii="Times New Roman" w:hAnsi="Times New Roman" w:cs="Times New Roman"/>
              </w:rPr>
            </w:pPr>
          </w:p>
        </w:tc>
        <w:tc>
          <w:tcPr>
            <w:tcW w:w="1504" w:type="dxa"/>
          </w:tcPr>
          <w:p w14:paraId="56F038AA"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2015 г.</w:t>
            </w:r>
          </w:p>
        </w:tc>
        <w:tc>
          <w:tcPr>
            <w:tcW w:w="1503" w:type="dxa"/>
            <w:noWrap/>
          </w:tcPr>
          <w:p w14:paraId="58BAC0E0"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3 310 967,8</w:t>
            </w:r>
          </w:p>
        </w:tc>
        <w:tc>
          <w:tcPr>
            <w:tcW w:w="1640" w:type="dxa"/>
            <w:noWrap/>
          </w:tcPr>
          <w:p w14:paraId="0F863987"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4 061 808,7</w:t>
            </w:r>
          </w:p>
        </w:tc>
        <w:tc>
          <w:tcPr>
            <w:tcW w:w="1643" w:type="dxa"/>
            <w:noWrap/>
          </w:tcPr>
          <w:p w14:paraId="2B59B5F4"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3 606 290,2</w:t>
            </w:r>
          </w:p>
        </w:tc>
      </w:tr>
    </w:tbl>
    <w:p w14:paraId="1DD3E268" w14:textId="77777777" w:rsidR="001B2B50" w:rsidRPr="001A28D2" w:rsidRDefault="001B2B50" w:rsidP="006C40CD">
      <w:pPr>
        <w:ind w:firstLine="1134"/>
        <w:jc w:val="both"/>
      </w:pPr>
    </w:p>
    <w:p w14:paraId="64A16714" w14:textId="6AF593EB" w:rsidR="001B2B50" w:rsidRPr="001A28D2" w:rsidRDefault="001B2B50" w:rsidP="001B2B50">
      <w:pPr>
        <w:ind w:firstLine="709"/>
        <w:jc w:val="both"/>
      </w:pPr>
      <w:proofErr w:type="spellStart"/>
      <w:r w:rsidRPr="001A28D2">
        <w:rPr>
          <w:color w:val="000000"/>
        </w:rPr>
        <w:t>Превишение</w:t>
      </w:r>
      <w:proofErr w:type="spellEnd"/>
      <w:r w:rsidRPr="001A28D2">
        <w:rPr>
          <w:color w:val="000000"/>
        </w:rPr>
        <w:t xml:space="preserve"> на отчетените суми за ангажименти за разходи спрямо уточнения план са установени при Министерството на отбраната, Комисията за енергийно и водно регулиране и НС.</w:t>
      </w:r>
      <w:r w:rsidR="00B0508B" w:rsidRPr="001A28D2">
        <w:rPr>
          <w:rStyle w:val="FootnoteReference"/>
          <w:color w:val="000000"/>
        </w:rPr>
        <w:footnoteReference w:id="62"/>
      </w:r>
    </w:p>
    <w:p w14:paraId="1EFC460E" w14:textId="77777777" w:rsidR="001B2B50" w:rsidRPr="001A28D2" w:rsidRDefault="001B2B50" w:rsidP="006C40CD">
      <w:pPr>
        <w:ind w:firstLine="1134"/>
        <w:jc w:val="both"/>
      </w:pPr>
    </w:p>
    <w:tbl>
      <w:tblPr>
        <w:tblStyle w:val="MediumGrid3-Accent6"/>
        <w:tblW w:w="9180" w:type="dxa"/>
        <w:tblLook w:val="04A0" w:firstRow="1" w:lastRow="0" w:firstColumn="1" w:lastColumn="0" w:noHBand="0" w:noVBand="1"/>
      </w:tblPr>
      <w:tblGrid>
        <w:gridCol w:w="1951"/>
        <w:gridCol w:w="1985"/>
        <w:gridCol w:w="1701"/>
        <w:gridCol w:w="1701"/>
        <w:gridCol w:w="1842"/>
      </w:tblGrid>
      <w:tr w:rsidR="00E57BA8" w:rsidRPr="001A28D2" w14:paraId="44564907" w14:textId="77777777" w:rsidTr="009725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4F184E1E" w14:textId="77777777" w:rsidR="00E57BA8" w:rsidRPr="001A28D2" w:rsidRDefault="00E57BA8" w:rsidP="00972526">
            <w:pPr>
              <w:jc w:val="center"/>
              <w:rPr>
                <w:rFonts w:ascii="Times New Roman" w:hAnsi="Times New Roman" w:cs="Times New Roman"/>
              </w:rPr>
            </w:pPr>
            <w:r w:rsidRPr="001A28D2">
              <w:rPr>
                <w:rFonts w:ascii="Times New Roman" w:hAnsi="Times New Roman" w:cs="Times New Roman"/>
              </w:rPr>
              <w:t>ПРБ</w:t>
            </w:r>
          </w:p>
          <w:p w14:paraId="7279B63A" w14:textId="77777777" w:rsidR="00BB14C8" w:rsidRPr="001A28D2" w:rsidRDefault="00BB14C8" w:rsidP="00972526">
            <w:pPr>
              <w:jc w:val="center"/>
              <w:rPr>
                <w:rFonts w:ascii="Times New Roman" w:hAnsi="Times New Roman" w:cs="Times New Roman"/>
              </w:rPr>
            </w:pPr>
            <w:r w:rsidRPr="001A28D2">
              <w:rPr>
                <w:rFonts w:ascii="Times New Roman" w:hAnsi="Times New Roman" w:cs="Times New Roman"/>
              </w:rPr>
              <w:t>2016 г.</w:t>
            </w:r>
          </w:p>
        </w:tc>
        <w:tc>
          <w:tcPr>
            <w:tcW w:w="1985" w:type="dxa"/>
            <w:hideMark/>
          </w:tcPr>
          <w:p w14:paraId="4250CD66" w14:textId="77777777" w:rsidR="00E57BA8" w:rsidRPr="001A28D2" w:rsidRDefault="00E57BA8" w:rsidP="00972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A28D2">
              <w:rPr>
                <w:rFonts w:ascii="Times New Roman" w:hAnsi="Times New Roman" w:cs="Times New Roman"/>
                <w:b w:val="0"/>
                <w:bCs w:val="0"/>
              </w:rPr>
              <w:t xml:space="preserve">Уточнен план        в хил. лв.  </w:t>
            </w:r>
          </w:p>
        </w:tc>
        <w:tc>
          <w:tcPr>
            <w:tcW w:w="1701" w:type="dxa"/>
            <w:noWrap/>
            <w:hideMark/>
          </w:tcPr>
          <w:p w14:paraId="30E4A57C" w14:textId="77777777" w:rsidR="00E57BA8" w:rsidRPr="001A28D2" w:rsidRDefault="00E57BA8" w:rsidP="00972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A28D2">
              <w:rPr>
                <w:rFonts w:ascii="Times New Roman" w:hAnsi="Times New Roman" w:cs="Times New Roman"/>
                <w:b w:val="0"/>
                <w:bCs w:val="0"/>
              </w:rPr>
              <w:t>Отчет             в хил. лв.</w:t>
            </w:r>
          </w:p>
        </w:tc>
        <w:tc>
          <w:tcPr>
            <w:tcW w:w="1701" w:type="dxa"/>
            <w:hideMark/>
          </w:tcPr>
          <w:p w14:paraId="4EAD614F" w14:textId="77777777" w:rsidR="00E57BA8" w:rsidRPr="001A28D2" w:rsidRDefault="00E57BA8" w:rsidP="00972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1A28D2">
              <w:rPr>
                <w:rFonts w:ascii="Times New Roman" w:hAnsi="Times New Roman" w:cs="Times New Roman"/>
                <w:b w:val="0"/>
                <w:bCs w:val="0"/>
              </w:rPr>
              <w:t>Превишение</w:t>
            </w:r>
            <w:proofErr w:type="spellEnd"/>
            <w:r w:rsidRPr="001A28D2">
              <w:rPr>
                <w:rFonts w:ascii="Times New Roman" w:hAnsi="Times New Roman" w:cs="Times New Roman"/>
                <w:b w:val="0"/>
                <w:bCs w:val="0"/>
              </w:rPr>
              <w:t xml:space="preserve">            в хил. лв.</w:t>
            </w:r>
          </w:p>
        </w:tc>
        <w:tc>
          <w:tcPr>
            <w:tcW w:w="1842" w:type="dxa"/>
            <w:hideMark/>
          </w:tcPr>
          <w:p w14:paraId="6C7AF6AD" w14:textId="77777777" w:rsidR="00E57BA8" w:rsidRPr="001A28D2" w:rsidRDefault="00E57BA8" w:rsidP="00972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1A28D2">
              <w:rPr>
                <w:rFonts w:ascii="Times New Roman" w:hAnsi="Times New Roman" w:cs="Times New Roman"/>
                <w:b w:val="0"/>
                <w:bCs w:val="0"/>
              </w:rPr>
              <w:t>Превишение</w:t>
            </w:r>
            <w:proofErr w:type="spellEnd"/>
            <w:r w:rsidRPr="001A28D2">
              <w:rPr>
                <w:rFonts w:ascii="Times New Roman" w:hAnsi="Times New Roman" w:cs="Times New Roman"/>
                <w:b w:val="0"/>
                <w:bCs w:val="0"/>
              </w:rPr>
              <w:t xml:space="preserve">      в %</w:t>
            </w:r>
          </w:p>
        </w:tc>
      </w:tr>
      <w:tr w:rsidR="00E57BA8" w:rsidRPr="001A28D2" w14:paraId="53CBA858" w14:textId="77777777" w:rsidTr="009725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1" w:type="dxa"/>
            <w:noWrap/>
            <w:hideMark/>
          </w:tcPr>
          <w:p w14:paraId="3D3C66E3" w14:textId="77777777" w:rsidR="00E57BA8" w:rsidRPr="001A28D2" w:rsidRDefault="00E57BA8" w:rsidP="00972526">
            <w:pPr>
              <w:rPr>
                <w:rFonts w:ascii="Times New Roman" w:hAnsi="Times New Roman" w:cs="Times New Roman"/>
              </w:rPr>
            </w:pPr>
            <w:r w:rsidRPr="001A28D2">
              <w:rPr>
                <w:rFonts w:ascii="Times New Roman" w:hAnsi="Times New Roman" w:cs="Times New Roman"/>
              </w:rPr>
              <w:t>МО</w:t>
            </w:r>
          </w:p>
        </w:tc>
        <w:tc>
          <w:tcPr>
            <w:tcW w:w="1985" w:type="dxa"/>
            <w:noWrap/>
            <w:hideMark/>
          </w:tcPr>
          <w:p w14:paraId="5143E808"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388 396,5</w:t>
            </w:r>
          </w:p>
        </w:tc>
        <w:tc>
          <w:tcPr>
            <w:tcW w:w="1701" w:type="dxa"/>
            <w:noWrap/>
            <w:hideMark/>
          </w:tcPr>
          <w:p w14:paraId="35296561"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412 813,3</w:t>
            </w:r>
          </w:p>
        </w:tc>
        <w:tc>
          <w:tcPr>
            <w:tcW w:w="1701" w:type="dxa"/>
            <w:noWrap/>
            <w:hideMark/>
          </w:tcPr>
          <w:p w14:paraId="1023185A"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24 416,8</w:t>
            </w:r>
          </w:p>
        </w:tc>
        <w:tc>
          <w:tcPr>
            <w:tcW w:w="1842" w:type="dxa"/>
            <w:noWrap/>
            <w:hideMark/>
          </w:tcPr>
          <w:p w14:paraId="2D69ED91"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6,29</w:t>
            </w:r>
          </w:p>
        </w:tc>
      </w:tr>
      <w:tr w:rsidR="00E57BA8" w:rsidRPr="001A28D2" w14:paraId="00AE6F7C" w14:textId="77777777" w:rsidTr="00972526">
        <w:trPr>
          <w:trHeight w:val="255"/>
        </w:trPr>
        <w:tc>
          <w:tcPr>
            <w:cnfStyle w:val="001000000000" w:firstRow="0" w:lastRow="0" w:firstColumn="1" w:lastColumn="0" w:oddVBand="0" w:evenVBand="0" w:oddHBand="0" w:evenHBand="0" w:firstRowFirstColumn="0" w:firstRowLastColumn="0" w:lastRowFirstColumn="0" w:lastRowLastColumn="0"/>
            <w:tcW w:w="1951" w:type="dxa"/>
            <w:noWrap/>
            <w:hideMark/>
          </w:tcPr>
          <w:p w14:paraId="47061B8C" w14:textId="77777777" w:rsidR="00E57BA8" w:rsidRPr="001A28D2" w:rsidRDefault="00E57BA8" w:rsidP="00972526">
            <w:pPr>
              <w:rPr>
                <w:rFonts w:ascii="Times New Roman" w:hAnsi="Times New Roman" w:cs="Times New Roman"/>
              </w:rPr>
            </w:pPr>
            <w:r w:rsidRPr="001A28D2">
              <w:rPr>
                <w:rFonts w:ascii="Times New Roman" w:hAnsi="Times New Roman" w:cs="Times New Roman"/>
              </w:rPr>
              <w:t>КЕВР</w:t>
            </w:r>
          </w:p>
        </w:tc>
        <w:tc>
          <w:tcPr>
            <w:tcW w:w="1985" w:type="dxa"/>
            <w:noWrap/>
            <w:hideMark/>
          </w:tcPr>
          <w:p w14:paraId="505BB30F" w14:textId="77777777" w:rsidR="00E57BA8" w:rsidRPr="001A28D2" w:rsidRDefault="00E57BA8" w:rsidP="009725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1 227,3</w:t>
            </w:r>
          </w:p>
        </w:tc>
        <w:tc>
          <w:tcPr>
            <w:tcW w:w="1701" w:type="dxa"/>
            <w:noWrap/>
            <w:hideMark/>
          </w:tcPr>
          <w:p w14:paraId="68F1212F" w14:textId="77777777" w:rsidR="00E57BA8" w:rsidRPr="001A28D2" w:rsidRDefault="00E57BA8" w:rsidP="009725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1 232,6</w:t>
            </w:r>
          </w:p>
        </w:tc>
        <w:tc>
          <w:tcPr>
            <w:tcW w:w="1701" w:type="dxa"/>
            <w:noWrap/>
            <w:hideMark/>
          </w:tcPr>
          <w:p w14:paraId="05930702" w14:textId="77777777" w:rsidR="00E57BA8" w:rsidRPr="001A28D2" w:rsidRDefault="00E57BA8" w:rsidP="009725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5,3</w:t>
            </w:r>
          </w:p>
        </w:tc>
        <w:tc>
          <w:tcPr>
            <w:tcW w:w="1842" w:type="dxa"/>
            <w:noWrap/>
            <w:hideMark/>
          </w:tcPr>
          <w:p w14:paraId="74807FA9" w14:textId="77777777" w:rsidR="00E57BA8" w:rsidRPr="001A28D2" w:rsidRDefault="00E57BA8" w:rsidP="0097252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0,44</w:t>
            </w:r>
          </w:p>
        </w:tc>
      </w:tr>
      <w:tr w:rsidR="00E57BA8" w:rsidRPr="001A28D2" w14:paraId="529E8D89" w14:textId="77777777" w:rsidTr="009725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51" w:type="dxa"/>
            <w:noWrap/>
          </w:tcPr>
          <w:p w14:paraId="3EF7898A" w14:textId="77777777" w:rsidR="00E57BA8" w:rsidRPr="001A28D2" w:rsidRDefault="00E57BA8" w:rsidP="00972526">
            <w:pPr>
              <w:rPr>
                <w:rFonts w:ascii="Times New Roman" w:hAnsi="Times New Roman" w:cs="Times New Roman"/>
              </w:rPr>
            </w:pPr>
            <w:r w:rsidRPr="001A28D2">
              <w:rPr>
                <w:rFonts w:ascii="Times New Roman" w:hAnsi="Times New Roman" w:cs="Times New Roman"/>
              </w:rPr>
              <w:t>НС</w:t>
            </w:r>
          </w:p>
        </w:tc>
        <w:tc>
          <w:tcPr>
            <w:tcW w:w="1985" w:type="dxa"/>
            <w:noWrap/>
          </w:tcPr>
          <w:p w14:paraId="39645464"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22 485,2</w:t>
            </w:r>
          </w:p>
        </w:tc>
        <w:tc>
          <w:tcPr>
            <w:tcW w:w="1701" w:type="dxa"/>
            <w:noWrap/>
          </w:tcPr>
          <w:p w14:paraId="59065CCA"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24 498,7</w:t>
            </w:r>
          </w:p>
        </w:tc>
        <w:tc>
          <w:tcPr>
            <w:tcW w:w="1701" w:type="dxa"/>
            <w:noWrap/>
          </w:tcPr>
          <w:p w14:paraId="642290C4"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2 013,5</w:t>
            </w:r>
          </w:p>
        </w:tc>
        <w:tc>
          <w:tcPr>
            <w:tcW w:w="1842" w:type="dxa"/>
            <w:noWrap/>
          </w:tcPr>
          <w:p w14:paraId="1D1891D0" w14:textId="77777777" w:rsidR="00E57BA8" w:rsidRPr="001A28D2" w:rsidRDefault="00E57BA8" w:rsidP="0097252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8,96</w:t>
            </w:r>
          </w:p>
        </w:tc>
      </w:tr>
    </w:tbl>
    <w:p w14:paraId="27A8AAB8" w14:textId="77777777" w:rsidR="00E57BA8" w:rsidRPr="001A28D2" w:rsidRDefault="00E57BA8" w:rsidP="006C40CD">
      <w:pPr>
        <w:ind w:firstLine="1134"/>
        <w:contextualSpacing/>
        <w:jc w:val="both"/>
        <w:rPr>
          <w:lang w:eastAsia="en-US"/>
        </w:rPr>
      </w:pPr>
    </w:p>
    <w:p w14:paraId="0CAA288B" w14:textId="41B70A1D" w:rsidR="00E57BA8" w:rsidRPr="001A28D2" w:rsidRDefault="00BB14C8" w:rsidP="007E77CC">
      <w:pPr>
        <w:ind w:firstLine="709"/>
        <w:contextualSpacing/>
        <w:jc w:val="both"/>
        <w:rPr>
          <w:lang w:eastAsia="en-US"/>
        </w:rPr>
      </w:pPr>
      <w:r w:rsidRPr="001A28D2">
        <w:t>П</w:t>
      </w:r>
      <w:r w:rsidR="00E57BA8" w:rsidRPr="001A28D2">
        <w:t>ричините за надхвърлените максимални размери на поетите ангажименти за разходи</w:t>
      </w:r>
      <w:r w:rsidR="00403F7F" w:rsidRPr="001A28D2">
        <w:rPr>
          <w:color w:val="000000"/>
        </w:rPr>
        <w:t xml:space="preserve"> през 2016 г. съгласно З</w:t>
      </w:r>
      <w:r w:rsidR="00E57BA8" w:rsidRPr="001A28D2">
        <w:rPr>
          <w:color w:val="000000"/>
        </w:rPr>
        <w:t>Д</w:t>
      </w:r>
      <w:r w:rsidR="00403F7F" w:rsidRPr="001A28D2">
        <w:rPr>
          <w:color w:val="000000"/>
        </w:rPr>
        <w:t>Б</w:t>
      </w:r>
      <w:r w:rsidR="00E57BA8" w:rsidRPr="001A28D2">
        <w:rPr>
          <w:color w:val="000000"/>
        </w:rPr>
        <w:t>РБ за 2016 г. са</w:t>
      </w:r>
      <w:r w:rsidR="00403F7F" w:rsidRPr="001A28D2">
        <w:rPr>
          <w:color w:val="000000"/>
        </w:rPr>
        <w:t>,</w:t>
      </w:r>
      <w:r w:rsidR="00E57BA8" w:rsidRPr="001A28D2">
        <w:rPr>
          <w:color w:val="000000"/>
        </w:rPr>
        <w:t xml:space="preserve"> </w:t>
      </w:r>
      <w:r w:rsidR="00E57BA8" w:rsidRPr="001A28D2">
        <w:t>както следва:</w:t>
      </w:r>
      <w:r w:rsidR="00E57BA8" w:rsidRPr="001A28D2">
        <w:rPr>
          <w:vertAlign w:val="superscript"/>
        </w:rPr>
        <w:t xml:space="preserve"> </w:t>
      </w:r>
      <w:r w:rsidR="00E57BA8" w:rsidRPr="001A28D2">
        <w:rPr>
          <w:vertAlign w:val="superscript"/>
        </w:rPr>
        <w:footnoteReference w:id="63"/>
      </w:r>
    </w:p>
    <w:p w14:paraId="76E20BD9" w14:textId="77777777" w:rsidR="0047761F" w:rsidRPr="001A28D2" w:rsidRDefault="006C40CD" w:rsidP="007E77CC">
      <w:pPr>
        <w:ind w:firstLine="709"/>
        <w:contextualSpacing/>
        <w:jc w:val="both"/>
        <w:rPr>
          <w:lang w:eastAsia="en-US"/>
        </w:rPr>
      </w:pPr>
      <w:r w:rsidRPr="001A28D2">
        <w:rPr>
          <w:lang w:eastAsia="en-US"/>
        </w:rPr>
        <w:lastRenderedPageBreak/>
        <w:t>6.1.</w:t>
      </w:r>
      <w:proofErr w:type="spellStart"/>
      <w:r w:rsidRPr="001A28D2">
        <w:rPr>
          <w:lang w:eastAsia="en-US"/>
        </w:rPr>
        <w:t>1</w:t>
      </w:r>
      <w:proofErr w:type="spellEnd"/>
      <w:r w:rsidRPr="001A28D2">
        <w:rPr>
          <w:lang w:eastAsia="en-US"/>
        </w:rPr>
        <w:t>.</w:t>
      </w:r>
      <w:r w:rsidR="0047761F" w:rsidRPr="001A28D2">
        <w:rPr>
          <w:lang w:eastAsia="en-US"/>
        </w:rPr>
        <w:t xml:space="preserve"> Министерство</w:t>
      </w:r>
      <w:r w:rsidR="00E57BA8" w:rsidRPr="001A28D2">
        <w:rPr>
          <w:lang w:eastAsia="en-US"/>
        </w:rPr>
        <w:t>то</w:t>
      </w:r>
      <w:r w:rsidR="0047761F" w:rsidRPr="001A28D2">
        <w:rPr>
          <w:lang w:eastAsia="en-US"/>
        </w:rPr>
        <w:t xml:space="preserve"> на отбраната - сключени дългогодишни договори за доставка на горива за Българската армия и на лекарствени продукти и медицински изделия за нуждите на </w:t>
      </w:r>
      <w:r w:rsidR="0094676F" w:rsidRPr="001A28D2">
        <w:rPr>
          <w:lang w:eastAsia="en-US"/>
        </w:rPr>
        <w:t>Военномедицинска академия (</w:t>
      </w:r>
      <w:r w:rsidR="0047761F" w:rsidRPr="001A28D2">
        <w:rPr>
          <w:lang w:eastAsia="en-US"/>
        </w:rPr>
        <w:t>ВМА</w:t>
      </w:r>
      <w:r w:rsidR="0094676F" w:rsidRPr="001A28D2">
        <w:rPr>
          <w:lang w:eastAsia="en-US"/>
        </w:rPr>
        <w:t>)</w:t>
      </w:r>
      <w:r w:rsidR="0047761F" w:rsidRPr="001A28D2">
        <w:rPr>
          <w:lang w:eastAsia="en-US"/>
        </w:rPr>
        <w:t>;</w:t>
      </w:r>
    </w:p>
    <w:p w14:paraId="58ED7C3E" w14:textId="02DA2A52" w:rsidR="0047761F" w:rsidRPr="001A28D2" w:rsidRDefault="006C40CD" w:rsidP="007E77CC">
      <w:pPr>
        <w:ind w:firstLine="709"/>
        <w:contextualSpacing/>
        <w:jc w:val="both"/>
        <w:rPr>
          <w:lang w:eastAsia="en-US"/>
        </w:rPr>
      </w:pPr>
      <w:r w:rsidRPr="001A28D2">
        <w:rPr>
          <w:lang w:eastAsia="en-US"/>
        </w:rPr>
        <w:t>6.1.2.</w:t>
      </w:r>
      <w:r w:rsidR="0047761F" w:rsidRPr="001A28D2">
        <w:rPr>
          <w:lang w:eastAsia="en-US"/>
        </w:rPr>
        <w:t xml:space="preserve"> Комисията за енергийно и водно регулиране – сключени и начислени през м. декември 2016 г. договори на основание проведена процед</w:t>
      </w:r>
      <w:r w:rsidR="00403F7F" w:rsidRPr="001A28D2">
        <w:rPr>
          <w:lang w:eastAsia="en-US"/>
        </w:rPr>
        <w:t>ура по утвърден план-график на К</w:t>
      </w:r>
      <w:r w:rsidR="0047761F" w:rsidRPr="001A28D2">
        <w:rPr>
          <w:lang w:eastAsia="en-US"/>
        </w:rPr>
        <w:t>омисията за доставка на материали и консумативи;</w:t>
      </w:r>
    </w:p>
    <w:p w14:paraId="29C42C78" w14:textId="77777777" w:rsidR="0047761F" w:rsidRPr="001A28D2" w:rsidRDefault="006C40CD" w:rsidP="007E77CC">
      <w:pPr>
        <w:ind w:firstLine="709"/>
        <w:contextualSpacing/>
        <w:jc w:val="both"/>
      </w:pPr>
      <w:r w:rsidRPr="001A28D2">
        <w:rPr>
          <w:lang w:eastAsia="en-US"/>
        </w:rPr>
        <w:t>6.1.3.</w:t>
      </w:r>
      <w:r w:rsidR="0047761F" w:rsidRPr="001A28D2">
        <w:rPr>
          <w:lang w:eastAsia="en-US"/>
        </w:rPr>
        <w:t xml:space="preserve"> Народното събрание – поради изтичане мандата на 43-то НС преди съставянето на окончателния годишен отчет по бюджета на НС за 2016</w:t>
      </w:r>
      <w:r w:rsidR="001B2B50" w:rsidRPr="001A28D2">
        <w:rPr>
          <w:lang w:eastAsia="en-US"/>
        </w:rPr>
        <w:t> </w:t>
      </w:r>
      <w:r w:rsidR="0047761F" w:rsidRPr="001A28D2">
        <w:rPr>
          <w:lang w:eastAsia="en-US"/>
        </w:rPr>
        <w:t>г., не е приложена разпоредбата на чл.</w:t>
      </w:r>
      <w:r w:rsidR="001B2B50" w:rsidRPr="001A28D2">
        <w:rPr>
          <w:lang w:eastAsia="en-US"/>
        </w:rPr>
        <w:t> </w:t>
      </w:r>
      <w:r w:rsidR="0047761F" w:rsidRPr="001A28D2">
        <w:rPr>
          <w:lang w:eastAsia="en-US"/>
        </w:rPr>
        <w:t>3, ал.</w:t>
      </w:r>
      <w:r w:rsidR="001B2B50" w:rsidRPr="001A28D2">
        <w:rPr>
          <w:lang w:eastAsia="en-US"/>
        </w:rPr>
        <w:t> </w:t>
      </w:r>
      <w:r w:rsidR="0047761F" w:rsidRPr="001A28D2">
        <w:rPr>
          <w:lang w:eastAsia="en-US"/>
        </w:rPr>
        <w:t>4 от ЗДБРБ.</w:t>
      </w:r>
      <w:r w:rsidR="0047761F" w:rsidRPr="001A28D2">
        <w:rPr>
          <w:vertAlign w:val="superscript"/>
          <w:lang w:eastAsia="en-US"/>
        </w:rPr>
        <w:footnoteReference w:id="64"/>
      </w:r>
    </w:p>
    <w:p w14:paraId="78A8AC93" w14:textId="77777777" w:rsidR="0047761F" w:rsidRPr="001A28D2" w:rsidRDefault="0047761F" w:rsidP="007E77CC">
      <w:pPr>
        <w:ind w:firstLine="709"/>
        <w:jc w:val="both"/>
        <w:rPr>
          <w:i/>
        </w:rPr>
      </w:pPr>
      <w:r w:rsidRPr="001A28D2">
        <w:rPr>
          <w:i/>
        </w:rPr>
        <w:t>Изискването на чл. 88 от ЗПФ</w:t>
      </w:r>
      <w:r w:rsidRPr="001A28D2">
        <w:rPr>
          <w:i/>
          <w:vertAlign w:val="superscript"/>
        </w:rPr>
        <w:footnoteReference w:id="65"/>
      </w:r>
      <w:r w:rsidRPr="001A28D2">
        <w:rPr>
          <w:i/>
        </w:rPr>
        <w:t xml:space="preserve"> по отношение на </w:t>
      </w:r>
      <w:proofErr w:type="spellStart"/>
      <w:r w:rsidRPr="001A28D2">
        <w:rPr>
          <w:i/>
        </w:rPr>
        <w:t>превишението</w:t>
      </w:r>
      <w:proofErr w:type="spellEnd"/>
      <w:r w:rsidRPr="001A28D2">
        <w:rPr>
          <w:i/>
        </w:rPr>
        <w:t xml:space="preserve"> на уточнения план на м</w:t>
      </w:r>
      <w:r w:rsidRPr="001A28D2">
        <w:rPr>
          <w:i/>
          <w:color w:val="000000"/>
        </w:rPr>
        <w:t xml:space="preserve">аксималния размер на ангажиментите за разходи, поети през 2016 г. не е </w:t>
      </w:r>
      <w:r w:rsidRPr="001A28D2">
        <w:rPr>
          <w:i/>
        </w:rPr>
        <w:t>изпълнено от 3 първос</w:t>
      </w:r>
      <w:r w:rsidR="00CB5D8B" w:rsidRPr="001A28D2">
        <w:rPr>
          <w:i/>
        </w:rPr>
        <w:t xml:space="preserve">тепенни разпоредители с бюджет, с което е </w:t>
      </w:r>
      <w:r w:rsidRPr="001A28D2">
        <w:rPr>
          <w:i/>
        </w:rPr>
        <w:t>нарушен</w:t>
      </w:r>
      <w:r w:rsidR="00CB5D8B" w:rsidRPr="001A28D2">
        <w:rPr>
          <w:i/>
        </w:rPr>
        <w:t>а</w:t>
      </w:r>
      <w:r w:rsidRPr="001A28D2">
        <w:rPr>
          <w:i/>
        </w:rPr>
        <w:t xml:space="preserve"> бюджетната дисциплина.</w:t>
      </w:r>
    </w:p>
    <w:p w14:paraId="79F18ADF" w14:textId="339D42EB" w:rsidR="0047761F" w:rsidRPr="001A28D2" w:rsidRDefault="0047761F" w:rsidP="007E77CC">
      <w:pPr>
        <w:ind w:firstLine="709"/>
        <w:jc w:val="both"/>
        <w:rPr>
          <w:i/>
        </w:rPr>
      </w:pPr>
    </w:p>
    <w:p w14:paraId="42697670" w14:textId="77777777" w:rsidR="0047761F" w:rsidRPr="001A28D2" w:rsidRDefault="005906C0" w:rsidP="007E77CC">
      <w:pPr>
        <w:tabs>
          <w:tab w:val="left" w:pos="1276"/>
        </w:tabs>
        <w:ind w:firstLine="709"/>
        <w:jc w:val="both"/>
        <w:rPr>
          <w:color w:val="000000"/>
        </w:rPr>
      </w:pPr>
      <w:r w:rsidRPr="001A28D2">
        <w:rPr>
          <w:color w:val="000000"/>
        </w:rPr>
        <w:t xml:space="preserve">6.2. </w:t>
      </w:r>
      <w:r w:rsidR="0047761F" w:rsidRPr="001A28D2">
        <w:rPr>
          <w:color w:val="000000"/>
        </w:rPr>
        <w:t>Максимален размер на новите задължения за разходи, натрупани през 2015 г. и 2016 г.</w:t>
      </w:r>
    </w:p>
    <w:p w14:paraId="62F1700A" w14:textId="77777777" w:rsidR="0047761F" w:rsidRPr="001A28D2" w:rsidRDefault="0047761F" w:rsidP="0047761F">
      <w:pPr>
        <w:tabs>
          <w:tab w:val="left" w:pos="1276"/>
        </w:tabs>
        <w:jc w:val="both"/>
      </w:pPr>
    </w:p>
    <w:tbl>
      <w:tblPr>
        <w:tblStyle w:val="MediumGrid3-Accent5"/>
        <w:tblW w:w="9157" w:type="dxa"/>
        <w:tblLayout w:type="fixed"/>
        <w:tblLook w:val="04A0" w:firstRow="1" w:lastRow="0" w:firstColumn="1" w:lastColumn="0" w:noHBand="0" w:noVBand="1"/>
      </w:tblPr>
      <w:tblGrid>
        <w:gridCol w:w="2943"/>
        <w:gridCol w:w="1418"/>
        <w:gridCol w:w="1559"/>
        <w:gridCol w:w="1750"/>
        <w:gridCol w:w="1487"/>
      </w:tblGrid>
      <w:tr w:rsidR="0047761F" w:rsidRPr="001A28D2" w14:paraId="5C5B78BB" w14:textId="77777777" w:rsidTr="00F4731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43" w:type="dxa"/>
            <w:vMerge w:val="restart"/>
            <w:noWrap/>
            <w:hideMark/>
          </w:tcPr>
          <w:p w14:paraId="6364292A" w14:textId="77777777" w:rsidR="0047761F" w:rsidRPr="001A28D2" w:rsidRDefault="0047761F" w:rsidP="0047761F">
            <w:pPr>
              <w:jc w:val="center"/>
              <w:rPr>
                <w:rFonts w:ascii="Times New Roman" w:hAnsi="Times New Roman" w:cs="Times New Roman"/>
                <w:szCs w:val="24"/>
              </w:rPr>
            </w:pPr>
          </w:p>
          <w:p w14:paraId="148C21ED" w14:textId="77777777" w:rsidR="0047761F" w:rsidRPr="001A28D2" w:rsidRDefault="0047761F" w:rsidP="0047761F">
            <w:pPr>
              <w:jc w:val="center"/>
              <w:rPr>
                <w:rFonts w:ascii="Times New Roman" w:hAnsi="Times New Roman" w:cs="Times New Roman"/>
                <w:szCs w:val="24"/>
              </w:rPr>
            </w:pPr>
            <w:r w:rsidRPr="001A28D2">
              <w:rPr>
                <w:rFonts w:ascii="Times New Roman" w:hAnsi="Times New Roman" w:cs="Times New Roman"/>
                <w:szCs w:val="24"/>
              </w:rPr>
              <w:t>Наименование</w:t>
            </w:r>
          </w:p>
        </w:tc>
        <w:tc>
          <w:tcPr>
            <w:tcW w:w="6214" w:type="dxa"/>
            <w:gridSpan w:val="4"/>
          </w:tcPr>
          <w:p w14:paraId="5EFE49A0" w14:textId="77777777" w:rsidR="0047761F" w:rsidRPr="001A28D2" w:rsidRDefault="0047761F" w:rsidP="004776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Максимален размер на новите задължения за разходи, натрупани през 2015 г. и 2016 г. (в хил. лв.)</w:t>
            </w:r>
          </w:p>
        </w:tc>
      </w:tr>
      <w:tr w:rsidR="0047761F" w:rsidRPr="001A28D2" w14:paraId="4FB8A9DB" w14:textId="77777777" w:rsidTr="00F4731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943" w:type="dxa"/>
            <w:vMerge/>
            <w:hideMark/>
          </w:tcPr>
          <w:p w14:paraId="3C339692" w14:textId="77777777" w:rsidR="0047761F" w:rsidRPr="001A28D2" w:rsidRDefault="0047761F" w:rsidP="0047761F">
            <w:pPr>
              <w:rPr>
                <w:rFonts w:ascii="Times New Roman" w:hAnsi="Times New Roman" w:cs="Times New Roman"/>
                <w:szCs w:val="24"/>
              </w:rPr>
            </w:pPr>
          </w:p>
        </w:tc>
        <w:tc>
          <w:tcPr>
            <w:tcW w:w="1418" w:type="dxa"/>
          </w:tcPr>
          <w:p w14:paraId="22242373"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1A28D2">
              <w:rPr>
                <w:rFonts w:ascii="Times New Roman" w:hAnsi="Times New Roman" w:cs="Times New Roman"/>
                <w:bCs/>
                <w:szCs w:val="24"/>
              </w:rPr>
              <w:t>Година</w:t>
            </w:r>
          </w:p>
        </w:tc>
        <w:tc>
          <w:tcPr>
            <w:tcW w:w="1559" w:type="dxa"/>
            <w:hideMark/>
          </w:tcPr>
          <w:p w14:paraId="5F70C665"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1A28D2">
              <w:rPr>
                <w:rFonts w:ascii="Times New Roman" w:hAnsi="Times New Roman" w:cs="Times New Roman"/>
                <w:bCs/>
                <w:szCs w:val="24"/>
              </w:rPr>
              <w:t>Закон</w:t>
            </w:r>
          </w:p>
        </w:tc>
        <w:tc>
          <w:tcPr>
            <w:tcW w:w="1750" w:type="dxa"/>
            <w:hideMark/>
          </w:tcPr>
          <w:p w14:paraId="047805CF"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1A28D2">
              <w:rPr>
                <w:rFonts w:ascii="Times New Roman" w:hAnsi="Times New Roman" w:cs="Times New Roman"/>
                <w:bCs/>
                <w:szCs w:val="24"/>
              </w:rPr>
              <w:t>Уточнен план</w:t>
            </w:r>
          </w:p>
        </w:tc>
        <w:tc>
          <w:tcPr>
            <w:tcW w:w="1487" w:type="dxa"/>
            <w:hideMark/>
          </w:tcPr>
          <w:p w14:paraId="0B838602"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1A28D2">
              <w:rPr>
                <w:rFonts w:ascii="Times New Roman" w:hAnsi="Times New Roman" w:cs="Times New Roman"/>
                <w:bCs/>
                <w:szCs w:val="24"/>
              </w:rPr>
              <w:t>Отчет</w:t>
            </w:r>
          </w:p>
        </w:tc>
      </w:tr>
      <w:tr w:rsidR="0047761F" w:rsidRPr="001A28D2" w14:paraId="1408D250" w14:textId="77777777" w:rsidTr="00F47317">
        <w:trPr>
          <w:trHeight w:val="159"/>
        </w:trPr>
        <w:tc>
          <w:tcPr>
            <w:cnfStyle w:val="001000000000" w:firstRow="0" w:lastRow="0" w:firstColumn="1" w:lastColumn="0" w:oddVBand="0" w:evenVBand="0" w:oddHBand="0" w:evenHBand="0" w:firstRowFirstColumn="0" w:firstRowLastColumn="0" w:lastRowFirstColumn="0" w:lastRowLastColumn="0"/>
            <w:tcW w:w="2943" w:type="dxa"/>
            <w:noWrap/>
            <w:hideMark/>
          </w:tcPr>
          <w:p w14:paraId="7A591A0F" w14:textId="77777777" w:rsidR="0047761F" w:rsidRPr="001A28D2" w:rsidRDefault="0047761F" w:rsidP="0047761F">
            <w:pPr>
              <w:jc w:val="center"/>
              <w:rPr>
                <w:rFonts w:ascii="Times New Roman" w:hAnsi="Times New Roman" w:cs="Times New Roman"/>
                <w:sz w:val="16"/>
                <w:szCs w:val="16"/>
              </w:rPr>
            </w:pPr>
            <w:r w:rsidRPr="001A28D2">
              <w:rPr>
                <w:rFonts w:ascii="Times New Roman" w:hAnsi="Times New Roman" w:cs="Times New Roman"/>
                <w:sz w:val="16"/>
                <w:szCs w:val="16"/>
              </w:rPr>
              <w:t> 1</w:t>
            </w:r>
          </w:p>
        </w:tc>
        <w:tc>
          <w:tcPr>
            <w:tcW w:w="1418" w:type="dxa"/>
          </w:tcPr>
          <w:p w14:paraId="4749BA0B"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2</w:t>
            </w:r>
          </w:p>
        </w:tc>
        <w:tc>
          <w:tcPr>
            <w:tcW w:w="1559" w:type="dxa"/>
            <w:noWrap/>
            <w:hideMark/>
          </w:tcPr>
          <w:p w14:paraId="727316ED"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3</w:t>
            </w:r>
          </w:p>
        </w:tc>
        <w:tc>
          <w:tcPr>
            <w:tcW w:w="1750" w:type="dxa"/>
            <w:noWrap/>
            <w:hideMark/>
          </w:tcPr>
          <w:p w14:paraId="4443879F"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4</w:t>
            </w:r>
          </w:p>
        </w:tc>
        <w:tc>
          <w:tcPr>
            <w:tcW w:w="1487" w:type="dxa"/>
            <w:noWrap/>
            <w:hideMark/>
          </w:tcPr>
          <w:p w14:paraId="6DB6AC9C"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6"/>
                <w:szCs w:val="16"/>
              </w:rPr>
            </w:pPr>
            <w:r w:rsidRPr="001A28D2">
              <w:rPr>
                <w:rFonts w:ascii="Times New Roman" w:hAnsi="Times New Roman" w:cs="Times New Roman"/>
                <w:b/>
                <w:bCs/>
                <w:sz w:val="16"/>
                <w:szCs w:val="16"/>
              </w:rPr>
              <w:t>5</w:t>
            </w:r>
          </w:p>
        </w:tc>
      </w:tr>
      <w:tr w:rsidR="0047761F" w:rsidRPr="001A28D2" w14:paraId="5AE54A3B" w14:textId="77777777" w:rsidTr="00F4731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943" w:type="dxa"/>
            <w:vMerge w:val="restart"/>
            <w:hideMark/>
          </w:tcPr>
          <w:p w14:paraId="3179016F"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ВСИЧКО Министерства и ведомства</w:t>
            </w:r>
          </w:p>
        </w:tc>
        <w:tc>
          <w:tcPr>
            <w:tcW w:w="1418" w:type="dxa"/>
          </w:tcPr>
          <w:p w14:paraId="0A38C5E9"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2016 г.</w:t>
            </w:r>
          </w:p>
        </w:tc>
        <w:tc>
          <w:tcPr>
            <w:tcW w:w="1559" w:type="dxa"/>
            <w:noWrap/>
            <w:hideMark/>
          </w:tcPr>
          <w:p w14:paraId="3F0D332B"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3 580 741,8</w:t>
            </w:r>
          </w:p>
        </w:tc>
        <w:tc>
          <w:tcPr>
            <w:tcW w:w="1750" w:type="dxa"/>
            <w:noWrap/>
            <w:hideMark/>
          </w:tcPr>
          <w:p w14:paraId="7870C2F2"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4 777 778,0</w:t>
            </w:r>
          </w:p>
        </w:tc>
        <w:tc>
          <w:tcPr>
            <w:tcW w:w="1487" w:type="dxa"/>
            <w:noWrap/>
            <w:hideMark/>
          </w:tcPr>
          <w:p w14:paraId="18F3C55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3 948 680,2</w:t>
            </w:r>
          </w:p>
        </w:tc>
      </w:tr>
      <w:tr w:rsidR="0047761F" w:rsidRPr="001A28D2" w14:paraId="1B8FA0CB" w14:textId="77777777" w:rsidTr="00F47317">
        <w:trPr>
          <w:trHeight w:val="324"/>
        </w:trPr>
        <w:tc>
          <w:tcPr>
            <w:cnfStyle w:val="001000000000" w:firstRow="0" w:lastRow="0" w:firstColumn="1" w:lastColumn="0" w:oddVBand="0" w:evenVBand="0" w:oddHBand="0" w:evenHBand="0" w:firstRowFirstColumn="0" w:firstRowLastColumn="0" w:lastRowFirstColumn="0" w:lastRowLastColumn="0"/>
            <w:tcW w:w="2943" w:type="dxa"/>
            <w:vMerge/>
          </w:tcPr>
          <w:p w14:paraId="295D8DCE" w14:textId="77777777" w:rsidR="0047761F" w:rsidRPr="001A28D2" w:rsidRDefault="0047761F" w:rsidP="0047761F">
            <w:pPr>
              <w:rPr>
                <w:rFonts w:ascii="Times New Roman" w:hAnsi="Times New Roman" w:cs="Times New Roman"/>
                <w:szCs w:val="24"/>
              </w:rPr>
            </w:pPr>
          </w:p>
        </w:tc>
        <w:tc>
          <w:tcPr>
            <w:tcW w:w="1418" w:type="dxa"/>
          </w:tcPr>
          <w:p w14:paraId="0515DF8C"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2015 г.</w:t>
            </w:r>
          </w:p>
        </w:tc>
        <w:tc>
          <w:tcPr>
            <w:tcW w:w="1559" w:type="dxa"/>
            <w:noWrap/>
          </w:tcPr>
          <w:p w14:paraId="332DAAD1"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3 305 601,8</w:t>
            </w:r>
          </w:p>
        </w:tc>
        <w:tc>
          <w:tcPr>
            <w:tcW w:w="1750" w:type="dxa"/>
            <w:noWrap/>
          </w:tcPr>
          <w:p w14:paraId="79FEED2A"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3 860 349,9</w:t>
            </w:r>
          </w:p>
        </w:tc>
        <w:tc>
          <w:tcPr>
            <w:tcW w:w="1487" w:type="dxa"/>
            <w:noWrap/>
          </w:tcPr>
          <w:p w14:paraId="43DD4AE9"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3 456 629,6</w:t>
            </w:r>
          </w:p>
        </w:tc>
      </w:tr>
      <w:tr w:rsidR="0047761F" w:rsidRPr="001A28D2" w14:paraId="49F4B8B6" w14:textId="77777777" w:rsidTr="00F4731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43" w:type="dxa"/>
            <w:vMerge w:val="restart"/>
            <w:hideMark/>
          </w:tcPr>
          <w:p w14:paraId="70183E8B"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Сметна палата</w:t>
            </w:r>
          </w:p>
        </w:tc>
        <w:tc>
          <w:tcPr>
            <w:tcW w:w="1418" w:type="dxa"/>
          </w:tcPr>
          <w:p w14:paraId="6D24608A"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2016 г.</w:t>
            </w:r>
          </w:p>
        </w:tc>
        <w:tc>
          <w:tcPr>
            <w:tcW w:w="1559" w:type="dxa"/>
            <w:noWrap/>
            <w:hideMark/>
          </w:tcPr>
          <w:p w14:paraId="27988CB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2 037,0</w:t>
            </w:r>
          </w:p>
        </w:tc>
        <w:tc>
          <w:tcPr>
            <w:tcW w:w="1750" w:type="dxa"/>
            <w:noWrap/>
            <w:hideMark/>
          </w:tcPr>
          <w:p w14:paraId="225A0DD6" w14:textId="115D1D80" w:rsidR="0047761F" w:rsidRPr="001A28D2" w:rsidRDefault="0047761F" w:rsidP="008A144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1 </w:t>
            </w:r>
            <w:r w:rsidR="00605B2E" w:rsidRPr="001A28D2">
              <w:rPr>
                <w:rFonts w:ascii="Times New Roman" w:hAnsi="Times New Roman" w:cs="Times New Roman"/>
                <w:szCs w:val="24"/>
              </w:rPr>
              <w:t>8</w:t>
            </w:r>
            <w:r w:rsidRPr="001A28D2">
              <w:rPr>
                <w:rFonts w:ascii="Times New Roman" w:hAnsi="Times New Roman" w:cs="Times New Roman"/>
                <w:szCs w:val="24"/>
              </w:rPr>
              <w:t>71,0</w:t>
            </w:r>
          </w:p>
        </w:tc>
        <w:tc>
          <w:tcPr>
            <w:tcW w:w="1487" w:type="dxa"/>
            <w:noWrap/>
            <w:hideMark/>
          </w:tcPr>
          <w:p w14:paraId="73D192AC"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1 534,6</w:t>
            </w:r>
          </w:p>
        </w:tc>
      </w:tr>
      <w:tr w:rsidR="0047761F" w:rsidRPr="001A28D2" w14:paraId="5676E4CE" w14:textId="77777777" w:rsidTr="00F47317">
        <w:trPr>
          <w:trHeight w:val="274"/>
        </w:trPr>
        <w:tc>
          <w:tcPr>
            <w:cnfStyle w:val="001000000000" w:firstRow="0" w:lastRow="0" w:firstColumn="1" w:lastColumn="0" w:oddVBand="0" w:evenVBand="0" w:oddHBand="0" w:evenHBand="0" w:firstRowFirstColumn="0" w:firstRowLastColumn="0" w:lastRowFirstColumn="0" w:lastRowLastColumn="0"/>
            <w:tcW w:w="2943" w:type="dxa"/>
            <w:vMerge/>
          </w:tcPr>
          <w:p w14:paraId="4C5EEB11" w14:textId="77777777" w:rsidR="0047761F" w:rsidRPr="001A28D2" w:rsidRDefault="0047761F" w:rsidP="0047761F">
            <w:pPr>
              <w:rPr>
                <w:rFonts w:ascii="Times New Roman" w:hAnsi="Times New Roman" w:cs="Times New Roman"/>
                <w:szCs w:val="24"/>
              </w:rPr>
            </w:pPr>
          </w:p>
        </w:tc>
        <w:tc>
          <w:tcPr>
            <w:tcW w:w="1418" w:type="dxa"/>
          </w:tcPr>
          <w:p w14:paraId="706CD9EB"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2015 г.</w:t>
            </w:r>
          </w:p>
        </w:tc>
        <w:tc>
          <w:tcPr>
            <w:tcW w:w="1559" w:type="dxa"/>
            <w:noWrap/>
          </w:tcPr>
          <w:p w14:paraId="1AF0F80C"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2 437,0</w:t>
            </w:r>
          </w:p>
        </w:tc>
        <w:tc>
          <w:tcPr>
            <w:tcW w:w="1750" w:type="dxa"/>
            <w:noWrap/>
          </w:tcPr>
          <w:p w14:paraId="29689896"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1 976,7</w:t>
            </w:r>
          </w:p>
        </w:tc>
        <w:tc>
          <w:tcPr>
            <w:tcW w:w="1487" w:type="dxa"/>
            <w:noWrap/>
          </w:tcPr>
          <w:p w14:paraId="2CB27D1F"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1 362,1</w:t>
            </w:r>
          </w:p>
        </w:tc>
      </w:tr>
      <w:tr w:rsidR="0047761F" w:rsidRPr="001A28D2" w14:paraId="5FF5CC23" w14:textId="77777777" w:rsidTr="00F4731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43" w:type="dxa"/>
            <w:vMerge w:val="restart"/>
            <w:hideMark/>
          </w:tcPr>
          <w:p w14:paraId="2A3484CF"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ВСИЧКО МВ+СП</w:t>
            </w:r>
          </w:p>
        </w:tc>
        <w:tc>
          <w:tcPr>
            <w:tcW w:w="1418" w:type="dxa"/>
          </w:tcPr>
          <w:p w14:paraId="3BD7C819"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2016 г.</w:t>
            </w:r>
          </w:p>
        </w:tc>
        <w:tc>
          <w:tcPr>
            <w:tcW w:w="1559" w:type="dxa"/>
            <w:noWrap/>
            <w:hideMark/>
          </w:tcPr>
          <w:p w14:paraId="60244B2F"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3 582 778,8</w:t>
            </w:r>
          </w:p>
        </w:tc>
        <w:tc>
          <w:tcPr>
            <w:tcW w:w="1750" w:type="dxa"/>
            <w:noWrap/>
            <w:hideMark/>
          </w:tcPr>
          <w:p w14:paraId="6B653DB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4 779 649,0</w:t>
            </w:r>
          </w:p>
        </w:tc>
        <w:tc>
          <w:tcPr>
            <w:tcW w:w="1487" w:type="dxa"/>
            <w:noWrap/>
            <w:hideMark/>
          </w:tcPr>
          <w:p w14:paraId="25FC6D32"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3 950 214,8</w:t>
            </w:r>
          </w:p>
        </w:tc>
      </w:tr>
      <w:tr w:rsidR="0047761F" w:rsidRPr="001A28D2" w14:paraId="5798658D" w14:textId="77777777" w:rsidTr="00F47317">
        <w:trPr>
          <w:trHeight w:val="276"/>
        </w:trPr>
        <w:tc>
          <w:tcPr>
            <w:cnfStyle w:val="001000000000" w:firstRow="0" w:lastRow="0" w:firstColumn="1" w:lastColumn="0" w:oddVBand="0" w:evenVBand="0" w:oddHBand="0" w:evenHBand="0" w:firstRowFirstColumn="0" w:firstRowLastColumn="0" w:lastRowFirstColumn="0" w:lastRowLastColumn="0"/>
            <w:tcW w:w="2943" w:type="dxa"/>
            <w:vMerge/>
          </w:tcPr>
          <w:p w14:paraId="73A544A9" w14:textId="77777777" w:rsidR="0047761F" w:rsidRPr="001A28D2" w:rsidRDefault="0047761F" w:rsidP="0047761F">
            <w:pPr>
              <w:rPr>
                <w:rFonts w:ascii="Times New Roman" w:hAnsi="Times New Roman" w:cs="Times New Roman"/>
                <w:szCs w:val="24"/>
              </w:rPr>
            </w:pPr>
          </w:p>
        </w:tc>
        <w:tc>
          <w:tcPr>
            <w:tcW w:w="1418" w:type="dxa"/>
          </w:tcPr>
          <w:p w14:paraId="26480174"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2015 г.</w:t>
            </w:r>
          </w:p>
        </w:tc>
        <w:tc>
          <w:tcPr>
            <w:tcW w:w="1559" w:type="dxa"/>
            <w:noWrap/>
          </w:tcPr>
          <w:p w14:paraId="336C94EF"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3 308 038,8</w:t>
            </w:r>
          </w:p>
        </w:tc>
        <w:tc>
          <w:tcPr>
            <w:tcW w:w="1750" w:type="dxa"/>
            <w:noWrap/>
          </w:tcPr>
          <w:p w14:paraId="679A6DD6"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3 862 326,6</w:t>
            </w:r>
          </w:p>
        </w:tc>
        <w:tc>
          <w:tcPr>
            <w:tcW w:w="1487" w:type="dxa"/>
            <w:noWrap/>
          </w:tcPr>
          <w:p w14:paraId="2A74A2DB"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3 457 991,7</w:t>
            </w:r>
          </w:p>
        </w:tc>
      </w:tr>
      <w:tr w:rsidR="0047761F" w:rsidRPr="001A28D2" w14:paraId="66ABAD60" w14:textId="77777777" w:rsidTr="00F4731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43" w:type="dxa"/>
            <w:vMerge w:val="restart"/>
          </w:tcPr>
          <w:p w14:paraId="0C7CC2B2"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Народно събрание</w:t>
            </w:r>
          </w:p>
        </w:tc>
        <w:tc>
          <w:tcPr>
            <w:tcW w:w="1418" w:type="dxa"/>
          </w:tcPr>
          <w:p w14:paraId="2945CC6E"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2016 г.</w:t>
            </w:r>
          </w:p>
        </w:tc>
        <w:tc>
          <w:tcPr>
            <w:tcW w:w="1559" w:type="dxa"/>
            <w:noWrap/>
          </w:tcPr>
          <w:p w14:paraId="75C0606A"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20 510,4</w:t>
            </w:r>
          </w:p>
        </w:tc>
        <w:tc>
          <w:tcPr>
            <w:tcW w:w="1750" w:type="dxa"/>
            <w:noWrap/>
          </w:tcPr>
          <w:p w14:paraId="703FB525"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23 821,4</w:t>
            </w:r>
          </w:p>
        </w:tc>
        <w:tc>
          <w:tcPr>
            <w:tcW w:w="1487" w:type="dxa"/>
            <w:noWrap/>
          </w:tcPr>
          <w:p w14:paraId="57154959"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15 401,4</w:t>
            </w:r>
          </w:p>
        </w:tc>
      </w:tr>
      <w:tr w:rsidR="0047761F" w:rsidRPr="001A28D2" w14:paraId="6539697A" w14:textId="77777777" w:rsidTr="00F47317">
        <w:trPr>
          <w:trHeight w:val="276"/>
        </w:trPr>
        <w:tc>
          <w:tcPr>
            <w:cnfStyle w:val="001000000000" w:firstRow="0" w:lastRow="0" w:firstColumn="1" w:lastColumn="0" w:oddVBand="0" w:evenVBand="0" w:oddHBand="0" w:evenHBand="0" w:firstRowFirstColumn="0" w:firstRowLastColumn="0" w:lastRowFirstColumn="0" w:lastRowLastColumn="0"/>
            <w:tcW w:w="2943" w:type="dxa"/>
            <w:vMerge/>
            <w:hideMark/>
          </w:tcPr>
          <w:p w14:paraId="6327381B" w14:textId="77777777" w:rsidR="0047761F" w:rsidRPr="001A28D2" w:rsidRDefault="0047761F" w:rsidP="0047761F">
            <w:pPr>
              <w:rPr>
                <w:rFonts w:ascii="Times New Roman" w:hAnsi="Times New Roman" w:cs="Times New Roman"/>
                <w:szCs w:val="24"/>
              </w:rPr>
            </w:pPr>
          </w:p>
        </w:tc>
        <w:tc>
          <w:tcPr>
            <w:tcW w:w="1418" w:type="dxa"/>
          </w:tcPr>
          <w:p w14:paraId="72A043CA"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2015 г.</w:t>
            </w:r>
          </w:p>
        </w:tc>
        <w:tc>
          <w:tcPr>
            <w:tcW w:w="1559" w:type="dxa"/>
            <w:noWrap/>
            <w:hideMark/>
          </w:tcPr>
          <w:p w14:paraId="09559060"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21 838,3</w:t>
            </w:r>
          </w:p>
        </w:tc>
        <w:tc>
          <w:tcPr>
            <w:tcW w:w="1750" w:type="dxa"/>
            <w:noWrap/>
            <w:hideMark/>
          </w:tcPr>
          <w:p w14:paraId="32906D3F"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21 324,0</w:t>
            </w:r>
          </w:p>
        </w:tc>
        <w:tc>
          <w:tcPr>
            <w:tcW w:w="1487" w:type="dxa"/>
            <w:noWrap/>
            <w:hideMark/>
          </w:tcPr>
          <w:p w14:paraId="69BBD078"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14 228,7</w:t>
            </w:r>
          </w:p>
        </w:tc>
      </w:tr>
      <w:tr w:rsidR="0047761F" w:rsidRPr="001A28D2" w14:paraId="4DE3A86D" w14:textId="77777777" w:rsidTr="00F4731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43" w:type="dxa"/>
            <w:vMerge w:val="restart"/>
            <w:hideMark/>
          </w:tcPr>
          <w:p w14:paraId="66905E03"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Висш съдебен съвет</w:t>
            </w:r>
          </w:p>
        </w:tc>
        <w:tc>
          <w:tcPr>
            <w:tcW w:w="1418" w:type="dxa"/>
          </w:tcPr>
          <w:p w14:paraId="4B737A1F"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2016 г.</w:t>
            </w:r>
          </w:p>
        </w:tc>
        <w:tc>
          <w:tcPr>
            <w:tcW w:w="1559" w:type="dxa"/>
            <w:noWrap/>
            <w:hideMark/>
          </w:tcPr>
          <w:p w14:paraId="2820D9B8"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57 523,9</w:t>
            </w:r>
          </w:p>
        </w:tc>
        <w:tc>
          <w:tcPr>
            <w:tcW w:w="1750" w:type="dxa"/>
            <w:noWrap/>
            <w:hideMark/>
          </w:tcPr>
          <w:p w14:paraId="0F4D353F"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69 991,6</w:t>
            </w:r>
          </w:p>
        </w:tc>
        <w:tc>
          <w:tcPr>
            <w:tcW w:w="1487" w:type="dxa"/>
            <w:noWrap/>
            <w:hideMark/>
          </w:tcPr>
          <w:p w14:paraId="20007DB7"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54 007,3</w:t>
            </w:r>
          </w:p>
        </w:tc>
      </w:tr>
      <w:tr w:rsidR="0047761F" w:rsidRPr="001A28D2" w14:paraId="77A6B90A" w14:textId="77777777" w:rsidTr="00F47317">
        <w:trPr>
          <w:trHeight w:val="264"/>
        </w:trPr>
        <w:tc>
          <w:tcPr>
            <w:cnfStyle w:val="001000000000" w:firstRow="0" w:lastRow="0" w:firstColumn="1" w:lastColumn="0" w:oddVBand="0" w:evenVBand="0" w:oddHBand="0" w:evenHBand="0" w:firstRowFirstColumn="0" w:firstRowLastColumn="0" w:lastRowFirstColumn="0" w:lastRowLastColumn="0"/>
            <w:tcW w:w="2943" w:type="dxa"/>
            <w:vMerge/>
          </w:tcPr>
          <w:p w14:paraId="31C13A5C" w14:textId="77777777" w:rsidR="0047761F" w:rsidRPr="001A28D2" w:rsidRDefault="0047761F" w:rsidP="0047761F">
            <w:pPr>
              <w:rPr>
                <w:rFonts w:ascii="Times New Roman" w:hAnsi="Times New Roman" w:cs="Times New Roman"/>
                <w:szCs w:val="24"/>
              </w:rPr>
            </w:pPr>
          </w:p>
        </w:tc>
        <w:tc>
          <w:tcPr>
            <w:tcW w:w="1418" w:type="dxa"/>
          </w:tcPr>
          <w:p w14:paraId="5CE8B050"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2015 г.</w:t>
            </w:r>
          </w:p>
        </w:tc>
        <w:tc>
          <w:tcPr>
            <w:tcW w:w="1559" w:type="dxa"/>
            <w:noWrap/>
          </w:tcPr>
          <w:p w14:paraId="65C0E58C"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62 014,2</w:t>
            </w:r>
          </w:p>
        </w:tc>
        <w:tc>
          <w:tcPr>
            <w:tcW w:w="1750" w:type="dxa"/>
            <w:noWrap/>
          </w:tcPr>
          <w:p w14:paraId="343308B2"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62 841,2</w:t>
            </w:r>
          </w:p>
        </w:tc>
        <w:tc>
          <w:tcPr>
            <w:tcW w:w="1487" w:type="dxa"/>
            <w:noWrap/>
          </w:tcPr>
          <w:p w14:paraId="24E17087"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47 996,8</w:t>
            </w:r>
          </w:p>
        </w:tc>
      </w:tr>
      <w:tr w:rsidR="0047761F" w:rsidRPr="001A28D2" w14:paraId="45AF49E9" w14:textId="77777777" w:rsidTr="00F4731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43" w:type="dxa"/>
            <w:vMerge w:val="restart"/>
          </w:tcPr>
          <w:p w14:paraId="5215B835"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ВСИЧКО ПРБ по ДБ (МВ+СП+НС+ВСС)</w:t>
            </w:r>
          </w:p>
        </w:tc>
        <w:tc>
          <w:tcPr>
            <w:tcW w:w="1418" w:type="dxa"/>
          </w:tcPr>
          <w:p w14:paraId="2648A199"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2016 г.</w:t>
            </w:r>
          </w:p>
        </w:tc>
        <w:tc>
          <w:tcPr>
            <w:tcW w:w="1559" w:type="dxa"/>
            <w:noWrap/>
          </w:tcPr>
          <w:p w14:paraId="4B6C23FA"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3 660 813,1</w:t>
            </w:r>
          </w:p>
        </w:tc>
        <w:tc>
          <w:tcPr>
            <w:tcW w:w="1750" w:type="dxa"/>
            <w:noWrap/>
          </w:tcPr>
          <w:p w14:paraId="0EAD0CE8"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4 873 462,1</w:t>
            </w:r>
          </w:p>
        </w:tc>
        <w:tc>
          <w:tcPr>
            <w:tcW w:w="1487" w:type="dxa"/>
            <w:noWrap/>
          </w:tcPr>
          <w:p w14:paraId="1FD4E704"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4 019 623,5</w:t>
            </w:r>
          </w:p>
        </w:tc>
      </w:tr>
      <w:tr w:rsidR="0047761F" w:rsidRPr="001A28D2" w14:paraId="74C753D5" w14:textId="77777777" w:rsidTr="00F47317">
        <w:trPr>
          <w:trHeight w:val="272"/>
        </w:trPr>
        <w:tc>
          <w:tcPr>
            <w:cnfStyle w:val="001000000000" w:firstRow="0" w:lastRow="0" w:firstColumn="1" w:lastColumn="0" w:oddVBand="0" w:evenVBand="0" w:oddHBand="0" w:evenHBand="0" w:firstRowFirstColumn="0" w:firstRowLastColumn="0" w:lastRowFirstColumn="0" w:lastRowLastColumn="0"/>
            <w:tcW w:w="2943" w:type="dxa"/>
            <w:vMerge/>
            <w:hideMark/>
          </w:tcPr>
          <w:p w14:paraId="70B35818" w14:textId="77777777" w:rsidR="0047761F" w:rsidRPr="001A28D2" w:rsidRDefault="0047761F" w:rsidP="0047761F">
            <w:pPr>
              <w:rPr>
                <w:rFonts w:ascii="Times New Roman" w:hAnsi="Times New Roman" w:cs="Times New Roman"/>
                <w:szCs w:val="24"/>
              </w:rPr>
            </w:pPr>
          </w:p>
        </w:tc>
        <w:tc>
          <w:tcPr>
            <w:tcW w:w="1418" w:type="dxa"/>
          </w:tcPr>
          <w:p w14:paraId="2B477280"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2015 г.</w:t>
            </w:r>
          </w:p>
        </w:tc>
        <w:tc>
          <w:tcPr>
            <w:tcW w:w="1559" w:type="dxa"/>
            <w:noWrap/>
            <w:hideMark/>
          </w:tcPr>
          <w:p w14:paraId="6F0073FC"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3 391 891,3</w:t>
            </w:r>
          </w:p>
        </w:tc>
        <w:tc>
          <w:tcPr>
            <w:tcW w:w="1750" w:type="dxa"/>
            <w:noWrap/>
            <w:hideMark/>
          </w:tcPr>
          <w:p w14:paraId="7F6E826E"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3 946 491,8</w:t>
            </w:r>
          </w:p>
        </w:tc>
        <w:tc>
          <w:tcPr>
            <w:tcW w:w="1487" w:type="dxa"/>
            <w:noWrap/>
            <w:hideMark/>
          </w:tcPr>
          <w:p w14:paraId="4D8EA7C7"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3 520 217,3</w:t>
            </w:r>
          </w:p>
        </w:tc>
      </w:tr>
    </w:tbl>
    <w:p w14:paraId="1DE80AB7" w14:textId="77777777" w:rsidR="0047761F" w:rsidRPr="001A28D2" w:rsidRDefault="0047761F" w:rsidP="0047761F">
      <w:pPr>
        <w:ind w:left="851"/>
        <w:contextualSpacing/>
        <w:jc w:val="both"/>
      </w:pPr>
    </w:p>
    <w:p w14:paraId="69EFDD87" w14:textId="4356640B" w:rsidR="0047761F" w:rsidRPr="001A28D2" w:rsidRDefault="0047761F" w:rsidP="007E77CC">
      <w:pPr>
        <w:ind w:firstLine="709"/>
        <w:contextualSpacing/>
        <w:jc w:val="both"/>
      </w:pPr>
      <w:r w:rsidRPr="001A28D2">
        <w:t>Съгласно ЗДБРБ през 2016 г. максималният размер на новите задължения за разходи е 3 660 813,1 хил. лв.</w:t>
      </w:r>
      <w:r w:rsidR="00F306C8" w:rsidRPr="001A28D2">
        <w:t xml:space="preserve"> (със 7,9 на сто повече спрямо 2015  г.)</w:t>
      </w:r>
      <w:r w:rsidRPr="001A28D2">
        <w:t xml:space="preserve">, от тях 3 580 741,8 хил. лв., или 97,8 на сто са за министерства и ведомства. С уточнения план е приет максимален размер на натрупаните нови </w:t>
      </w:r>
      <w:r w:rsidR="00733F0F" w:rsidRPr="001A28D2">
        <w:t xml:space="preserve">задължения </w:t>
      </w:r>
      <w:r w:rsidRPr="001A28D2">
        <w:t>за разходи с 33,1</w:t>
      </w:r>
      <w:r w:rsidR="00F306C8" w:rsidRPr="001A28D2">
        <w:t> </w:t>
      </w:r>
      <w:r w:rsidRPr="001A28D2">
        <w:t>на</w:t>
      </w:r>
      <w:r w:rsidR="00F306C8" w:rsidRPr="001A28D2">
        <w:t> </w:t>
      </w:r>
      <w:r w:rsidRPr="001A28D2">
        <w:t>сто повече от първоначално приетите със ЗДБРБ за 2016 г., или 4 873 462,1 хил. лв.</w:t>
      </w:r>
      <w:r w:rsidR="007106E5" w:rsidRPr="001A28D2">
        <w:t xml:space="preserve"> (с 23,5 на сто повече спрямо 2015 г.)</w:t>
      </w:r>
    </w:p>
    <w:p w14:paraId="32127616" w14:textId="421A681E" w:rsidR="0047761F" w:rsidRPr="001A28D2" w:rsidRDefault="0047761F" w:rsidP="007E77CC">
      <w:pPr>
        <w:ind w:firstLine="709"/>
        <w:contextualSpacing/>
        <w:jc w:val="both"/>
      </w:pPr>
      <w:r w:rsidRPr="001A28D2">
        <w:lastRenderedPageBreak/>
        <w:t>Отчетени са 4 019 623,5 хил. лв. или 82,5</w:t>
      </w:r>
      <w:r w:rsidR="00F306C8" w:rsidRPr="001A28D2">
        <w:t> </w:t>
      </w:r>
      <w:r w:rsidRPr="001A28D2">
        <w:t>на</w:t>
      </w:r>
      <w:r w:rsidR="00F306C8" w:rsidRPr="001A28D2">
        <w:t> </w:t>
      </w:r>
      <w:r w:rsidRPr="001A28D2">
        <w:t>сто от приетите с уточнения план</w:t>
      </w:r>
      <w:r w:rsidR="00F306C8" w:rsidRPr="001A28D2">
        <w:t xml:space="preserve"> и с 14,2 на сто повече в сравнение с 2015</w:t>
      </w:r>
      <w:r w:rsidR="001B2B50" w:rsidRPr="001A28D2">
        <w:t> </w:t>
      </w:r>
      <w:r w:rsidR="00F306C8" w:rsidRPr="001A28D2">
        <w:t>г.</w:t>
      </w:r>
      <w:r w:rsidRPr="001A28D2">
        <w:t xml:space="preserve"> Установено е </w:t>
      </w:r>
      <w:proofErr w:type="spellStart"/>
      <w:r w:rsidRPr="001A28D2">
        <w:t>превишение</w:t>
      </w:r>
      <w:proofErr w:type="spellEnd"/>
      <w:r w:rsidRPr="001A28D2">
        <w:t xml:space="preserve"> на отчетеното над уточнения план при 2</w:t>
      </w:r>
      <w:r w:rsidR="00F306C8" w:rsidRPr="001A28D2">
        <w:t> </w:t>
      </w:r>
      <w:r w:rsidRPr="001A28D2">
        <w:t xml:space="preserve">ПРБ – Министерство на отбраната и Министерство на земеделието и храните. </w:t>
      </w:r>
      <w:r w:rsidR="00B0508B" w:rsidRPr="001A28D2">
        <w:rPr>
          <w:rStyle w:val="FootnoteReference"/>
        </w:rPr>
        <w:footnoteReference w:id="66"/>
      </w:r>
    </w:p>
    <w:p w14:paraId="0948EF01" w14:textId="4398C7F0" w:rsidR="0047761F" w:rsidRPr="001A28D2" w:rsidRDefault="0047761F" w:rsidP="0047761F">
      <w:pPr>
        <w:ind w:firstLine="851"/>
        <w:contextualSpacing/>
        <w:jc w:val="both"/>
        <w:rPr>
          <w:color w:val="000000"/>
        </w:rPr>
      </w:pPr>
    </w:p>
    <w:tbl>
      <w:tblPr>
        <w:tblStyle w:val="MediumGrid3-Accent5"/>
        <w:tblW w:w="8963" w:type="dxa"/>
        <w:tblLook w:val="04A0" w:firstRow="1" w:lastRow="0" w:firstColumn="1" w:lastColumn="0" w:noHBand="0" w:noVBand="1"/>
      </w:tblPr>
      <w:tblGrid>
        <w:gridCol w:w="1736"/>
        <w:gridCol w:w="1992"/>
        <w:gridCol w:w="1843"/>
        <w:gridCol w:w="1701"/>
        <w:gridCol w:w="1691"/>
      </w:tblGrid>
      <w:tr w:rsidR="0047761F" w:rsidRPr="001A28D2" w14:paraId="7831CD1B" w14:textId="77777777" w:rsidTr="00F4731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736" w:type="dxa"/>
            <w:noWrap/>
            <w:hideMark/>
          </w:tcPr>
          <w:p w14:paraId="4E05B801" w14:textId="77777777" w:rsidR="0047761F" w:rsidRPr="001A28D2" w:rsidRDefault="0047761F" w:rsidP="0047761F">
            <w:pPr>
              <w:jc w:val="center"/>
              <w:rPr>
                <w:rFonts w:ascii="Times New Roman" w:hAnsi="Times New Roman" w:cs="Times New Roman"/>
                <w:szCs w:val="24"/>
              </w:rPr>
            </w:pPr>
            <w:r w:rsidRPr="001A28D2">
              <w:rPr>
                <w:rFonts w:ascii="Times New Roman" w:hAnsi="Times New Roman" w:cs="Times New Roman"/>
                <w:szCs w:val="24"/>
              </w:rPr>
              <w:t>ПРБ</w:t>
            </w:r>
          </w:p>
        </w:tc>
        <w:tc>
          <w:tcPr>
            <w:tcW w:w="1992" w:type="dxa"/>
            <w:hideMark/>
          </w:tcPr>
          <w:p w14:paraId="4C70D282" w14:textId="77777777" w:rsidR="0047761F" w:rsidRPr="001A28D2" w:rsidRDefault="0047761F" w:rsidP="004776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 xml:space="preserve">Уточнен план        в хил. лв.  </w:t>
            </w:r>
          </w:p>
        </w:tc>
        <w:tc>
          <w:tcPr>
            <w:tcW w:w="1843" w:type="dxa"/>
            <w:noWrap/>
            <w:hideMark/>
          </w:tcPr>
          <w:p w14:paraId="1F489E65" w14:textId="77777777" w:rsidR="0047761F" w:rsidRPr="001A28D2" w:rsidRDefault="0047761F" w:rsidP="004776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Отчет                  в хил. лв.</w:t>
            </w:r>
          </w:p>
        </w:tc>
        <w:tc>
          <w:tcPr>
            <w:tcW w:w="1701" w:type="dxa"/>
            <w:hideMark/>
          </w:tcPr>
          <w:p w14:paraId="3FF14203" w14:textId="77777777" w:rsidR="0047761F" w:rsidRPr="001A28D2" w:rsidRDefault="0047761F" w:rsidP="004776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1A28D2">
              <w:rPr>
                <w:rFonts w:ascii="Times New Roman" w:hAnsi="Times New Roman" w:cs="Times New Roman"/>
                <w:szCs w:val="24"/>
              </w:rPr>
              <w:t>Превишение</w:t>
            </w:r>
            <w:proofErr w:type="spellEnd"/>
            <w:r w:rsidRPr="001A28D2">
              <w:rPr>
                <w:rFonts w:ascii="Times New Roman" w:hAnsi="Times New Roman" w:cs="Times New Roman"/>
                <w:szCs w:val="24"/>
              </w:rPr>
              <w:t xml:space="preserve">            в хил. лв.</w:t>
            </w:r>
          </w:p>
        </w:tc>
        <w:tc>
          <w:tcPr>
            <w:tcW w:w="1691" w:type="dxa"/>
            <w:hideMark/>
          </w:tcPr>
          <w:p w14:paraId="257E4535" w14:textId="77777777" w:rsidR="0047761F" w:rsidRPr="001A28D2" w:rsidRDefault="0047761F" w:rsidP="004776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1A28D2">
              <w:rPr>
                <w:rFonts w:ascii="Times New Roman" w:hAnsi="Times New Roman" w:cs="Times New Roman"/>
                <w:szCs w:val="24"/>
              </w:rPr>
              <w:t>Превишение</w:t>
            </w:r>
            <w:proofErr w:type="spellEnd"/>
            <w:r w:rsidRPr="001A28D2">
              <w:rPr>
                <w:rFonts w:ascii="Times New Roman" w:hAnsi="Times New Roman" w:cs="Times New Roman"/>
                <w:szCs w:val="24"/>
              </w:rPr>
              <w:t xml:space="preserve">      в %</w:t>
            </w:r>
          </w:p>
        </w:tc>
      </w:tr>
      <w:tr w:rsidR="0047761F" w:rsidRPr="001A28D2" w14:paraId="49089670" w14:textId="77777777" w:rsidTr="00F473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36" w:type="dxa"/>
            <w:noWrap/>
            <w:hideMark/>
          </w:tcPr>
          <w:p w14:paraId="29967042"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МО</w:t>
            </w:r>
          </w:p>
        </w:tc>
        <w:tc>
          <w:tcPr>
            <w:tcW w:w="1992" w:type="dxa"/>
            <w:noWrap/>
            <w:hideMark/>
          </w:tcPr>
          <w:p w14:paraId="0B5D59BD"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355 396,5</w:t>
            </w:r>
          </w:p>
        </w:tc>
        <w:tc>
          <w:tcPr>
            <w:tcW w:w="1843" w:type="dxa"/>
            <w:noWrap/>
            <w:hideMark/>
          </w:tcPr>
          <w:p w14:paraId="17485F42"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356 512,5</w:t>
            </w:r>
          </w:p>
        </w:tc>
        <w:tc>
          <w:tcPr>
            <w:tcW w:w="1701" w:type="dxa"/>
            <w:noWrap/>
            <w:hideMark/>
          </w:tcPr>
          <w:p w14:paraId="4E7B3846"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1 116,0</w:t>
            </w:r>
          </w:p>
        </w:tc>
        <w:tc>
          <w:tcPr>
            <w:tcW w:w="1691" w:type="dxa"/>
            <w:noWrap/>
            <w:hideMark/>
          </w:tcPr>
          <w:p w14:paraId="682AB257"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0,32</w:t>
            </w:r>
          </w:p>
        </w:tc>
      </w:tr>
      <w:tr w:rsidR="0047761F" w:rsidRPr="001A28D2" w14:paraId="46898AEA" w14:textId="77777777" w:rsidTr="00F47317">
        <w:trPr>
          <w:trHeight w:val="255"/>
        </w:trPr>
        <w:tc>
          <w:tcPr>
            <w:cnfStyle w:val="001000000000" w:firstRow="0" w:lastRow="0" w:firstColumn="1" w:lastColumn="0" w:oddVBand="0" w:evenVBand="0" w:oddHBand="0" w:evenHBand="0" w:firstRowFirstColumn="0" w:firstRowLastColumn="0" w:lastRowFirstColumn="0" w:lastRowLastColumn="0"/>
            <w:tcW w:w="1736" w:type="dxa"/>
            <w:noWrap/>
            <w:hideMark/>
          </w:tcPr>
          <w:p w14:paraId="69801091" w14:textId="77777777" w:rsidR="0047761F" w:rsidRPr="001A28D2" w:rsidRDefault="0047761F" w:rsidP="0047761F">
            <w:pPr>
              <w:rPr>
                <w:rFonts w:ascii="Times New Roman" w:hAnsi="Times New Roman" w:cs="Times New Roman"/>
                <w:szCs w:val="24"/>
              </w:rPr>
            </w:pPr>
            <w:r w:rsidRPr="001A28D2">
              <w:rPr>
                <w:rFonts w:ascii="Times New Roman" w:hAnsi="Times New Roman" w:cs="Times New Roman"/>
                <w:szCs w:val="24"/>
              </w:rPr>
              <w:t>МЗХ</w:t>
            </w:r>
          </w:p>
        </w:tc>
        <w:tc>
          <w:tcPr>
            <w:tcW w:w="1992" w:type="dxa"/>
            <w:noWrap/>
            <w:hideMark/>
          </w:tcPr>
          <w:p w14:paraId="71086842"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97 676,4</w:t>
            </w:r>
          </w:p>
        </w:tc>
        <w:tc>
          <w:tcPr>
            <w:tcW w:w="1843" w:type="dxa"/>
            <w:noWrap/>
            <w:hideMark/>
          </w:tcPr>
          <w:p w14:paraId="6A94A728"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102 228,1</w:t>
            </w:r>
          </w:p>
        </w:tc>
        <w:tc>
          <w:tcPr>
            <w:tcW w:w="1701" w:type="dxa"/>
            <w:noWrap/>
            <w:hideMark/>
          </w:tcPr>
          <w:p w14:paraId="63DD9B0C"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4 551,7</w:t>
            </w:r>
          </w:p>
        </w:tc>
        <w:tc>
          <w:tcPr>
            <w:tcW w:w="1691" w:type="dxa"/>
            <w:noWrap/>
            <w:hideMark/>
          </w:tcPr>
          <w:p w14:paraId="4791FC51"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A28D2">
              <w:rPr>
                <w:rFonts w:ascii="Times New Roman" w:hAnsi="Times New Roman" w:cs="Times New Roman"/>
                <w:szCs w:val="24"/>
              </w:rPr>
              <w:t>4,66</w:t>
            </w:r>
          </w:p>
        </w:tc>
      </w:tr>
    </w:tbl>
    <w:p w14:paraId="25A30488" w14:textId="77777777" w:rsidR="0047761F" w:rsidRPr="001A28D2" w:rsidRDefault="0047761F" w:rsidP="0047761F">
      <w:pPr>
        <w:ind w:firstLine="851"/>
        <w:contextualSpacing/>
        <w:jc w:val="both"/>
      </w:pPr>
    </w:p>
    <w:p w14:paraId="79F1A0DB" w14:textId="77777777" w:rsidR="0047761F" w:rsidRPr="001A28D2" w:rsidRDefault="0047761F" w:rsidP="007E77CC">
      <w:pPr>
        <w:ind w:firstLine="709"/>
        <w:jc w:val="both"/>
      </w:pPr>
      <w:r w:rsidRPr="001A28D2">
        <w:t xml:space="preserve">Основните причини за тези превишения, предоставени от </w:t>
      </w:r>
      <w:proofErr w:type="spellStart"/>
      <w:r w:rsidRPr="001A28D2">
        <w:t>одитирания</w:t>
      </w:r>
      <w:proofErr w:type="spellEnd"/>
      <w:r w:rsidRPr="001A28D2">
        <w:t xml:space="preserve"> обект, са следните:</w:t>
      </w:r>
      <w:r w:rsidRPr="001A28D2">
        <w:rPr>
          <w:vertAlign w:val="superscript"/>
        </w:rPr>
        <w:footnoteReference w:id="67"/>
      </w:r>
    </w:p>
    <w:p w14:paraId="45B4EE64" w14:textId="77777777" w:rsidR="0047761F" w:rsidRPr="001A28D2" w:rsidRDefault="008B78BE" w:rsidP="007E77CC">
      <w:pPr>
        <w:ind w:firstLine="709"/>
        <w:contextualSpacing/>
        <w:jc w:val="both"/>
        <w:rPr>
          <w:lang w:eastAsia="en-US"/>
        </w:rPr>
      </w:pPr>
      <w:r w:rsidRPr="001A28D2">
        <w:rPr>
          <w:lang w:eastAsia="en-US"/>
        </w:rPr>
        <w:t>6.2.1.</w:t>
      </w:r>
      <w:r w:rsidR="0047761F" w:rsidRPr="001A28D2">
        <w:rPr>
          <w:lang w:eastAsia="en-US"/>
        </w:rPr>
        <w:t xml:space="preserve"> Министерството на отбраната – извършени в края на бюджетната година доставки и услуги, осигуряващи дейността на ВМА;</w:t>
      </w:r>
    </w:p>
    <w:p w14:paraId="492A3D7B" w14:textId="77777777" w:rsidR="0047761F" w:rsidRPr="001A28D2" w:rsidRDefault="008B78BE" w:rsidP="007E77CC">
      <w:pPr>
        <w:ind w:firstLine="709"/>
        <w:contextualSpacing/>
        <w:jc w:val="both"/>
        <w:rPr>
          <w:lang w:eastAsia="en-US"/>
        </w:rPr>
      </w:pPr>
      <w:r w:rsidRPr="001A28D2">
        <w:rPr>
          <w:lang w:eastAsia="en-US"/>
        </w:rPr>
        <w:t>6.2.</w:t>
      </w:r>
      <w:proofErr w:type="spellStart"/>
      <w:r w:rsidRPr="001A28D2">
        <w:rPr>
          <w:lang w:eastAsia="en-US"/>
        </w:rPr>
        <w:t>2</w:t>
      </w:r>
      <w:proofErr w:type="spellEnd"/>
      <w:r w:rsidRPr="001A28D2">
        <w:rPr>
          <w:lang w:eastAsia="en-US"/>
        </w:rPr>
        <w:t>.</w:t>
      </w:r>
      <w:r w:rsidR="0047761F" w:rsidRPr="001A28D2">
        <w:rPr>
          <w:lang w:eastAsia="en-US"/>
        </w:rPr>
        <w:t xml:space="preserve"> Министерство на земеделието и храните - през 2016</w:t>
      </w:r>
      <w:r w:rsidR="001B2B50" w:rsidRPr="001A28D2">
        <w:rPr>
          <w:lang w:eastAsia="en-US"/>
        </w:rPr>
        <w:t> </w:t>
      </w:r>
      <w:r w:rsidR="0047761F" w:rsidRPr="001A28D2">
        <w:rPr>
          <w:lang w:eastAsia="en-US"/>
        </w:rPr>
        <w:t>г. е променен Закона за ветеринарномедицинската дейност, съгласно който разходите за събирането, транспортирането, съхранението и обезвреждането на животни се предоставят под формата на държавна помощ чрез ДФ „Земеделие“. През 2016</w:t>
      </w:r>
      <w:r w:rsidR="00F306C8" w:rsidRPr="001A28D2">
        <w:rPr>
          <w:lang w:eastAsia="en-US"/>
        </w:rPr>
        <w:t> </w:t>
      </w:r>
      <w:r w:rsidR="0047761F" w:rsidRPr="001A28D2">
        <w:rPr>
          <w:lang w:eastAsia="en-US"/>
        </w:rPr>
        <w:t>г. ДФ „Земеделие“ не е отворил линия за такава помощ, поради което са натрупани задължения за разходи.</w:t>
      </w:r>
    </w:p>
    <w:p w14:paraId="748578A3" w14:textId="77777777" w:rsidR="0047761F" w:rsidRPr="001A28D2" w:rsidRDefault="0047761F" w:rsidP="007E77CC">
      <w:pPr>
        <w:ind w:firstLine="709"/>
        <w:jc w:val="both"/>
        <w:rPr>
          <w:i/>
        </w:rPr>
      </w:pPr>
    </w:p>
    <w:p w14:paraId="3F720711" w14:textId="77777777" w:rsidR="0047761F" w:rsidRPr="001A28D2" w:rsidRDefault="0047761F" w:rsidP="007E77CC">
      <w:pPr>
        <w:ind w:firstLine="709"/>
        <w:jc w:val="both"/>
        <w:rPr>
          <w:i/>
        </w:rPr>
      </w:pPr>
      <w:r w:rsidRPr="001A28D2">
        <w:rPr>
          <w:i/>
        </w:rPr>
        <w:t xml:space="preserve">Извършено е </w:t>
      </w:r>
      <w:proofErr w:type="spellStart"/>
      <w:r w:rsidRPr="001A28D2">
        <w:rPr>
          <w:i/>
        </w:rPr>
        <w:t>превишение</w:t>
      </w:r>
      <w:proofErr w:type="spellEnd"/>
      <w:r w:rsidRPr="001A28D2">
        <w:rPr>
          <w:i/>
        </w:rPr>
        <w:t xml:space="preserve"> на максималния размер на новите задължения за разходи, натрупани през 2016</w:t>
      </w:r>
      <w:r w:rsidR="001B2B50" w:rsidRPr="001A28D2">
        <w:rPr>
          <w:i/>
        </w:rPr>
        <w:t> </w:t>
      </w:r>
      <w:r w:rsidRPr="001A28D2">
        <w:rPr>
          <w:i/>
        </w:rPr>
        <w:t>г., като не е спазена разпоредбата на чл. 88 от ЗПФ от 2 първостепенни разпоредители с бюджет</w:t>
      </w:r>
      <w:r w:rsidR="00035CF6" w:rsidRPr="001A28D2">
        <w:rPr>
          <w:i/>
        </w:rPr>
        <w:t xml:space="preserve">, с което е </w:t>
      </w:r>
      <w:r w:rsidRPr="001A28D2">
        <w:rPr>
          <w:i/>
        </w:rPr>
        <w:t>нарушен</w:t>
      </w:r>
      <w:r w:rsidR="00035CF6" w:rsidRPr="001A28D2">
        <w:rPr>
          <w:i/>
        </w:rPr>
        <w:t>а</w:t>
      </w:r>
      <w:r w:rsidRPr="001A28D2">
        <w:rPr>
          <w:i/>
        </w:rPr>
        <w:t xml:space="preserve"> бюджетната дисциплина.</w:t>
      </w:r>
    </w:p>
    <w:p w14:paraId="1485E8C7" w14:textId="77777777" w:rsidR="0047761F" w:rsidRPr="001A28D2" w:rsidRDefault="0047761F" w:rsidP="007E77CC">
      <w:pPr>
        <w:ind w:firstLine="709"/>
        <w:contextualSpacing/>
        <w:jc w:val="both"/>
      </w:pPr>
    </w:p>
    <w:p w14:paraId="703FC659" w14:textId="77777777" w:rsidR="0047761F" w:rsidRPr="001A28D2" w:rsidRDefault="00A24194" w:rsidP="007E77CC">
      <w:pPr>
        <w:ind w:firstLine="709"/>
        <w:jc w:val="both"/>
      </w:pPr>
      <w:r w:rsidRPr="001A28D2">
        <w:t xml:space="preserve">6.3. </w:t>
      </w:r>
      <w:r w:rsidR="0047761F" w:rsidRPr="001A28D2">
        <w:t>Изпълнение на максималните размери за ангажименти и задължения за разходи</w:t>
      </w:r>
      <w:r w:rsidR="00F306C8" w:rsidRPr="001A28D2">
        <w:t xml:space="preserve"> за 2016</w:t>
      </w:r>
      <w:r w:rsidR="0041780E" w:rsidRPr="001A28D2">
        <w:t> </w:t>
      </w:r>
      <w:r w:rsidR="00F306C8" w:rsidRPr="001A28D2">
        <w:t>г.</w:t>
      </w:r>
      <w:r w:rsidR="0047761F" w:rsidRPr="001A28D2">
        <w:t xml:space="preserve"> спрямо 2015 г. </w:t>
      </w:r>
      <w:r w:rsidR="00F306C8" w:rsidRPr="001A28D2">
        <w:t>по ПРБ</w:t>
      </w:r>
      <w:r w:rsidR="001B2B50" w:rsidRPr="001A28D2">
        <w:t>.</w:t>
      </w:r>
    </w:p>
    <w:p w14:paraId="59A93D0A" w14:textId="77777777" w:rsidR="001B2B50" w:rsidRPr="001A28D2" w:rsidRDefault="001B2B50" w:rsidP="001B2B50">
      <w:pPr>
        <w:pStyle w:val="Heading3"/>
        <w:ind w:firstLine="709"/>
        <w:jc w:val="both"/>
        <w:rPr>
          <w:rFonts w:ascii="Times New Roman" w:eastAsia="Times New Roman" w:hAnsi="Times New Roman" w:cs="Times New Roman"/>
          <w:color w:val="auto"/>
          <w:lang w:eastAsia="en-US"/>
        </w:rPr>
      </w:pPr>
      <w:r w:rsidRPr="001A28D2">
        <w:rPr>
          <w:rFonts w:ascii="Times New Roman" w:eastAsia="Times New Roman" w:hAnsi="Times New Roman" w:cs="Times New Roman"/>
          <w:color w:val="auto"/>
          <w:lang w:eastAsia="en-US"/>
        </w:rPr>
        <w:t>Максималният размер на ангажиментите за разходи, поети през 2015 г. е превишен от 8 ПРБ</w:t>
      </w:r>
      <w:r w:rsidR="00C37993" w:rsidRPr="001A28D2">
        <w:rPr>
          <w:rFonts w:ascii="Times New Roman" w:eastAsia="Times New Roman" w:hAnsi="Times New Roman" w:cs="Times New Roman"/>
          <w:color w:val="auto"/>
          <w:lang w:eastAsia="en-US"/>
        </w:rPr>
        <w:t xml:space="preserve"> - </w:t>
      </w:r>
      <w:proofErr w:type="spellStart"/>
      <w:r w:rsidRPr="001A28D2">
        <w:rPr>
          <w:rFonts w:ascii="Times New Roman" w:eastAsia="Times New Roman" w:hAnsi="Times New Roman" w:cs="Times New Roman"/>
          <w:color w:val="auto"/>
          <w:lang w:eastAsia="en-US"/>
        </w:rPr>
        <w:t>Омбудсман</w:t>
      </w:r>
      <w:proofErr w:type="spellEnd"/>
      <w:r w:rsidRPr="001A28D2">
        <w:rPr>
          <w:rFonts w:ascii="Times New Roman" w:eastAsia="Times New Roman" w:hAnsi="Times New Roman" w:cs="Times New Roman"/>
          <w:color w:val="auto"/>
          <w:lang w:eastAsia="en-US"/>
        </w:rPr>
        <w:t xml:space="preserve">, МО, МТИТС, </w:t>
      </w:r>
      <w:hyperlink r:id="rId11" w:history="1">
        <w:r w:rsidRPr="001A28D2">
          <w:rPr>
            <w:rFonts w:ascii="Times New Roman" w:eastAsia="Times New Roman" w:hAnsi="Times New Roman" w:cs="Times New Roman"/>
            <w:color w:val="auto"/>
            <w:lang w:eastAsia="en-US"/>
          </w:rPr>
          <w:t>Комисия за отнемане на незаконно придобито имущество</w:t>
        </w:r>
      </w:hyperlink>
      <w:r w:rsidR="00C37993" w:rsidRPr="001A28D2">
        <w:rPr>
          <w:rFonts w:ascii="Times New Roman" w:eastAsia="Times New Roman" w:hAnsi="Times New Roman" w:cs="Times New Roman"/>
          <w:color w:val="auto"/>
          <w:lang w:eastAsia="en-US"/>
        </w:rPr>
        <w:t xml:space="preserve"> (КОНПИ)</w:t>
      </w:r>
      <w:r w:rsidRPr="001A28D2">
        <w:rPr>
          <w:rFonts w:ascii="Times New Roman" w:eastAsia="Times New Roman" w:hAnsi="Times New Roman" w:cs="Times New Roman"/>
          <w:color w:val="auto"/>
          <w:lang w:eastAsia="en-US"/>
        </w:rPr>
        <w:t>, Н</w:t>
      </w:r>
      <w:r w:rsidR="00961A49" w:rsidRPr="001A28D2">
        <w:rPr>
          <w:rFonts w:ascii="Times New Roman" w:eastAsia="Times New Roman" w:hAnsi="Times New Roman" w:cs="Times New Roman"/>
          <w:color w:val="auto"/>
          <w:lang w:eastAsia="en-US"/>
        </w:rPr>
        <w:t>ационален статистически институт (Н</w:t>
      </w:r>
      <w:r w:rsidRPr="001A28D2">
        <w:rPr>
          <w:rFonts w:ascii="Times New Roman" w:eastAsia="Times New Roman" w:hAnsi="Times New Roman" w:cs="Times New Roman"/>
          <w:color w:val="auto"/>
          <w:lang w:eastAsia="en-US"/>
        </w:rPr>
        <w:t>СИ</w:t>
      </w:r>
      <w:r w:rsidR="00961A49" w:rsidRPr="001A28D2">
        <w:rPr>
          <w:rFonts w:ascii="Times New Roman" w:eastAsia="Times New Roman" w:hAnsi="Times New Roman" w:cs="Times New Roman"/>
          <w:color w:val="auto"/>
          <w:lang w:eastAsia="en-US"/>
        </w:rPr>
        <w:t>)</w:t>
      </w:r>
      <w:r w:rsidRPr="001A28D2">
        <w:rPr>
          <w:rFonts w:ascii="Times New Roman" w:eastAsia="Times New Roman" w:hAnsi="Times New Roman" w:cs="Times New Roman"/>
          <w:color w:val="auto"/>
          <w:lang w:eastAsia="en-US"/>
        </w:rPr>
        <w:t xml:space="preserve">, </w:t>
      </w:r>
      <w:r w:rsidR="0094676F" w:rsidRPr="001A28D2">
        <w:rPr>
          <w:rFonts w:ascii="Times New Roman" w:eastAsia="Times New Roman" w:hAnsi="Times New Roman" w:cs="Times New Roman"/>
          <w:color w:val="auto"/>
          <w:lang w:eastAsia="en-US"/>
        </w:rPr>
        <w:t>Комисия за енергийно и водно регулиране (</w:t>
      </w:r>
      <w:r w:rsidRPr="001A28D2">
        <w:rPr>
          <w:rFonts w:ascii="Times New Roman" w:eastAsia="Times New Roman" w:hAnsi="Times New Roman" w:cs="Times New Roman"/>
          <w:color w:val="auto"/>
          <w:lang w:eastAsia="en-US"/>
        </w:rPr>
        <w:t>КЕВР</w:t>
      </w:r>
      <w:r w:rsidR="0094676F" w:rsidRPr="001A28D2">
        <w:rPr>
          <w:rFonts w:ascii="Times New Roman" w:eastAsia="Times New Roman" w:hAnsi="Times New Roman" w:cs="Times New Roman"/>
          <w:color w:val="auto"/>
          <w:lang w:eastAsia="en-US"/>
        </w:rPr>
        <w:t>)</w:t>
      </w:r>
      <w:r w:rsidRPr="001A28D2">
        <w:rPr>
          <w:rFonts w:ascii="Times New Roman" w:eastAsia="Times New Roman" w:hAnsi="Times New Roman" w:cs="Times New Roman"/>
          <w:color w:val="auto"/>
          <w:lang w:eastAsia="en-US"/>
        </w:rPr>
        <w:t>, Агенция за ядрено регулиране</w:t>
      </w:r>
      <w:r w:rsidR="00C37993" w:rsidRPr="001A28D2">
        <w:rPr>
          <w:rFonts w:ascii="Times New Roman" w:eastAsia="Times New Roman" w:hAnsi="Times New Roman" w:cs="Times New Roman"/>
          <w:color w:val="auto"/>
          <w:lang w:eastAsia="en-US"/>
        </w:rPr>
        <w:t xml:space="preserve"> (АЯР)</w:t>
      </w:r>
      <w:r w:rsidRPr="001A28D2">
        <w:rPr>
          <w:rFonts w:ascii="Times New Roman" w:eastAsia="Times New Roman" w:hAnsi="Times New Roman" w:cs="Times New Roman"/>
          <w:color w:val="auto"/>
          <w:lang w:eastAsia="en-US"/>
        </w:rPr>
        <w:t xml:space="preserve"> и Министерство на енергетиката.</w:t>
      </w:r>
    </w:p>
    <w:p w14:paraId="4C979A73" w14:textId="46C934D5" w:rsidR="001B2B50" w:rsidRPr="001A28D2" w:rsidRDefault="001B2B50" w:rsidP="001B2B50">
      <w:pPr>
        <w:ind w:firstLine="709"/>
        <w:jc w:val="both"/>
      </w:pPr>
      <w:r w:rsidRPr="001A28D2">
        <w:t xml:space="preserve">Максималният размер на новите задължения за разходи, натрупани през 2015 г. е нарушен от 4 ПРБ </w:t>
      </w:r>
      <w:r w:rsidR="00317BBB" w:rsidRPr="001A28D2">
        <w:t xml:space="preserve">- </w:t>
      </w:r>
      <w:r w:rsidR="00317BBB" w:rsidRPr="001A28D2">
        <w:rPr>
          <w:lang w:eastAsia="en-US"/>
        </w:rPr>
        <w:t>КОНПИ</w:t>
      </w:r>
      <w:r w:rsidRPr="001A28D2">
        <w:t xml:space="preserve">, КЕВР, </w:t>
      </w:r>
      <w:r w:rsidR="007A3F6F" w:rsidRPr="001A28D2">
        <w:t>А</w:t>
      </w:r>
      <w:r w:rsidRPr="001A28D2">
        <w:t>ЯР и Комисия за защита от дискриминация.</w:t>
      </w:r>
    </w:p>
    <w:p w14:paraId="6F0D043E" w14:textId="77777777" w:rsidR="001B2B50" w:rsidRPr="001A28D2" w:rsidRDefault="001B2B50" w:rsidP="001B2B50">
      <w:pPr>
        <w:ind w:firstLine="709"/>
        <w:jc w:val="both"/>
        <w:rPr>
          <w:bCs/>
        </w:rPr>
      </w:pPr>
      <w:r w:rsidRPr="001A28D2">
        <w:t>От извършената съпоставка на неспазването на чл. 88 от ЗПФ спрямо предходната година, е установено, че м</w:t>
      </w:r>
      <w:r w:rsidRPr="001A28D2">
        <w:rPr>
          <w:bCs/>
        </w:rPr>
        <w:t xml:space="preserve">аксималният размер на поетите ангажименти за разходи е нарушен и през двете години от 2 ПРБ (МО и КЕВР). Пет от допусналите </w:t>
      </w:r>
      <w:proofErr w:type="spellStart"/>
      <w:r w:rsidRPr="001A28D2">
        <w:rPr>
          <w:bCs/>
        </w:rPr>
        <w:t>превишение</w:t>
      </w:r>
      <w:proofErr w:type="spellEnd"/>
      <w:r w:rsidRPr="001A28D2">
        <w:rPr>
          <w:bCs/>
        </w:rPr>
        <w:t xml:space="preserve"> през 2015 г. разпоредители не са допуснали такова през </w:t>
      </w:r>
      <w:proofErr w:type="spellStart"/>
      <w:r w:rsidRPr="001A28D2">
        <w:rPr>
          <w:bCs/>
        </w:rPr>
        <w:t>одитирания</w:t>
      </w:r>
      <w:proofErr w:type="spellEnd"/>
      <w:r w:rsidRPr="001A28D2">
        <w:rPr>
          <w:bCs/>
        </w:rPr>
        <w:t xml:space="preserve"> период, но други 2 ПРБ, спазили ограниченията през 2015 г., са превишили максималните размери през 2016 г.</w:t>
      </w:r>
    </w:p>
    <w:p w14:paraId="3F38A918" w14:textId="77777777" w:rsidR="0033797D" w:rsidRPr="001A28D2" w:rsidRDefault="0033797D" w:rsidP="001B2B50">
      <w:pPr>
        <w:ind w:firstLine="709"/>
        <w:jc w:val="both"/>
        <w:rPr>
          <w:bCs/>
        </w:rPr>
      </w:pPr>
    </w:p>
    <w:p w14:paraId="7BBBDB4E" w14:textId="77777777" w:rsidR="0033797D" w:rsidRPr="001A28D2" w:rsidRDefault="0033797D" w:rsidP="001B2B50">
      <w:pPr>
        <w:ind w:firstLine="709"/>
        <w:jc w:val="both"/>
        <w:rPr>
          <w:bCs/>
        </w:rPr>
      </w:pPr>
    </w:p>
    <w:p w14:paraId="6168AFE3" w14:textId="77777777" w:rsidR="0047761F" w:rsidRPr="001A28D2" w:rsidRDefault="0047761F" w:rsidP="001B2B50">
      <w:pPr>
        <w:ind w:firstLine="709"/>
        <w:jc w:val="both"/>
      </w:pPr>
    </w:p>
    <w:tbl>
      <w:tblPr>
        <w:tblStyle w:val="MediumGrid3-Accent3"/>
        <w:tblW w:w="9180" w:type="dxa"/>
        <w:tblLook w:val="04A0" w:firstRow="1" w:lastRow="0" w:firstColumn="1" w:lastColumn="0" w:noHBand="0" w:noVBand="1"/>
      </w:tblPr>
      <w:tblGrid>
        <w:gridCol w:w="1715"/>
        <w:gridCol w:w="1937"/>
        <w:gridCol w:w="1843"/>
        <w:gridCol w:w="1843"/>
        <w:gridCol w:w="1842"/>
      </w:tblGrid>
      <w:tr w:rsidR="0047761F" w:rsidRPr="001A28D2" w14:paraId="4A34986F" w14:textId="77777777" w:rsidTr="00F47317">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180" w:type="dxa"/>
            <w:gridSpan w:val="5"/>
            <w:hideMark/>
          </w:tcPr>
          <w:p w14:paraId="083090ED" w14:textId="77777777" w:rsidR="0047761F" w:rsidRPr="001A28D2" w:rsidRDefault="0047761F" w:rsidP="0047761F">
            <w:pPr>
              <w:jc w:val="center"/>
              <w:rPr>
                <w:rFonts w:ascii="Times New Roman" w:hAnsi="Times New Roman" w:cs="Times New Roman"/>
              </w:rPr>
            </w:pPr>
            <w:r w:rsidRPr="001A28D2">
              <w:rPr>
                <w:rFonts w:ascii="Times New Roman" w:hAnsi="Times New Roman" w:cs="Times New Roman"/>
              </w:rPr>
              <w:lastRenderedPageBreak/>
              <w:t xml:space="preserve">Относителен дял на отчетеното </w:t>
            </w:r>
            <w:proofErr w:type="spellStart"/>
            <w:r w:rsidR="00A45F34" w:rsidRPr="001A28D2">
              <w:rPr>
                <w:rFonts w:ascii="Times New Roman" w:hAnsi="Times New Roman" w:cs="Times New Roman"/>
              </w:rPr>
              <w:t>превишение</w:t>
            </w:r>
            <w:proofErr w:type="spellEnd"/>
            <w:r w:rsidR="00A45F34" w:rsidRPr="001A28D2">
              <w:rPr>
                <w:rFonts w:ascii="Times New Roman" w:hAnsi="Times New Roman" w:cs="Times New Roman"/>
              </w:rPr>
              <w:t xml:space="preserve"> </w:t>
            </w:r>
            <w:r w:rsidRPr="001A28D2">
              <w:rPr>
                <w:rFonts w:ascii="Times New Roman" w:hAnsi="Times New Roman" w:cs="Times New Roman"/>
              </w:rPr>
              <w:t>от ПРБ спрямо уточнения план по показатели</w:t>
            </w:r>
          </w:p>
        </w:tc>
      </w:tr>
      <w:tr w:rsidR="0047761F" w:rsidRPr="001A28D2" w14:paraId="2F006CBC" w14:textId="77777777" w:rsidTr="00F47317">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715" w:type="dxa"/>
            <w:vMerge w:val="restart"/>
            <w:noWrap/>
            <w:hideMark/>
          </w:tcPr>
          <w:p w14:paraId="5EC8A6F9" w14:textId="77777777" w:rsidR="0047761F" w:rsidRPr="001A28D2" w:rsidRDefault="0047761F" w:rsidP="0047761F">
            <w:pPr>
              <w:jc w:val="center"/>
              <w:rPr>
                <w:rFonts w:ascii="Times New Roman" w:hAnsi="Times New Roman" w:cs="Times New Roman"/>
              </w:rPr>
            </w:pPr>
            <w:r w:rsidRPr="001A28D2">
              <w:rPr>
                <w:rFonts w:ascii="Times New Roman" w:hAnsi="Times New Roman" w:cs="Times New Roman"/>
              </w:rPr>
              <w:t>ПРБ</w:t>
            </w:r>
          </w:p>
        </w:tc>
        <w:tc>
          <w:tcPr>
            <w:tcW w:w="3780" w:type="dxa"/>
            <w:gridSpan w:val="2"/>
            <w:hideMark/>
          </w:tcPr>
          <w:p w14:paraId="52BA97B1" w14:textId="77777777" w:rsidR="0047761F" w:rsidRPr="001A28D2" w:rsidRDefault="0047761F" w:rsidP="005A4B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Максимален размер на ангажиментите за разходи, които могат да бъдат поети през годината</w:t>
            </w:r>
            <w:r w:rsidRPr="001A28D2">
              <w:rPr>
                <w:b/>
                <w:bCs/>
              </w:rPr>
              <w:t xml:space="preserve"> </w:t>
            </w:r>
            <w:r w:rsidRPr="001A28D2">
              <w:rPr>
                <w:rFonts w:ascii="Times New Roman" w:hAnsi="Times New Roman" w:cs="Times New Roman"/>
                <w:b/>
                <w:bCs/>
              </w:rPr>
              <w:t>(в %)</w:t>
            </w:r>
          </w:p>
        </w:tc>
        <w:tc>
          <w:tcPr>
            <w:tcW w:w="3685" w:type="dxa"/>
            <w:gridSpan w:val="2"/>
            <w:hideMark/>
          </w:tcPr>
          <w:p w14:paraId="5B5A3718" w14:textId="77777777" w:rsidR="0047761F" w:rsidRPr="001A28D2" w:rsidRDefault="0047761F" w:rsidP="004776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Максимален размер на новите задължения за разходи, натрупани през годината (в %)</w:t>
            </w:r>
          </w:p>
        </w:tc>
      </w:tr>
      <w:tr w:rsidR="0047761F" w:rsidRPr="001A28D2" w14:paraId="3148A983" w14:textId="77777777" w:rsidTr="00F47317">
        <w:trPr>
          <w:trHeight w:val="315"/>
        </w:trPr>
        <w:tc>
          <w:tcPr>
            <w:cnfStyle w:val="001000000000" w:firstRow="0" w:lastRow="0" w:firstColumn="1" w:lastColumn="0" w:oddVBand="0" w:evenVBand="0" w:oddHBand="0" w:evenHBand="0" w:firstRowFirstColumn="0" w:firstRowLastColumn="0" w:lastRowFirstColumn="0" w:lastRowLastColumn="0"/>
            <w:tcW w:w="1715" w:type="dxa"/>
            <w:vMerge/>
            <w:hideMark/>
          </w:tcPr>
          <w:p w14:paraId="3E583A0B" w14:textId="77777777" w:rsidR="0047761F" w:rsidRPr="001A28D2" w:rsidRDefault="0047761F" w:rsidP="0047761F">
            <w:pPr>
              <w:rPr>
                <w:rFonts w:ascii="Times New Roman" w:hAnsi="Times New Roman" w:cs="Times New Roman"/>
              </w:rPr>
            </w:pPr>
          </w:p>
        </w:tc>
        <w:tc>
          <w:tcPr>
            <w:tcW w:w="1937" w:type="dxa"/>
            <w:noWrap/>
            <w:hideMark/>
          </w:tcPr>
          <w:p w14:paraId="59B7985A"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2015 г.</w:t>
            </w:r>
          </w:p>
        </w:tc>
        <w:tc>
          <w:tcPr>
            <w:tcW w:w="1843" w:type="dxa"/>
            <w:noWrap/>
            <w:hideMark/>
          </w:tcPr>
          <w:p w14:paraId="735CA529"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2016 г.</w:t>
            </w:r>
          </w:p>
        </w:tc>
        <w:tc>
          <w:tcPr>
            <w:tcW w:w="1843" w:type="dxa"/>
            <w:noWrap/>
            <w:hideMark/>
          </w:tcPr>
          <w:p w14:paraId="44390863"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2015 г.</w:t>
            </w:r>
          </w:p>
        </w:tc>
        <w:tc>
          <w:tcPr>
            <w:tcW w:w="1842" w:type="dxa"/>
            <w:noWrap/>
            <w:hideMark/>
          </w:tcPr>
          <w:p w14:paraId="5B03866B" w14:textId="77777777" w:rsidR="0047761F" w:rsidRPr="001A28D2" w:rsidRDefault="0047761F" w:rsidP="004776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A28D2">
              <w:rPr>
                <w:rFonts w:ascii="Times New Roman" w:hAnsi="Times New Roman" w:cs="Times New Roman"/>
                <w:b/>
                <w:bCs/>
              </w:rPr>
              <w:t>2016 г.</w:t>
            </w:r>
          </w:p>
        </w:tc>
      </w:tr>
      <w:tr w:rsidR="0047761F" w:rsidRPr="001A28D2" w14:paraId="4BDF7D25" w14:textId="77777777" w:rsidTr="00F473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4B9BDCFB" w14:textId="77777777" w:rsidR="0047761F" w:rsidRPr="001A28D2" w:rsidRDefault="0047761F" w:rsidP="0047761F">
            <w:pPr>
              <w:rPr>
                <w:rFonts w:ascii="Times New Roman" w:hAnsi="Times New Roman" w:cs="Times New Roman"/>
              </w:rPr>
            </w:pPr>
            <w:proofErr w:type="spellStart"/>
            <w:r w:rsidRPr="001A28D2">
              <w:rPr>
                <w:rFonts w:ascii="Times New Roman" w:hAnsi="Times New Roman" w:cs="Times New Roman"/>
              </w:rPr>
              <w:t>Омбудсман</w:t>
            </w:r>
            <w:proofErr w:type="spellEnd"/>
          </w:p>
        </w:tc>
        <w:tc>
          <w:tcPr>
            <w:tcW w:w="1937" w:type="dxa"/>
            <w:noWrap/>
            <w:hideMark/>
          </w:tcPr>
          <w:p w14:paraId="35797395"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32</w:t>
            </w:r>
          </w:p>
        </w:tc>
        <w:tc>
          <w:tcPr>
            <w:tcW w:w="1843" w:type="dxa"/>
            <w:noWrap/>
          </w:tcPr>
          <w:p w14:paraId="0F53F246"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noWrap/>
            <w:hideMark/>
          </w:tcPr>
          <w:p w14:paraId="2282246C"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2" w:type="dxa"/>
            <w:noWrap/>
          </w:tcPr>
          <w:p w14:paraId="75BC1787"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7761F" w:rsidRPr="001A28D2" w14:paraId="737757D2" w14:textId="77777777" w:rsidTr="00F47317">
        <w:trPr>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57D0CBE2"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МО</w:t>
            </w:r>
          </w:p>
        </w:tc>
        <w:tc>
          <w:tcPr>
            <w:tcW w:w="1937" w:type="dxa"/>
            <w:noWrap/>
            <w:hideMark/>
          </w:tcPr>
          <w:p w14:paraId="002A75F9"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8</w:t>
            </w:r>
          </w:p>
        </w:tc>
        <w:tc>
          <w:tcPr>
            <w:tcW w:w="1843" w:type="dxa"/>
            <w:noWrap/>
          </w:tcPr>
          <w:p w14:paraId="77FC6EE7"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6</w:t>
            </w:r>
          </w:p>
        </w:tc>
        <w:tc>
          <w:tcPr>
            <w:tcW w:w="1843" w:type="dxa"/>
            <w:noWrap/>
            <w:hideMark/>
          </w:tcPr>
          <w:p w14:paraId="2A377C85" w14:textId="77777777" w:rsidR="0047761F" w:rsidRPr="001A28D2" w:rsidRDefault="0047761F" w:rsidP="004776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2" w:type="dxa"/>
            <w:noWrap/>
          </w:tcPr>
          <w:p w14:paraId="2DB0D20F"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0,3</w:t>
            </w:r>
          </w:p>
        </w:tc>
      </w:tr>
      <w:tr w:rsidR="0047761F" w:rsidRPr="001A28D2" w14:paraId="77D3DA35" w14:textId="77777777" w:rsidTr="00F473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44711357"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МЗХ</w:t>
            </w:r>
          </w:p>
        </w:tc>
        <w:tc>
          <w:tcPr>
            <w:tcW w:w="1937" w:type="dxa"/>
            <w:noWrap/>
            <w:hideMark/>
          </w:tcPr>
          <w:p w14:paraId="40FFDAC7"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3" w:type="dxa"/>
            <w:noWrap/>
          </w:tcPr>
          <w:p w14:paraId="3278ECE5"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noWrap/>
            <w:hideMark/>
          </w:tcPr>
          <w:p w14:paraId="6424D68B"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2" w:type="dxa"/>
            <w:noWrap/>
          </w:tcPr>
          <w:p w14:paraId="74478C07"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w:t>
            </w:r>
          </w:p>
        </w:tc>
      </w:tr>
      <w:tr w:rsidR="0047761F" w:rsidRPr="001A28D2" w14:paraId="352B4F15" w14:textId="77777777" w:rsidTr="00F47317">
        <w:trPr>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1567123A"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МТИТС</w:t>
            </w:r>
          </w:p>
        </w:tc>
        <w:tc>
          <w:tcPr>
            <w:tcW w:w="1937" w:type="dxa"/>
            <w:noWrap/>
            <w:hideMark/>
          </w:tcPr>
          <w:p w14:paraId="2E32EEFF"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0,1</w:t>
            </w:r>
          </w:p>
        </w:tc>
        <w:tc>
          <w:tcPr>
            <w:tcW w:w="1843" w:type="dxa"/>
            <w:noWrap/>
          </w:tcPr>
          <w:p w14:paraId="730781C1"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0209B025" w14:textId="77777777" w:rsidR="0047761F" w:rsidRPr="001A28D2" w:rsidRDefault="0047761F" w:rsidP="004776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2" w:type="dxa"/>
            <w:noWrap/>
          </w:tcPr>
          <w:p w14:paraId="48B725A0" w14:textId="77777777" w:rsidR="0047761F" w:rsidRPr="001A28D2" w:rsidRDefault="0047761F" w:rsidP="004776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7761F" w:rsidRPr="001A28D2" w14:paraId="4488D947" w14:textId="77777777" w:rsidTr="00F473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5985AEF2"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КОНПИ</w:t>
            </w:r>
          </w:p>
        </w:tc>
        <w:tc>
          <w:tcPr>
            <w:tcW w:w="1937" w:type="dxa"/>
            <w:noWrap/>
            <w:hideMark/>
          </w:tcPr>
          <w:p w14:paraId="78955D57"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16</w:t>
            </w:r>
          </w:p>
        </w:tc>
        <w:tc>
          <w:tcPr>
            <w:tcW w:w="1843" w:type="dxa"/>
            <w:noWrap/>
          </w:tcPr>
          <w:p w14:paraId="152AD43C"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noWrap/>
            <w:hideMark/>
          </w:tcPr>
          <w:p w14:paraId="271CBE91"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14</w:t>
            </w:r>
          </w:p>
        </w:tc>
        <w:tc>
          <w:tcPr>
            <w:tcW w:w="1842" w:type="dxa"/>
            <w:noWrap/>
          </w:tcPr>
          <w:p w14:paraId="14C78011"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7761F" w:rsidRPr="001A28D2" w14:paraId="0C612462" w14:textId="77777777" w:rsidTr="00F47317">
        <w:trPr>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51044F1C"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НСИ</w:t>
            </w:r>
          </w:p>
        </w:tc>
        <w:tc>
          <w:tcPr>
            <w:tcW w:w="1937" w:type="dxa"/>
            <w:noWrap/>
            <w:hideMark/>
          </w:tcPr>
          <w:p w14:paraId="2D5BC89A"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25</w:t>
            </w:r>
          </w:p>
        </w:tc>
        <w:tc>
          <w:tcPr>
            <w:tcW w:w="1843" w:type="dxa"/>
            <w:noWrap/>
          </w:tcPr>
          <w:p w14:paraId="352B9735"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6454AF3B" w14:textId="77777777" w:rsidR="0047761F" w:rsidRPr="001A28D2" w:rsidRDefault="0047761F" w:rsidP="004776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2" w:type="dxa"/>
            <w:noWrap/>
          </w:tcPr>
          <w:p w14:paraId="1FD3689D" w14:textId="77777777" w:rsidR="0047761F" w:rsidRPr="001A28D2" w:rsidRDefault="0047761F" w:rsidP="004776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7761F" w:rsidRPr="001A28D2" w14:paraId="3608FCDB" w14:textId="77777777" w:rsidTr="00F473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05BD72CF"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КЕВР</w:t>
            </w:r>
          </w:p>
        </w:tc>
        <w:tc>
          <w:tcPr>
            <w:tcW w:w="1937" w:type="dxa"/>
            <w:noWrap/>
            <w:hideMark/>
          </w:tcPr>
          <w:p w14:paraId="4FEA334F"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17</w:t>
            </w:r>
          </w:p>
        </w:tc>
        <w:tc>
          <w:tcPr>
            <w:tcW w:w="1843" w:type="dxa"/>
            <w:noWrap/>
          </w:tcPr>
          <w:p w14:paraId="66BF3BCF"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0,4</w:t>
            </w:r>
          </w:p>
        </w:tc>
        <w:tc>
          <w:tcPr>
            <w:tcW w:w="1843" w:type="dxa"/>
            <w:noWrap/>
            <w:hideMark/>
          </w:tcPr>
          <w:p w14:paraId="5166536F"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8</w:t>
            </w:r>
          </w:p>
        </w:tc>
        <w:tc>
          <w:tcPr>
            <w:tcW w:w="1842" w:type="dxa"/>
            <w:noWrap/>
          </w:tcPr>
          <w:p w14:paraId="5D9B9DFE"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7761F" w:rsidRPr="001A28D2" w14:paraId="22D4EA29" w14:textId="77777777" w:rsidTr="00F47317">
        <w:trPr>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11D92066"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АЯР</w:t>
            </w:r>
          </w:p>
        </w:tc>
        <w:tc>
          <w:tcPr>
            <w:tcW w:w="1937" w:type="dxa"/>
            <w:noWrap/>
            <w:hideMark/>
          </w:tcPr>
          <w:p w14:paraId="51BC9D6E"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8</w:t>
            </w:r>
          </w:p>
        </w:tc>
        <w:tc>
          <w:tcPr>
            <w:tcW w:w="1843" w:type="dxa"/>
            <w:noWrap/>
          </w:tcPr>
          <w:p w14:paraId="4BF05D87"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3" w:type="dxa"/>
            <w:noWrap/>
            <w:hideMark/>
          </w:tcPr>
          <w:p w14:paraId="5F40D257"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7</w:t>
            </w:r>
          </w:p>
        </w:tc>
        <w:tc>
          <w:tcPr>
            <w:tcW w:w="1842" w:type="dxa"/>
            <w:noWrap/>
          </w:tcPr>
          <w:p w14:paraId="54D24CB0"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7761F" w:rsidRPr="001A28D2" w14:paraId="6ABCC2B1" w14:textId="77777777" w:rsidTr="00F473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5D27E1C9"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МЕ</w:t>
            </w:r>
          </w:p>
        </w:tc>
        <w:tc>
          <w:tcPr>
            <w:tcW w:w="1937" w:type="dxa"/>
            <w:noWrap/>
            <w:hideMark/>
          </w:tcPr>
          <w:p w14:paraId="5E0DD361"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3</w:t>
            </w:r>
          </w:p>
        </w:tc>
        <w:tc>
          <w:tcPr>
            <w:tcW w:w="1843" w:type="dxa"/>
            <w:noWrap/>
          </w:tcPr>
          <w:p w14:paraId="537317A3"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3" w:type="dxa"/>
            <w:noWrap/>
            <w:hideMark/>
          </w:tcPr>
          <w:p w14:paraId="015EBB89"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2" w:type="dxa"/>
            <w:noWrap/>
          </w:tcPr>
          <w:p w14:paraId="2A4D18CA"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7761F" w:rsidRPr="001A28D2" w14:paraId="6D8A64F1" w14:textId="77777777" w:rsidTr="00F47317">
        <w:trPr>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6685E650"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КЗД</w:t>
            </w:r>
          </w:p>
        </w:tc>
        <w:tc>
          <w:tcPr>
            <w:tcW w:w="1937" w:type="dxa"/>
            <w:noWrap/>
            <w:hideMark/>
          </w:tcPr>
          <w:p w14:paraId="39E183B3" w14:textId="77777777" w:rsidR="0047761F" w:rsidRPr="001A28D2" w:rsidRDefault="0047761F" w:rsidP="004776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3" w:type="dxa"/>
            <w:noWrap/>
            <w:hideMark/>
          </w:tcPr>
          <w:p w14:paraId="1B862E70" w14:textId="77777777" w:rsidR="0047761F" w:rsidRPr="001A28D2" w:rsidRDefault="0047761F" w:rsidP="004776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3" w:type="dxa"/>
            <w:noWrap/>
            <w:hideMark/>
          </w:tcPr>
          <w:p w14:paraId="05B05250"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5</w:t>
            </w:r>
          </w:p>
        </w:tc>
        <w:tc>
          <w:tcPr>
            <w:tcW w:w="1842" w:type="dxa"/>
            <w:noWrap/>
          </w:tcPr>
          <w:p w14:paraId="58526F73" w14:textId="77777777" w:rsidR="0047761F" w:rsidRPr="001A28D2" w:rsidRDefault="0047761F" w:rsidP="0047761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7761F" w:rsidRPr="001A28D2" w14:paraId="1061FFAF" w14:textId="77777777" w:rsidTr="00F473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15" w:type="dxa"/>
            <w:noWrap/>
            <w:hideMark/>
          </w:tcPr>
          <w:p w14:paraId="714F6D68" w14:textId="77777777" w:rsidR="0047761F" w:rsidRPr="001A28D2" w:rsidRDefault="0047761F" w:rsidP="0047761F">
            <w:pPr>
              <w:rPr>
                <w:rFonts w:ascii="Times New Roman" w:hAnsi="Times New Roman" w:cs="Times New Roman"/>
              </w:rPr>
            </w:pPr>
            <w:r w:rsidRPr="001A28D2">
              <w:rPr>
                <w:rFonts w:ascii="Times New Roman" w:hAnsi="Times New Roman" w:cs="Times New Roman"/>
              </w:rPr>
              <w:t>НС</w:t>
            </w:r>
          </w:p>
        </w:tc>
        <w:tc>
          <w:tcPr>
            <w:tcW w:w="1937" w:type="dxa"/>
            <w:noWrap/>
            <w:hideMark/>
          </w:tcPr>
          <w:p w14:paraId="0F25125D"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c>
          <w:tcPr>
            <w:tcW w:w="1843" w:type="dxa"/>
            <w:noWrap/>
            <w:hideMark/>
          </w:tcPr>
          <w:p w14:paraId="1C3E3CB3"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9</w:t>
            </w:r>
          </w:p>
        </w:tc>
        <w:tc>
          <w:tcPr>
            <w:tcW w:w="1843" w:type="dxa"/>
            <w:noWrap/>
            <w:hideMark/>
          </w:tcPr>
          <w:p w14:paraId="1AAB5A60" w14:textId="77777777" w:rsidR="0047761F" w:rsidRPr="001A28D2" w:rsidRDefault="0047761F" w:rsidP="0047761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842" w:type="dxa"/>
            <w:noWrap/>
            <w:hideMark/>
          </w:tcPr>
          <w:p w14:paraId="3AB6C2F5" w14:textId="77777777" w:rsidR="0047761F" w:rsidRPr="001A28D2" w:rsidRDefault="0047761F" w:rsidP="004776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28D2">
              <w:rPr>
                <w:rFonts w:ascii="Times New Roman" w:hAnsi="Times New Roman" w:cs="Times New Roman"/>
              </w:rPr>
              <w:t> </w:t>
            </w:r>
          </w:p>
        </w:tc>
      </w:tr>
    </w:tbl>
    <w:p w14:paraId="1A9A856A" w14:textId="77777777" w:rsidR="0047761F" w:rsidRPr="001A28D2" w:rsidRDefault="0047761F" w:rsidP="0047761F">
      <w:pPr>
        <w:ind w:firstLine="851"/>
        <w:jc w:val="center"/>
      </w:pPr>
    </w:p>
    <w:p w14:paraId="34FCE6C3" w14:textId="7EC8C8B4" w:rsidR="0047761F" w:rsidRPr="001A28D2" w:rsidRDefault="0047761F" w:rsidP="007E77CC">
      <w:pPr>
        <w:ind w:firstLine="709"/>
        <w:contextualSpacing/>
        <w:jc w:val="both"/>
        <w:rPr>
          <w:i/>
          <w:highlight w:val="yellow"/>
        </w:rPr>
      </w:pPr>
      <w:r w:rsidRPr="001A28D2">
        <w:rPr>
          <w:rFonts w:cs="Tahoma"/>
          <w:i/>
          <w:color w:val="000000"/>
        </w:rPr>
        <w:t>По бюджетите на ПРБ</w:t>
      </w:r>
      <w:r w:rsidRPr="001A28D2">
        <w:rPr>
          <w:i/>
          <w:lang w:eastAsia="en-US"/>
        </w:rPr>
        <w:t xml:space="preserve"> са извършвани промени в показателите „максимални размери на </w:t>
      </w:r>
      <w:r w:rsidRPr="001A28D2">
        <w:rPr>
          <w:rFonts w:cs="Tahoma"/>
          <w:i/>
          <w:lang w:eastAsia="en-US"/>
        </w:rPr>
        <w:t>ангажиментите за разходи</w:t>
      </w:r>
      <w:r w:rsidRPr="001A28D2">
        <w:rPr>
          <w:i/>
          <w:lang w:eastAsia="en-US"/>
        </w:rPr>
        <w:t xml:space="preserve">, </w:t>
      </w:r>
      <w:r w:rsidRPr="001A28D2">
        <w:rPr>
          <w:rFonts w:cs="Tahoma"/>
          <w:i/>
          <w:color w:val="000000"/>
        </w:rPr>
        <w:t>които могат да бъдат поети през годината“</w:t>
      </w:r>
      <w:r w:rsidRPr="001A28D2">
        <w:rPr>
          <w:i/>
          <w:lang w:eastAsia="en-US"/>
        </w:rPr>
        <w:t xml:space="preserve"> </w:t>
      </w:r>
      <w:r w:rsidRPr="001A28D2">
        <w:rPr>
          <w:rFonts w:cs="Tahoma"/>
          <w:i/>
          <w:lang w:eastAsia="en-US"/>
        </w:rPr>
        <w:t>и „</w:t>
      </w:r>
      <w:r w:rsidRPr="001A28D2">
        <w:rPr>
          <w:i/>
          <w:lang w:eastAsia="en-US"/>
        </w:rPr>
        <w:t xml:space="preserve">максимални размери на </w:t>
      </w:r>
      <w:r w:rsidRPr="001A28D2">
        <w:rPr>
          <w:rFonts w:cs="Tahoma"/>
          <w:i/>
          <w:lang w:eastAsia="en-US"/>
        </w:rPr>
        <w:t>новите задължения за разходи,</w:t>
      </w:r>
      <w:r w:rsidRPr="001A28D2">
        <w:rPr>
          <w:i/>
          <w:lang w:eastAsia="en-US"/>
        </w:rPr>
        <w:t xml:space="preserve"> </w:t>
      </w:r>
      <w:r w:rsidRPr="001A28D2">
        <w:rPr>
          <w:rFonts w:cs="Tahoma"/>
          <w:i/>
          <w:color w:val="000000"/>
        </w:rPr>
        <w:t xml:space="preserve">които могат да бъдат натрупани през годината“. При </w:t>
      </w:r>
      <w:r w:rsidR="00E71E8C" w:rsidRPr="001A28D2">
        <w:rPr>
          <w:rFonts w:cs="Tahoma"/>
          <w:i/>
        </w:rPr>
        <w:t>четири</w:t>
      </w:r>
      <w:r w:rsidRPr="001A28D2">
        <w:rPr>
          <w:rFonts w:cs="Tahoma"/>
          <w:i/>
        </w:rPr>
        <w:t xml:space="preserve"> ПРБ са превишени определените максимални размери за посочените бюджетни показатели по уточнен план</w:t>
      </w:r>
      <w:r w:rsidRPr="001A28D2">
        <w:rPr>
          <w:rFonts w:cs="Tahoma"/>
          <w:i/>
          <w:color w:val="000000"/>
        </w:rPr>
        <w:t xml:space="preserve">, като с това е нарушена разпоредбата на чл. 88 от ЗПФ. </w:t>
      </w:r>
      <w:r w:rsidRPr="001A28D2">
        <w:rPr>
          <w:i/>
        </w:rPr>
        <w:t xml:space="preserve">От извършената съпоставка спрямо предходната година е установена тенденция на допускане на отклонения от </w:t>
      </w:r>
      <w:r w:rsidR="00D62364" w:rsidRPr="001A28D2">
        <w:rPr>
          <w:i/>
        </w:rPr>
        <w:t>2 ПРБ.</w:t>
      </w:r>
    </w:p>
    <w:p w14:paraId="652D839B" w14:textId="77777777" w:rsidR="00CB73F9" w:rsidRPr="001A28D2" w:rsidRDefault="00CB73F9" w:rsidP="007E77CC">
      <w:pPr>
        <w:tabs>
          <w:tab w:val="left" w:pos="284"/>
        </w:tabs>
        <w:spacing w:after="160" w:line="256" w:lineRule="auto"/>
        <w:ind w:firstLine="709"/>
        <w:contextualSpacing/>
        <w:rPr>
          <w:rFonts w:eastAsia="Calibri"/>
          <w:b/>
          <w:szCs w:val="22"/>
          <w:lang w:eastAsia="en-US"/>
        </w:rPr>
      </w:pPr>
    </w:p>
    <w:p w14:paraId="1E1EB710" w14:textId="77777777" w:rsidR="00DC5BD7" w:rsidRPr="001A28D2" w:rsidRDefault="00D62364" w:rsidP="007E77CC">
      <w:pPr>
        <w:tabs>
          <w:tab w:val="left" w:pos="284"/>
        </w:tabs>
        <w:spacing w:after="160" w:line="256" w:lineRule="auto"/>
        <w:ind w:firstLine="709"/>
        <w:contextualSpacing/>
        <w:rPr>
          <w:rFonts w:eastAsia="Calibri"/>
          <w:b/>
          <w:szCs w:val="22"/>
          <w:lang w:eastAsia="en-US"/>
        </w:rPr>
      </w:pPr>
      <w:r w:rsidRPr="001A28D2">
        <w:rPr>
          <w:rFonts w:eastAsia="Calibri"/>
          <w:b/>
          <w:szCs w:val="22"/>
          <w:lang w:eastAsia="en-US"/>
        </w:rPr>
        <w:t>7</w:t>
      </w:r>
      <w:r w:rsidR="00DC5BD7" w:rsidRPr="001A28D2">
        <w:rPr>
          <w:rFonts w:eastAsia="Calibri"/>
          <w:b/>
          <w:szCs w:val="22"/>
          <w:lang w:eastAsia="en-US"/>
        </w:rPr>
        <w:t xml:space="preserve">. </w:t>
      </w:r>
      <w:r w:rsidR="00376855" w:rsidRPr="001A28D2">
        <w:rPr>
          <w:rFonts w:eastAsia="Calibri"/>
          <w:b/>
          <w:szCs w:val="22"/>
          <w:lang w:eastAsia="en-US"/>
        </w:rPr>
        <w:t xml:space="preserve">Показатели по </w:t>
      </w:r>
      <w:r w:rsidR="00C60BE2" w:rsidRPr="001A28D2">
        <w:rPr>
          <w:rFonts w:eastAsia="Calibri"/>
          <w:b/>
          <w:szCs w:val="22"/>
          <w:lang w:eastAsia="en-US"/>
        </w:rPr>
        <w:t>К</w:t>
      </w:r>
      <w:r w:rsidR="00376855" w:rsidRPr="001A28D2">
        <w:rPr>
          <w:rFonts w:eastAsia="Calibri"/>
          <w:b/>
          <w:szCs w:val="22"/>
          <w:lang w:eastAsia="en-US"/>
        </w:rPr>
        <w:t>онсолидираната фискална програма</w:t>
      </w:r>
    </w:p>
    <w:p w14:paraId="1B61ADEB" w14:textId="77777777" w:rsidR="00DC5BD7" w:rsidRPr="001A28D2" w:rsidRDefault="00376855" w:rsidP="0041780E">
      <w:pPr>
        <w:tabs>
          <w:tab w:val="left" w:pos="284"/>
          <w:tab w:val="left" w:pos="1560"/>
        </w:tabs>
        <w:spacing w:after="160" w:line="256" w:lineRule="auto"/>
        <w:ind w:firstLine="709"/>
        <w:contextualSpacing/>
        <w:jc w:val="both"/>
        <w:rPr>
          <w:rFonts w:eastAsia="Calibri"/>
          <w:szCs w:val="22"/>
          <w:lang w:eastAsia="en-US"/>
        </w:rPr>
      </w:pPr>
      <w:r w:rsidRPr="001A28D2">
        <w:rPr>
          <w:rFonts w:eastAsia="Calibri"/>
          <w:szCs w:val="22"/>
          <w:lang w:eastAsia="en-US"/>
        </w:rPr>
        <w:t>7.1.</w:t>
      </w:r>
      <w:r w:rsidR="00DC5BD7" w:rsidRPr="001A28D2">
        <w:rPr>
          <w:rFonts w:eastAsia="Calibri"/>
          <w:szCs w:val="22"/>
          <w:lang w:eastAsia="en-US"/>
        </w:rPr>
        <w:t xml:space="preserve"> Отчетени приходи по Консолидираната фискална програма за 2016 г.</w:t>
      </w:r>
    </w:p>
    <w:p w14:paraId="0D59C054" w14:textId="23BED274" w:rsidR="00DC5BD7" w:rsidRPr="001A28D2" w:rsidRDefault="00DC5BD7" w:rsidP="007E77CC">
      <w:pPr>
        <w:spacing w:line="256" w:lineRule="auto"/>
        <w:ind w:firstLine="709"/>
        <w:jc w:val="both"/>
        <w:rPr>
          <w:rFonts w:eastAsia="Calibri"/>
          <w:szCs w:val="22"/>
          <w:lang w:eastAsia="en-US"/>
        </w:rPr>
      </w:pPr>
      <w:r w:rsidRPr="001A28D2">
        <w:rPr>
          <w:rFonts w:eastAsia="Calibri"/>
          <w:szCs w:val="22"/>
          <w:lang w:eastAsia="en-US"/>
        </w:rPr>
        <w:t>През 2016 г. по Консолидираната фискална програма са реализирани приходи в размер на 33 959 442,9 хил. лв., с 1 759 </w:t>
      </w:r>
      <w:r w:rsidR="003E68A0" w:rsidRPr="001A28D2">
        <w:rPr>
          <w:rFonts w:eastAsia="Calibri"/>
          <w:szCs w:val="22"/>
          <w:lang w:eastAsia="en-US"/>
        </w:rPr>
        <w:t>904</w:t>
      </w:r>
      <w:r w:rsidRPr="001A28D2">
        <w:rPr>
          <w:rFonts w:eastAsia="Calibri"/>
          <w:szCs w:val="22"/>
          <w:lang w:eastAsia="en-US"/>
        </w:rPr>
        <w:t>,</w:t>
      </w:r>
      <w:r w:rsidR="003E68A0" w:rsidRPr="001A28D2">
        <w:rPr>
          <w:rFonts w:eastAsia="Calibri"/>
          <w:szCs w:val="22"/>
          <w:lang w:eastAsia="en-US"/>
        </w:rPr>
        <w:t>5</w:t>
      </w:r>
      <w:r w:rsidRPr="001A28D2">
        <w:rPr>
          <w:rFonts w:eastAsia="Calibri"/>
          <w:szCs w:val="22"/>
          <w:lang w:eastAsia="en-US"/>
        </w:rPr>
        <w:t> хил. лв. или с 5,</w:t>
      </w:r>
      <w:proofErr w:type="spellStart"/>
      <w:r w:rsidRPr="001A28D2">
        <w:rPr>
          <w:rFonts w:eastAsia="Calibri"/>
          <w:szCs w:val="22"/>
          <w:lang w:eastAsia="en-US"/>
        </w:rPr>
        <w:t>5</w:t>
      </w:r>
      <w:proofErr w:type="spellEnd"/>
      <w:r w:rsidRPr="001A28D2">
        <w:rPr>
          <w:rFonts w:eastAsia="Calibri"/>
          <w:szCs w:val="22"/>
          <w:lang w:eastAsia="en-US"/>
        </w:rPr>
        <w:t> на сто повече спрямо предходната година.</w:t>
      </w:r>
      <w:r w:rsidR="00297B52" w:rsidRPr="001A28D2">
        <w:rPr>
          <w:rStyle w:val="FootnoteReference"/>
          <w:rFonts w:eastAsia="Calibri"/>
          <w:szCs w:val="22"/>
          <w:lang w:eastAsia="en-US"/>
        </w:rPr>
        <w:footnoteReference w:id="68"/>
      </w:r>
      <w:r w:rsidRPr="001A28D2">
        <w:rPr>
          <w:rFonts w:eastAsia="Calibri"/>
          <w:szCs w:val="22"/>
          <w:lang w:eastAsia="en-US"/>
        </w:rPr>
        <w:t xml:space="preserve"> </w:t>
      </w:r>
    </w:p>
    <w:p w14:paraId="47341395" w14:textId="77777777" w:rsidR="00DC5BD7" w:rsidRPr="001A28D2" w:rsidRDefault="00DC5BD7" w:rsidP="0041780E">
      <w:pPr>
        <w:pStyle w:val="ListParagraph"/>
        <w:numPr>
          <w:ilvl w:val="2"/>
          <w:numId w:val="43"/>
        </w:numPr>
        <w:tabs>
          <w:tab w:val="left" w:pos="1276"/>
          <w:tab w:val="left" w:pos="1985"/>
        </w:tabs>
        <w:ind w:left="0" w:firstLine="709"/>
        <w:jc w:val="both"/>
        <w:rPr>
          <w:rFonts w:ascii="Times New Roman" w:eastAsia="Calibri" w:hAnsi="Times New Roman" w:cs="Times New Roman"/>
          <w:szCs w:val="22"/>
          <w:lang w:val="bg-BG" w:eastAsia="en-US"/>
        </w:rPr>
      </w:pPr>
      <w:r w:rsidRPr="001A28D2">
        <w:rPr>
          <w:rFonts w:ascii="Times New Roman" w:eastAsia="Calibri" w:hAnsi="Times New Roman" w:cs="Times New Roman"/>
          <w:szCs w:val="22"/>
          <w:lang w:val="bg-BG" w:eastAsia="en-US"/>
        </w:rPr>
        <w:t>Най-голям дял акумулирани приходи, 60,9 на сто, се падат на държавния бюджет. От тях централният бюджет е с 18 943 367,7 хил. лв. реализирани приходи, като 98,7 на сто от тях са от данъци, а приходите на министерства и ведомства са в размер на 1 632 736,4 хил. лв. или 4,8 на сто от общия размер на приходите по КФП.</w:t>
      </w:r>
      <w:r w:rsidRPr="001A28D2">
        <w:rPr>
          <w:rStyle w:val="FootnoteReference"/>
          <w:rFonts w:ascii="Times New Roman" w:eastAsia="Calibri" w:hAnsi="Times New Roman" w:cs="Times New Roman"/>
          <w:szCs w:val="22"/>
          <w:lang w:val="bg-BG" w:eastAsia="en-US"/>
        </w:rPr>
        <w:footnoteReference w:id="69"/>
      </w:r>
    </w:p>
    <w:p w14:paraId="33E01665" w14:textId="77777777" w:rsidR="00DC5BD7" w:rsidRPr="001A28D2" w:rsidRDefault="00DC5BD7" w:rsidP="007106E5">
      <w:pPr>
        <w:pStyle w:val="ListParagraph"/>
        <w:numPr>
          <w:ilvl w:val="2"/>
          <w:numId w:val="43"/>
        </w:numPr>
        <w:tabs>
          <w:tab w:val="left" w:pos="1418"/>
          <w:tab w:val="left" w:pos="1985"/>
        </w:tabs>
        <w:ind w:left="0" w:firstLine="709"/>
        <w:jc w:val="both"/>
        <w:rPr>
          <w:rFonts w:ascii="Times New Roman" w:hAnsi="Times New Roman" w:cs="Times New Roman"/>
          <w:color w:val="000000"/>
          <w:lang w:val="bg-BG"/>
        </w:rPr>
      </w:pPr>
      <w:r w:rsidRPr="001A28D2">
        <w:rPr>
          <w:rFonts w:ascii="Times New Roman" w:hAnsi="Times New Roman" w:cs="Times New Roman"/>
          <w:color w:val="000000"/>
          <w:lang w:val="bg-BG"/>
        </w:rPr>
        <w:t>Дял на приходите в КФП за 2016</w:t>
      </w:r>
      <w:r w:rsidR="0041780E" w:rsidRPr="001A28D2">
        <w:rPr>
          <w:rFonts w:ascii="Times New Roman" w:hAnsi="Times New Roman" w:cs="Times New Roman"/>
          <w:color w:val="000000"/>
          <w:lang w:val="bg-BG"/>
        </w:rPr>
        <w:t> </w:t>
      </w:r>
      <w:r w:rsidRPr="001A28D2">
        <w:rPr>
          <w:rFonts w:ascii="Times New Roman" w:hAnsi="Times New Roman" w:cs="Times New Roman"/>
          <w:color w:val="000000"/>
          <w:lang w:val="bg-BG"/>
        </w:rPr>
        <w:t>г.</w:t>
      </w:r>
    </w:p>
    <w:p w14:paraId="36C7DD4F" w14:textId="77777777" w:rsidR="00DC5BD7" w:rsidRPr="001A28D2" w:rsidRDefault="00DC5BD7" w:rsidP="007E77CC">
      <w:pPr>
        <w:ind w:firstLine="709"/>
        <w:jc w:val="both"/>
        <w:rPr>
          <w:color w:val="000000"/>
        </w:rPr>
      </w:pPr>
      <w:r w:rsidRPr="001A28D2">
        <w:rPr>
          <w:rFonts w:eastAsia="Calibri"/>
          <w:szCs w:val="22"/>
          <w:lang w:eastAsia="en-US"/>
        </w:rPr>
        <w:t xml:space="preserve">Основният дял отчетени по КФП приходи – 79,2 на сто или </w:t>
      </w:r>
      <w:r w:rsidRPr="001A28D2">
        <w:rPr>
          <w:color w:val="000000"/>
        </w:rPr>
        <w:t xml:space="preserve">26 902 702,5 хил. лв. се дължи на данъчните приходи – от ДДС са реализирани 8 552 973,6 хил. лв., следвани от приходите от обществено осигуряване 7 317 797,7 хил. лв. </w:t>
      </w:r>
    </w:p>
    <w:p w14:paraId="2C81F784" w14:textId="77777777" w:rsidR="00DC5BD7" w:rsidRPr="001A28D2" w:rsidRDefault="00DC5BD7" w:rsidP="007E77CC">
      <w:pPr>
        <w:ind w:firstLine="709"/>
        <w:jc w:val="both"/>
        <w:rPr>
          <w:color w:val="000000"/>
        </w:rPr>
      </w:pPr>
    </w:p>
    <w:p w14:paraId="1101584D" w14:textId="77777777" w:rsidR="00DC5BD7" w:rsidRPr="001A28D2" w:rsidRDefault="00C60BE2" w:rsidP="00DC5BD7">
      <w:pPr>
        <w:jc w:val="both"/>
        <w:rPr>
          <w:noProof/>
        </w:rPr>
      </w:pPr>
      <w:r w:rsidRPr="001A28D2">
        <w:rPr>
          <w:rFonts w:eastAsia="Calibri"/>
          <w:noProof/>
        </w:rPr>
        <w:lastRenderedPageBreak/>
        <w:drawing>
          <wp:inline distT="0" distB="0" distL="0" distR="0" wp14:anchorId="10A97803" wp14:editId="506DBCEB">
            <wp:extent cx="5943600" cy="262734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27349"/>
                    </a:xfrm>
                    <a:prstGeom prst="rect">
                      <a:avLst/>
                    </a:prstGeom>
                    <a:noFill/>
                  </pic:spPr>
                </pic:pic>
              </a:graphicData>
            </a:graphic>
          </wp:inline>
        </w:drawing>
      </w:r>
    </w:p>
    <w:p w14:paraId="7BA5312D" w14:textId="77777777" w:rsidR="00C60BE2" w:rsidRPr="001A28D2" w:rsidRDefault="00C60BE2" w:rsidP="00DC5BD7">
      <w:pPr>
        <w:jc w:val="both"/>
        <w:rPr>
          <w:noProof/>
        </w:rPr>
      </w:pPr>
    </w:p>
    <w:p w14:paraId="0B5C75D3" w14:textId="77777777" w:rsidR="00DC5BD7" w:rsidRPr="001A28D2" w:rsidRDefault="00DC5BD7" w:rsidP="007E77CC">
      <w:pPr>
        <w:ind w:firstLine="709"/>
        <w:jc w:val="both"/>
      </w:pPr>
      <w:r w:rsidRPr="001A28D2">
        <w:rPr>
          <w:color w:val="000000"/>
        </w:rPr>
        <w:t>Събраните неданъчни приходи съставляват 12,2 на сто от общо събраните приходи по КФП. О</w:t>
      </w:r>
      <w:r w:rsidRPr="001A28D2">
        <w:t>т държавни, общински и съдебни такси са събрани 1 931 640,2 хил. лв.</w:t>
      </w:r>
    </w:p>
    <w:p w14:paraId="7520D779" w14:textId="2D17A4C5" w:rsidR="00DC5BD7" w:rsidRPr="001A28D2" w:rsidRDefault="00DC5BD7" w:rsidP="007E77CC">
      <w:pPr>
        <w:ind w:firstLine="709"/>
        <w:jc w:val="both"/>
      </w:pPr>
      <w:r w:rsidRPr="001A28D2">
        <w:rPr>
          <w:color w:val="000000"/>
        </w:rPr>
        <w:t xml:space="preserve">От помощи и дарения са реализирани </w:t>
      </w:r>
      <w:r w:rsidR="00E953B7" w:rsidRPr="001A28D2">
        <w:rPr>
          <w:color w:val="000000"/>
        </w:rPr>
        <w:t>2 906 630,6</w:t>
      </w:r>
      <w:r w:rsidRPr="001A28D2">
        <w:t xml:space="preserve"> хил. лв. </w:t>
      </w:r>
    </w:p>
    <w:p w14:paraId="07F7232A" w14:textId="77777777" w:rsidR="00DC5BD7" w:rsidRPr="001A28D2" w:rsidRDefault="00DC5BD7" w:rsidP="00E30E46">
      <w:pPr>
        <w:numPr>
          <w:ilvl w:val="2"/>
          <w:numId w:val="43"/>
        </w:numPr>
        <w:tabs>
          <w:tab w:val="left" w:pos="1276"/>
        </w:tabs>
        <w:spacing w:after="160" w:line="256" w:lineRule="auto"/>
        <w:ind w:left="0" w:firstLine="709"/>
        <w:contextualSpacing/>
        <w:jc w:val="both"/>
      </w:pPr>
      <w:r w:rsidRPr="001A28D2">
        <w:t>Отчетени приходи от държавни такси по държавния бюджет за 2016 г.</w:t>
      </w:r>
    </w:p>
    <w:p w14:paraId="2F0CAC72" w14:textId="77777777" w:rsidR="00C60BE2" w:rsidRPr="001A28D2" w:rsidRDefault="00DC5BD7" w:rsidP="007E77CC">
      <w:pPr>
        <w:ind w:firstLine="709"/>
        <w:jc w:val="both"/>
        <w:rPr>
          <w:rFonts w:eastAsia="Calibri"/>
          <w:lang w:eastAsia="en-US"/>
        </w:rPr>
      </w:pPr>
      <w:r w:rsidRPr="001A28D2">
        <w:t>Най-голям дял от държавните такси се падат на отчетените по държавния бюджет – 1 064 987,8 хил. лв.</w:t>
      </w:r>
    </w:p>
    <w:p w14:paraId="14404F02" w14:textId="19BDEF23" w:rsidR="00DC5BD7" w:rsidRPr="001A28D2" w:rsidRDefault="00DC5BD7" w:rsidP="007E77CC">
      <w:pPr>
        <w:ind w:firstLine="709"/>
        <w:jc w:val="both"/>
      </w:pPr>
      <w:r w:rsidRPr="001A28D2">
        <w:rPr>
          <w:rFonts w:eastAsia="Calibri"/>
          <w:lang w:eastAsia="en-US"/>
        </w:rPr>
        <w:t>Държавните такси нямат задължителен характер за всички субекти, а само за ползващите непосредствено публични блага или извършващи определена дейност/</w:t>
      </w:r>
      <w:r w:rsidR="005521A5" w:rsidRPr="001A28D2">
        <w:rPr>
          <w:rFonts w:eastAsia="Calibri"/>
          <w:lang w:eastAsia="en-US"/>
        </w:rPr>
        <w:t xml:space="preserve"> </w:t>
      </w:r>
      <w:r w:rsidRPr="001A28D2">
        <w:rPr>
          <w:rFonts w:eastAsia="Calibri"/>
          <w:lang w:eastAsia="en-US"/>
        </w:rPr>
        <w:t>професия. Съгласно Закона за държавните такси, такива</w:t>
      </w:r>
      <w:r w:rsidRPr="001A28D2">
        <w:rPr>
          <w:rFonts w:eastAsia="Calibri"/>
          <w:vertAlign w:val="superscript"/>
          <w:lang w:eastAsia="en-US"/>
        </w:rPr>
        <w:footnoteReference w:id="70"/>
      </w:r>
      <w:r w:rsidRPr="001A28D2">
        <w:rPr>
          <w:rFonts w:eastAsia="Calibri"/>
          <w:lang w:eastAsia="en-US"/>
        </w:rPr>
        <w:t xml:space="preserve"> се събират от органите на съдебната власт, от другите държавни органи и бюджетни организации в размери, определени с тарифи, одобрени от Министерския съвет и постъпват в държавния бюджет, освен ако със закон е предвидено друго. </w:t>
      </w:r>
      <w:r w:rsidRPr="001A28D2">
        <w:t>Държавните такси са прости и пропорционални. Простите такси се определят въз основа на необходимите разходи по предоставяне на услугата, а пропорционалните - върху цената на документа или услугата.</w:t>
      </w:r>
    </w:p>
    <w:p w14:paraId="0223BF0C" w14:textId="77777777" w:rsidR="00DC5BD7" w:rsidRPr="001A28D2" w:rsidRDefault="00DC5BD7" w:rsidP="007E77CC">
      <w:pPr>
        <w:ind w:firstLine="709"/>
        <w:jc w:val="both"/>
      </w:pPr>
      <w:r w:rsidRPr="001A28D2">
        <w:t>Държавни такси се заплащат за услуги, давани от съдилищата, от държавни съдебни изпълнители, служби по вписванията, извършване на преводи, за издаване и подмяна на български лични документи, за изпити за добиване право на управление на пътни превозни средства, издаване на патенти за изобретения и полезни модели и др. Контролът по правилното определяне и събирането на таксите се провежда от ръководителите на съответните държавни органи и бюджетни организации и съдилищата.</w:t>
      </w:r>
      <w:r w:rsidRPr="001A28D2">
        <w:rPr>
          <w:vertAlign w:val="superscript"/>
        </w:rPr>
        <w:footnoteReference w:id="71"/>
      </w:r>
    </w:p>
    <w:p w14:paraId="3064CF21" w14:textId="6999906A" w:rsidR="00DC5BD7" w:rsidRPr="001A28D2" w:rsidRDefault="00DC5BD7" w:rsidP="007E77CC">
      <w:pPr>
        <w:ind w:firstLine="709"/>
        <w:jc w:val="both"/>
      </w:pPr>
      <w:r w:rsidRPr="001A28D2">
        <w:t>Със ЗДБРБ за 2</w:t>
      </w:r>
      <w:r w:rsidR="005521A5" w:rsidRPr="001A28D2">
        <w:t>016 г. са предвидени 1 055 114 хил. лв., от които 855 114</w:t>
      </w:r>
      <w:r w:rsidRPr="001A28D2">
        <w:t xml:space="preserve"> хил. лв. приходи от държавни такси за министерства и ведомства и 200 000,0 хил. лв. по централния бюджет. </w:t>
      </w:r>
    </w:p>
    <w:p w14:paraId="266AFF6E" w14:textId="0C39B6C0" w:rsidR="00DC5BD7" w:rsidRPr="001A28D2" w:rsidRDefault="00DC5BD7" w:rsidP="007E77CC">
      <w:pPr>
        <w:ind w:firstLine="709"/>
        <w:jc w:val="both"/>
        <w:rPr>
          <w:rFonts w:eastAsia="Calibri"/>
          <w:szCs w:val="22"/>
          <w:lang w:eastAsia="en-US"/>
        </w:rPr>
      </w:pPr>
      <w:r w:rsidRPr="001A28D2">
        <w:lastRenderedPageBreak/>
        <w:t>През 2016 г. от ПРБ са отчетени приходи от държавни такси в размер на 1 064 987,8 хил. лв. или предвидените по бюджетите на ПРБ с уточнен план приходи са преизпълнени с 12 на сто.</w:t>
      </w:r>
      <w:r w:rsidRPr="001A28D2">
        <w:rPr>
          <w:rFonts w:eastAsia="Calibri"/>
          <w:szCs w:val="22"/>
          <w:lang w:eastAsia="en-US"/>
        </w:rPr>
        <w:t xml:space="preserve"> Отчетените приходи са от такси за административни и други услуги и дейности. Таксите и лицензиите с данъч</w:t>
      </w:r>
      <w:r w:rsidR="00882246" w:rsidRPr="001A28D2">
        <w:rPr>
          <w:rFonts w:eastAsia="Calibri"/>
          <w:szCs w:val="22"/>
          <w:lang w:eastAsia="en-US"/>
        </w:rPr>
        <w:t>ен характер са в размер на 307</w:t>
      </w:r>
      <w:r w:rsidRPr="001A28D2">
        <w:rPr>
          <w:rFonts w:eastAsia="Calibri"/>
          <w:szCs w:val="22"/>
          <w:lang w:eastAsia="en-US"/>
        </w:rPr>
        <w:t> хил. лв.</w:t>
      </w:r>
      <w:r w:rsidRPr="001A28D2">
        <w:rPr>
          <w:rFonts w:eastAsia="Calibri"/>
          <w:szCs w:val="22"/>
          <w:vertAlign w:val="superscript"/>
          <w:lang w:eastAsia="en-US"/>
        </w:rPr>
        <w:footnoteReference w:id="72"/>
      </w:r>
    </w:p>
    <w:p w14:paraId="71D5F2A7" w14:textId="309EC9F8" w:rsidR="00DC5BD7" w:rsidRPr="001A28D2" w:rsidRDefault="00DC5BD7" w:rsidP="007E77CC">
      <w:pPr>
        <w:ind w:firstLine="709"/>
        <w:jc w:val="both"/>
        <w:rPr>
          <w:rFonts w:eastAsia="Calibri"/>
          <w:szCs w:val="22"/>
          <w:lang w:eastAsia="en-US"/>
        </w:rPr>
      </w:pPr>
      <w:r w:rsidRPr="001A28D2">
        <w:rPr>
          <w:rFonts w:eastAsia="Calibri"/>
          <w:szCs w:val="22"/>
          <w:lang w:eastAsia="en-US"/>
        </w:rPr>
        <w:t xml:space="preserve">Най-много събрани такси през </w:t>
      </w:r>
      <w:proofErr w:type="spellStart"/>
      <w:r w:rsidRPr="001A28D2">
        <w:rPr>
          <w:rFonts w:eastAsia="Calibri"/>
          <w:szCs w:val="22"/>
          <w:lang w:eastAsia="en-US"/>
        </w:rPr>
        <w:t>одитирания</w:t>
      </w:r>
      <w:proofErr w:type="spellEnd"/>
      <w:r w:rsidRPr="001A28D2">
        <w:rPr>
          <w:rFonts w:eastAsia="Calibri"/>
          <w:szCs w:val="22"/>
          <w:lang w:eastAsia="en-US"/>
        </w:rPr>
        <w:t xml:space="preserve"> период са отчетени от Министерството на регионалното развитие и благоустройството </w:t>
      </w:r>
      <w:r w:rsidR="00733F0F" w:rsidRPr="001A28D2">
        <w:rPr>
          <w:rFonts w:eastAsia="Calibri"/>
          <w:szCs w:val="22"/>
          <w:lang w:eastAsia="en-US"/>
        </w:rPr>
        <w:t xml:space="preserve">- </w:t>
      </w:r>
      <w:r w:rsidRPr="001A28D2">
        <w:rPr>
          <w:rFonts w:eastAsia="Calibri"/>
          <w:szCs w:val="22"/>
          <w:lang w:eastAsia="en-US"/>
        </w:rPr>
        <w:t xml:space="preserve">361 973,6 хил. лв., следвани от Министерството на финансите </w:t>
      </w:r>
      <w:r w:rsidR="00733F0F" w:rsidRPr="001A28D2">
        <w:rPr>
          <w:rFonts w:eastAsia="Calibri"/>
          <w:szCs w:val="22"/>
          <w:lang w:eastAsia="en-US"/>
        </w:rPr>
        <w:t xml:space="preserve">с </w:t>
      </w:r>
      <w:r w:rsidRPr="001A28D2">
        <w:rPr>
          <w:rFonts w:eastAsia="Calibri"/>
          <w:szCs w:val="22"/>
          <w:lang w:eastAsia="en-US"/>
        </w:rPr>
        <w:t xml:space="preserve">133 611,1 хил. лв. При 9 ПРБ е отчетено неизпълнение на приходите от такси, като най-малък процент (25 на сто) такси спрямо планираните са събрани от Държавна агенция </w:t>
      </w:r>
      <w:r w:rsidR="00931CDF" w:rsidRPr="001A28D2">
        <w:rPr>
          <w:rFonts w:eastAsia="Calibri"/>
          <w:szCs w:val="22"/>
          <w:lang w:eastAsia="en-US"/>
        </w:rPr>
        <w:t>„</w:t>
      </w:r>
      <w:r w:rsidRPr="001A28D2">
        <w:rPr>
          <w:rFonts w:eastAsia="Calibri"/>
          <w:szCs w:val="22"/>
          <w:lang w:eastAsia="en-US"/>
        </w:rPr>
        <w:t>Държавен резерв и военновременни запаси</w:t>
      </w:r>
      <w:r w:rsidR="00882469" w:rsidRPr="001A28D2">
        <w:rPr>
          <w:rFonts w:eastAsia="Calibri"/>
          <w:szCs w:val="22"/>
          <w:lang w:eastAsia="en-US"/>
        </w:rPr>
        <w:t>“</w:t>
      </w:r>
      <w:r w:rsidRPr="001A28D2">
        <w:rPr>
          <w:rFonts w:eastAsia="Calibri"/>
          <w:szCs w:val="22"/>
          <w:lang w:eastAsia="en-US"/>
        </w:rPr>
        <w:t xml:space="preserve"> –</w:t>
      </w:r>
      <w:r w:rsidR="00882246" w:rsidRPr="001A28D2">
        <w:rPr>
          <w:rFonts w:eastAsia="Calibri"/>
          <w:szCs w:val="22"/>
          <w:lang w:eastAsia="en-US"/>
        </w:rPr>
        <w:t xml:space="preserve"> 9,</w:t>
      </w:r>
      <w:proofErr w:type="spellStart"/>
      <w:r w:rsidR="00882246" w:rsidRPr="001A28D2">
        <w:rPr>
          <w:rFonts w:eastAsia="Calibri"/>
          <w:szCs w:val="22"/>
          <w:lang w:eastAsia="en-US"/>
        </w:rPr>
        <w:t>9</w:t>
      </w:r>
      <w:proofErr w:type="spellEnd"/>
      <w:r w:rsidR="00882246" w:rsidRPr="001A28D2">
        <w:rPr>
          <w:rFonts w:eastAsia="Calibri"/>
          <w:szCs w:val="22"/>
          <w:lang w:eastAsia="en-US"/>
        </w:rPr>
        <w:t> хил. лв. при планирани 40</w:t>
      </w:r>
      <w:r w:rsidRPr="001A28D2">
        <w:rPr>
          <w:rFonts w:eastAsia="Calibri"/>
          <w:szCs w:val="22"/>
          <w:lang w:eastAsia="en-US"/>
        </w:rPr>
        <w:t xml:space="preserve"> хил. лв. </w:t>
      </w:r>
    </w:p>
    <w:p w14:paraId="37CAECC0" w14:textId="06C5C6A2" w:rsidR="00DC5BD7" w:rsidRPr="001A28D2" w:rsidRDefault="00DC5BD7" w:rsidP="007E77CC">
      <w:pPr>
        <w:ind w:firstLine="709"/>
        <w:jc w:val="both"/>
        <w:rPr>
          <w:rFonts w:eastAsia="Calibri"/>
          <w:szCs w:val="22"/>
          <w:lang w:eastAsia="en-US"/>
        </w:rPr>
      </w:pPr>
      <w:r w:rsidRPr="001A28D2">
        <w:rPr>
          <w:rFonts w:eastAsia="Calibri"/>
          <w:szCs w:val="22"/>
          <w:lang w:eastAsia="en-US"/>
        </w:rPr>
        <w:t>По ЦБ неизпълнението на приходи от такси е 100 на сто. Причината за това е в приетия (след внасяне в Народното събрание на проекта на ЗДБРБ за 2016 г.) вариант за цената на годишната винетка за леки автомобили с увеличение от 30 лв., вместо първоначално предложеното увеличение от 78 лв., на база на което е извършено разработването на проектобюджета за 2016 г.</w:t>
      </w:r>
    </w:p>
    <w:p w14:paraId="6C61F510" w14:textId="2CF8F001" w:rsidR="00DC0D7E" w:rsidRPr="001A28D2" w:rsidRDefault="00DC0D7E" w:rsidP="007E77CC">
      <w:pPr>
        <w:ind w:firstLine="709"/>
        <w:jc w:val="both"/>
        <w:rPr>
          <w:rFonts w:eastAsia="Calibri"/>
          <w:szCs w:val="22"/>
          <w:lang w:eastAsia="en-US"/>
        </w:rPr>
      </w:pPr>
    </w:p>
    <w:p w14:paraId="7EE953CB" w14:textId="77777777" w:rsidR="00DC5BD7" w:rsidRPr="001A28D2" w:rsidRDefault="00DC5BD7" w:rsidP="00C61991">
      <w:pPr>
        <w:numPr>
          <w:ilvl w:val="2"/>
          <w:numId w:val="43"/>
        </w:numPr>
        <w:tabs>
          <w:tab w:val="left" w:pos="1418"/>
        </w:tabs>
        <w:ind w:left="0" w:firstLine="709"/>
        <w:jc w:val="both"/>
        <w:rPr>
          <w:rFonts w:eastAsia="Calibri"/>
          <w:szCs w:val="22"/>
          <w:lang w:eastAsia="en-US"/>
        </w:rPr>
      </w:pPr>
      <w:r w:rsidRPr="001A28D2">
        <w:rPr>
          <w:rFonts w:eastAsia="Calibri"/>
          <w:szCs w:val="22"/>
          <w:lang w:eastAsia="en-US"/>
        </w:rPr>
        <w:t>Анализ на тенденциите на изменение на приходите от държавни такси</w:t>
      </w:r>
    </w:p>
    <w:p w14:paraId="58408EFA" w14:textId="5F9A9CB7" w:rsidR="00DC5BD7" w:rsidRPr="001A28D2" w:rsidRDefault="00DC5BD7" w:rsidP="007E77CC">
      <w:pPr>
        <w:ind w:firstLine="709"/>
        <w:jc w:val="both"/>
        <w:rPr>
          <w:rFonts w:eastAsia="Calibri"/>
          <w:lang w:eastAsia="en-US"/>
        </w:rPr>
      </w:pPr>
      <w:r w:rsidRPr="001A28D2">
        <w:rPr>
          <w:rFonts w:eastAsia="Calibri"/>
          <w:szCs w:val="22"/>
          <w:lang w:eastAsia="en-US"/>
        </w:rPr>
        <w:t>През 2014 г. са събрани държавни такси</w:t>
      </w:r>
      <w:r w:rsidRPr="001A28D2">
        <w:rPr>
          <w:rFonts w:eastAsia="Calibri"/>
          <w:szCs w:val="22"/>
          <w:vertAlign w:val="superscript"/>
          <w:lang w:eastAsia="en-US"/>
        </w:rPr>
        <w:footnoteReference w:id="73"/>
      </w:r>
      <w:r w:rsidR="00882246" w:rsidRPr="001A28D2">
        <w:rPr>
          <w:rFonts w:eastAsia="Calibri"/>
          <w:szCs w:val="22"/>
          <w:lang w:eastAsia="en-US"/>
        </w:rPr>
        <w:t xml:space="preserve"> в размер на 980 562</w:t>
      </w:r>
      <w:r w:rsidRPr="001A28D2">
        <w:rPr>
          <w:rFonts w:eastAsia="Calibri"/>
          <w:szCs w:val="22"/>
          <w:lang w:eastAsia="en-US"/>
        </w:rPr>
        <w:t> хил. лв., а през 2015 г. – със 133 456,</w:t>
      </w:r>
      <w:r w:rsidR="00CA7132" w:rsidRPr="001A28D2">
        <w:rPr>
          <w:rFonts w:eastAsia="Calibri"/>
          <w:szCs w:val="22"/>
          <w:lang w:eastAsia="en-US"/>
        </w:rPr>
        <w:t>4 </w:t>
      </w:r>
      <w:r w:rsidRPr="001A28D2">
        <w:rPr>
          <w:rFonts w:eastAsia="Calibri"/>
          <w:szCs w:val="22"/>
          <w:lang w:eastAsia="en-US"/>
        </w:rPr>
        <w:t xml:space="preserve">хил. лв. по-малко. През 2016 г. акумулираните приходи от държавни такси отново се повишават и възлизат на </w:t>
      </w:r>
      <w:r w:rsidRPr="001A28D2">
        <w:rPr>
          <w:color w:val="000000"/>
        </w:rPr>
        <w:t>1 064 987,8 хил. лв.</w:t>
      </w:r>
    </w:p>
    <w:p w14:paraId="3FB9ECF4" w14:textId="1D8E29F2" w:rsidR="00DC5BD7" w:rsidRPr="001A28D2" w:rsidRDefault="00882246" w:rsidP="007E77CC">
      <w:pPr>
        <w:ind w:firstLine="709"/>
        <w:jc w:val="both"/>
        <w:rPr>
          <w:rFonts w:eastAsia="Calibri"/>
          <w:szCs w:val="22"/>
          <w:lang w:eastAsia="en-US"/>
        </w:rPr>
      </w:pPr>
      <w:r w:rsidRPr="001A28D2">
        <w:rPr>
          <w:rFonts w:eastAsia="Calibri"/>
          <w:szCs w:val="22"/>
          <w:lang w:eastAsia="en-US"/>
        </w:rPr>
        <w:t>Събраните държавни</w:t>
      </w:r>
      <w:r w:rsidR="00DC5BD7" w:rsidRPr="001A28D2">
        <w:rPr>
          <w:rFonts w:eastAsia="Calibri"/>
          <w:szCs w:val="22"/>
          <w:lang w:eastAsia="en-US"/>
        </w:rPr>
        <w:t xml:space="preserve"> такси през </w:t>
      </w:r>
      <w:proofErr w:type="spellStart"/>
      <w:r w:rsidR="00DC5BD7" w:rsidRPr="001A28D2">
        <w:rPr>
          <w:rFonts w:eastAsia="Calibri"/>
          <w:szCs w:val="22"/>
          <w:lang w:eastAsia="en-US"/>
        </w:rPr>
        <w:t>одитирания</w:t>
      </w:r>
      <w:proofErr w:type="spellEnd"/>
      <w:r w:rsidR="00DC5BD7" w:rsidRPr="001A28D2">
        <w:rPr>
          <w:rFonts w:eastAsia="Calibri"/>
          <w:szCs w:val="22"/>
          <w:lang w:eastAsia="en-US"/>
        </w:rPr>
        <w:t xml:space="preserve"> период съставляват 5,1 на сто от приходите, помощите и даренията, постъпили в държавния бюджет. Подобен е относителният им дял и в предходните 2 години – 4,5 на сто през 2015 г. и 5,</w:t>
      </w:r>
      <w:proofErr w:type="spellStart"/>
      <w:r w:rsidR="00DC5BD7" w:rsidRPr="001A28D2">
        <w:rPr>
          <w:rFonts w:eastAsia="Calibri"/>
          <w:szCs w:val="22"/>
          <w:lang w:eastAsia="en-US"/>
        </w:rPr>
        <w:t>5</w:t>
      </w:r>
      <w:proofErr w:type="spellEnd"/>
      <w:r w:rsidR="00DC5BD7" w:rsidRPr="001A28D2">
        <w:rPr>
          <w:rFonts w:eastAsia="Calibri"/>
          <w:szCs w:val="22"/>
          <w:lang w:eastAsia="en-US"/>
        </w:rPr>
        <w:t xml:space="preserve"> на сто през 2014 г. </w:t>
      </w:r>
    </w:p>
    <w:p w14:paraId="32472B62" w14:textId="77777777" w:rsidR="00DC5BD7" w:rsidRPr="001A28D2" w:rsidRDefault="00DC5BD7" w:rsidP="00DC5BD7">
      <w:pPr>
        <w:ind w:firstLine="1134"/>
        <w:jc w:val="both"/>
        <w:rPr>
          <w:rFonts w:eastAsia="Calibri"/>
          <w:szCs w:val="22"/>
          <w:lang w:eastAsia="en-US"/>
        </w:rPr>
      </w:pPr>
      <w:r w:rsidRPr="001A28D2">
        <w:rPr>
          <w:rFonts w:eastAsia="Calibri"/>
          <w:szCs w:val="22"/>
          <w:lang w:eastAsia="en-US"/>
        </w:rPr>
        <w:fldChar w:fldCharType="begin"/>
      </w:r>
      <w:r w:rsidRPr="001A28D2">
        <w:rPr>
          <w:rFonts w:eastAsia="Calibri"/>
          <w:szCs w:val="22"/>
          <w:lang w:eastAsia="en-US"/>
        </w:rPr>
        <w:instrText xml:space="preserve"> LINK Excel.Sheet.8 "D:\\Users\\User\\Desktop\\И З П Ъ Л Н Е Н И Е\\ТАКСИ\\Изчистени такси.xls" "помощна таблица!R1C1:R6C10" \a \f 4 \h  \* MERGEFORMAT </w:instrText>
      </w:r>
      <w:r w:rsidRPr="001A28D2">
        <w:rPr>
          <w:rFonts w:eastAsia="Calibri"/>
          <w:szCs w:val="22"/>
          <w:lang w:eastAsia="en-US"/>
        </w:rPr>
        <w:fldChar w:fldCharType="separate"/>
      </w:r>
    </w:p>
    <w:tbl>
      <w:tblPr>
        <w:tblW w:w="10065" w:type="dxa"/>
        <w:tblInd w:w="-289" w:type="dxa"/>
        <w:tblLayout w:type="fixed"/>
        <w:tblCellMar>
          <w:left w:w="70" w:type="dxa"/>
          <w:right w:w="70" w:type="dxa"/>
        </w:tblCellMar>
        <w:tblLook w:val="04A0" w:firstRow="1" w:lastRow="0" w:firstColumn="1" w:lastColumn="0" w:noHBand="0" w:noVBand="1"/>
      </w:tblPr>
      <w:tblGrid>
        <w:gridCol w:w="584"/>
        <w:gridCol w:w="1254"/>
        <w:gridCol w:w="1276"/>
        <w:gridCol w:w="1243"/>
        <w:gridCol w:w="1167"/>
        <w:gridCol w:w="856"/>
        <w:gridCol w:w="850"/>
        <w:gridCol w:w="851"/>
        <w:gridCol w:w="992"/>
        <w:gridCol w:w="992"/>
      </w:tblGrid>
      <w:tr w:rsidR="00DC5BD7" w:rsidRPr="001A28D2" w14:paraId="214E48AB" w14:textId="77777777" w:rsidTr="00F47317">
        <w:trPr>
          <w:trHeight w:val="285"/>
        </w:trPr>
        <w:tc>
          <w:tcPr>
            <w:tcW w:w="10065" w:type="dxa"/>
            <w:gridSpan w:val="10"/>
            <w:tcBorders>
              <w:top w:val="single" w:sz="4" w:space="0" w:color="auto"/>
              <w:left w:val="single" w:sz="4" w:space="0" w:color="auto"/>
              <w:bottom w:val="single" w:sz="4" w:space="0" w:color="auto"/>
              <w:right w:val="nil"/>
            </w:tcBorders>
            <w:hideMark/>
          </w:tcPr>
          <w:p w14:paraId="6F5815EE" w14:textId="6448DCAD" w:rsidR="00DC5BD7" w:rsidRPr="001A28D2" w:rsidRDefault="00DC5BD7" w:rsidP="00F47317">
            <w:pPr>
              <w:jc w:val="center"/>
              <w:rPr>
                <w:b/>
                <w:bCs/>
                <w:sz w:val="20"/>
                <w:szCs w:val="20"/>
              </w:rPr>
            </w:pPr>
            <w:r w:rsidRPr="001A28D2">
              <w:rPr>
                <w:b/>
                <w:bCs/>
                <w:sz w:val="20"/>
                <w:szCs w:val="20"/>
              </w:rPr>
              <w:t>Отчет за изпъл</w:t>
            </w:r>
            <w:r w:rsidR="00493AE5" w:rsidRPr="001A28D2">
              <w:rPr>
                <w:b/>
                <w:bCs/>
                <w:sz w:val="20"/>
                <w:szCs w:val="20"/>
              </w:rPr>
              <w:t>нението на ДБ</w:t>
            </w:r>
            <w:r w:rsidR="004F24F4" w:rsidRPr="001A28D2">
              <w:rPr>
                <w:b/>
                <w:bCs/>
                <w:sz w:val="20"/>
                <w:szCs w:val="20"/>
              </w:rPr>
              <w:t xml:space="preserve"> на </w:t>
            </w:r>
            <w:r w:rsidR="00493AE5" w:rsidRPr="001A28D2">
              <w:rPr>
                <w:b/>
                <w:bCs/>
                <w:sz w:val="20"/>
                <w:szCs w:val="20"/>
              </w:rPr>
              <w:t>РБ</w:t>
            </w:r>
            <w:r w:rsidR="001021E9" w:rsidRPr="001A28D2">
              <w:rPr>
                <w:b/>
                <w:bCs/>
                <w:sz w:val="20"/>
                <w:szCs w:val="20"/>
              </w:rPr>
              <w:t xml:space="preserve"> за</w:t>
            </w:r>
            <w:r w:rsidR="00493AE5" w:rsidRPr="001A28D2">
              <w:rPr>
                <w:b/>
                <w:bCs/>
                <w:sz w:val="20"/>
                <w:szCs w:val="20"/>
              </w:rPr>
              <w:t xml:space="preserve"> 2014 г., 2015 </w:t>
            </w:r>
            <w:r w:rsidRPr="001A28D2">
              <w:rPr>
                <w:b/>
                <w:bCs/>
                <w:sz w:val="20"/>
                <w:szCs w:val="20"/>
              </w:rPr>
              <w:t>г. и 2016 г. (в хил. лв.)</w:t>
            </w:r>
          </w:p>
        </w:tc>
      </w:tr>
      <w:tr w:rsidR="00DC5BD7" w:rsidRPr="001A28D2" w14:paraId="30135443" w14:textId="77777777" w:rsidTr="00F47317">
        <w:trPr>
          <w:trHeight w:val="2055"/>
        </w:trPr>
        <w:tc>
          <w:tcPr>
            <w:tcW w:w="584" w:type="dxa"/>
            <w:tcBorders>
              <w:top w:val="nil"/>
              <w:left w:val="single" w:sz="4" w:space="0" w:color="auto"/>
              <w:bottom w:val="nil"/>
              <w:right w:val="single" w:sz="4" w:space="0" w:color="auto"/>
            </w:tcBorders>
            <w:shd w:val="clear" w:color="auto" w:fill="DCE6F1"/>
            <w:hideMark/>
          </w:tcPr>
          <w:p w14:paraId="53468FAD" w14:textId="77777777" w:rsidR="00DC5BD7" w:rsidRPr="001A28D2" w:rsidRDefault="00DC5BD7" w:rsidP="00F47317">
            <w:pPr>
              <w:rPr>
                <w:b/>
                <w:bCs/>
                <w:color w:val="000000"/>
                <w:sz w:val="20"/>
                <w:szCs w:val="20"/>
              </w:rPr>
            </w:pPr>
            <w:r w:rsidRPr="001A28D2">
              <w:rPr>
                <w:b/>
                <w:bCs/>
                <w:color w:val="000000"/>
                <w:sz w:val="20"/>
                <w:szCs w:val="20"/>
              </w:rPr>
              <w:t>Годи на</w:t>
            </w:r>
          </w:p>
        </w:tc>
        <w:tc>
          <w:tcPr>
            <w:tcW w:w="1254" w:type="dxa"/>
            <w:tcBorders>
              <w:top w:val="nil"/>
              <w:left w:val="nil"/>
              <w:bottom w:val="nil"/>
              <w:right w:val="single" w:sz="4" w:space="0" w:color="auto"/>
            </w:tcBorders>
            <w:shd w:val="clear" w:color="auto" w:fill="DCE6F1"/>
            <w:hideMark/>
          </w:tcPr>
          <w:p w14:paraId="5502CB98" w14:textId="77777777" w:rsidR="00DC5BD7" w:rsidRPr="001A28D2" w:rsidRDefault="00DC5BD7" w:rsidP="00F47317">
            <w:pPr>
              <w:jc w:val="center"/>
              <w:rPr>
                <w:color w:val="000000"/>
                <w:sz w:val="20"/>
                <w:szCs w:val="20"/>
              </w:rPr>
            </w:pPr>
            <w:r w:rsidRPr="001A28D2">
              <w:rPr>
                <w:b/>
                <w:bCs/>
                <w:color w:val="000000"/>
                <w:sz w:val="20"/>
                <w:szCs w:val="20"/>
              </w:rPr>
              <w:t xml:space="preserve">I. </w:t>
            </w:r>
            <w:r w:rsidRPr="001A28D2">
              <w:rPr>
                <w:color w:val="000000"/>
                <w:sz w:val="20"/>
                <w:szCs w:val="20"/>
              </w:rPr>
              <w:br/>
              <w:t>Приходи, помощи и дарения</w:t>
            </w:r>
          </w:p>
        </w:tc>
        <w:tc>
          <w:tcPr>
            <w:tcW w:w="1276" w:type="dxa"/>
            <w:tcBorders>
              <w:top w:val="nil"/>
              <w:left w:val="nil"/>
              <w:bottom w:val="nil"/>
              <w:right w:val="single" w:sz="4" w:space="0" w:color="auto"/>
            </w:tcBorders>
            <w:shd w:val="clear" w:color="auto" w:fill="DCE6F1"/>
            <w:hideMark/>
          </w:tcPr>
          <w:p w14:paraId="674967B3" w14:textId="77777777" w:rsidR="00DC5BD7" w:rsidRPr="001A28D2" w:rsidRDefault="00DC5BD7" w:rsidP="00F47317">
            <w:pPr>
              <w:jc w:val="center"/>
              <w:rPr>
                <w:color w:val="000000"/>
                <w:sz w:val="20"/>
                <w:szCs w:val="20"/>
              </w:rPr>
            </w:pPr>
            <w:r w:rsidRPr="001A28D2">
              <w:rPr>
                <w:b/>
                <w:bCs/>
                <w:color w:val="000000"/>
                <w:sz w:val="20"/>
                <w:szCs w:val="20"/>
              </w:rPr>
              <w:t>1.</w:t>
            </w:r>
            <w:r w:rsidRPr="001A28D2">
              <w:rPr>
                <w:color w:val="000000"/>
                <w:sz w:val="20"/>
                <w:szCs w:val="20"/>
              </w:rPr>
              <w:t xml:space="preserve"> </w:t>
            </w:r>
            <w:r w:rsidRPr="001A28D2">
              <w:rPr>
                <w:color w:val="000000"/>
                <w:sz w:val="20"/>
                <w:szCs w:val="20"/>
              </w:rPr>
              <w:br/>
              <w:t>Данъчни приходи</w:t>
            </w:r>
          </w:p>
        </w:tc>
        <w:tc>
          <w:tcPr>
            <w:tcW w:w="1243" w:type="dxa"/>
            <w:tcBorders>
              <w:top w:val="nil"/>
              <w:left w:val="nil"/>
              <w:bottom w:val="nil"/>
              <w:right w:val="single" w:sz="4" w:space="0" w:color="auto"/>
            </w:tcBorders>
            <w:shd w:val="clear" w:color="auto" w:fill="DCE6F1"/>
            <w:hideMark/>
          </w:tcPr>
          <w:p w14:paraId="061C23EF" w14:textId="77777777" w:rsidR="00DC5BD7" w:rsidRPr="001A28D2" w:rsidRDefault="00DC5BD7" w:rsidP="00F47317">
            <w:pPr>
              <w:jc w:val="center"/>
              <w:rPr>
                <w:color w:val="000000"/>
                <w:sz w:val="20"/>
                <w:szCs w:val="20"/>
              </w:rPr>
            </w:pPr>
            <w:r w:rsidRPr="001A28D2">
              <w:rPr>
                <w:b/>
                <w:bCs/>
                <w:color w:val="000000"/>
                <w:sz w:val="20"/>
                <w:szCs w:val="20"/>
              </w:rPr>
              <w:t>2.</w:t>
            </w:r>
            <w:r w:rsidRPr="001A28D2">
              <w:rPr>
                <w:color w:val="000000"/>
                <w:sz w:val="20"/>
                <w:szCs w:val="20"/>
              </w:rPr>
              <w:t xml:space="preserve"> Неданъчни приходи</w:t>
            </w:r>
          </w:p>
        </w:tc>
        <w:tc>
          <w:tcPr>
            <w:tcW w:w="1167" w:type="dxa"/>
            <w:tcBorders>
              <w:top w:val="nil"/>
              <w:left w:val="nil"/>
              <w:bottom w:val="nil"/>
              <w:right w:val="single" w:sz="4" w:space="0" w:color="auto"/>
            </w:tcBorders>
            <w:shd w:val="clear" w:color="auto" w:fill="DCE6F1"/>
            <w:hideMark/>
          </w:tcPr>
          <w:p w14:paraId="009B3C81" w14:textId="77777777" w:rsidR="00DC5BD7" w:rsidRPr="001A28D2" w:rsidRDefault="00DC5BD7" w:rsidP="00F47317">
            <w:pPr>
              <w:jc w:val="center"/>
              <w:rPr>
                <w:color w:val="000000"/>
                <w:sz w:val="20"/>
                <w:szCs w:val="20"/>
              </w:rPr>
            </w:pPr>
            <w:r w:rsidRPr="001A28D2">
              <w:rPr>
                <w:b/>
                <w:bCs/>
                <w:color w:val="000000"/>
                <w:sz w:val="20"/>
                <w:szCs w:val="20"/>
              </w:rPr>
              <w:t>2.1.</w:t>
            </w:r>
            <w:r w:rsidRPr="001A28D2">
              <w:rPr>
                <w:color w:val="000000"/>
                <w:sz w:val="20"/>
                <w:szCs w:val="20"/>
              </w:rPr>
              <w:t xml:space="preserve"> Държавни такси</w:t>
            </w:r>
          </w:p>
        </w:tc>
        <w:tc>
          <w:tcPr>
            <w:tcW w:w="856" w:type="dxa"/>
            <w:tcBorders>
              <w:top w:val="nil"/>
              <w:left w:val="nil"/>
              <w:bottom w:val="nil"/>
              <w:right w:val="single" w:sz="4" w:space="0" w:color="auto"/>
            </w:tcBorders>
            <w:shd w:val="clear" w:color="auto" w:fill="DCE6F1"/>
            <w:hideMark/>
          </w:tcPr>
          <w:p w14:paraId="5E6CC893" w14:textId="77777777" w:rsidR="00DC5BD7" w:rsidRPr="001A28D2" w:rsidRDefault="00DC5BD7" w:rsidP="00F47317">
            <w:pPr>
              <w:jc w:val="center"/>
              <w:rPr>
                <w:color w:val="000000"/>
                <w:sz w:val="20"/>
                <w:szCs w:val="20"/>
              </w:rPr>
            </w:pPr>
            <w:r w:rsidRPr="001A28D2">
              <w:rPr>
                <w:color w:val="000000"/>
                <w:sz w:val="20"/>
                <w:szCs w:val="20"/>
              </w:rPr>
              <w:t xml:space="preserve">Държавни такси спрямо Приходи, помощи и дарения </w:t>
            </w:r>
            <w:r w:rsidRPr="001A28D2">
              <w:rPr>
                <w:b/>
                <w:bCs/>
                <w:color w:val="000000"/>
                <w:sz w:val="20"/>
                <w:szCs w:val="20"/>
              </w:rPr>
              <w:t>к.5/к.2</w:t>
            </w:r>
          </w:p>
        </w:tc>
        <w:tc>
          <w:tcPr>
            <w:tcW w:w="850" w:type="dxa"/>
            <w:tcBorders>
              <w:top w:val="nil"/>
              <w:left w:val="nil"/>
              <w:bottom w:val="nil"/>
              <w:right w:val="single" w:sz="4" w:space="0" w:color="auto"/>
            </w:tcBorders>
            <w:shd w:val="clear" w:color="auto" w:fill="DCE6F1"/>
            <w:hideMark/>
          </w:tcPr>
          <w:p w14:paraId="0E579396" w14:textId="77777777" w:rsidR="00DC5BD7" w:rsidRPr="001A28D2" w:rsidRDefault="00DC5BD7" w:rsidP="00F47317">
            <w:pPr>
              <w:jc w:val="center"/>
              <w:rPr>
                <w:color w:val="000000"/>
                <w:sz w:val="20"/>
                <w:szCs w:val="20"/>
              </w:rPr>
            </w:pPr>
            <w:r w:rsidRPr="001A28D2">
              <w:rPr>
                <w:color w:val="000000"/>
                <w:sz w:val="20"/>
                <w:szCs w:val="20"/>
              </w:rPr>
              <w:t xml:space="preserve">Държавни такси спрямо Неданъчни приходи </w:t>
            </w:r>
            <w:r w:rsidRPr="001A28D2">
              <w:rPr>
                <w:b/>
                <w:bCs/>
                <w:color w:val="000000"/>
                <w:sz w:val="20"/>
                <w:szCs w:val="20"/>
              </w:rPr>
              <w:t>к.5/к.4</w:t>
            </w:r>
          </w:p>
        </w:tc>
        <w:tc>
          <w:tcPr>
            <w:tcW w:w="851" w:type="dxa"/>
            <w:tcBorders>
              <w:top w:val="nil"/>
              <w:left w:val="nil"/>
              <w:bottom w:val="nil"/>
              <w:right w:val="single" w:sz="4" w:space="0" w:color="auto"/>
            </w:tcBorders>
            <w:shd w:val="clear" w:color="auto" w:fill="DCE6F1"/>
            <w:hideMark/>
          </w:tcPr>
          <w:p w14:paraId="50C59AD0" w14:textId="77777777" w:rsidR="00DC5BD7" w:rsidRPr="001A28D2" w:rsidRDefault="00DC5BD7" w:rsidP="00F47317">
            <w:pPr>
              <w:jc w:val="center"/>
              <w:rPr>
                <w:color w:val="000000"/>
                <w:sz w:val="20"/>
                <w:szCs w:val="20"/>
              </w:rPr>
            </w:pPr>
            <w:r w:rsidRPr="001A28D2">
              <w:rPr>
                <w:color w:val="000000"/>
                <w:sz w:val="20"/>
                <w:szCs w:val="20"/>
              </w:rPr>
              <w:t xml:space="preserve">Неданъчни приходи спрямо Данъчни приходи </w:t>
            </w:r>
            <w:r w:rsidRPr="001A28D2">
              <w:rPr>
                <w:b/>
                <w:bCs/>
                <w:color w:val="000000"/>
                <w:sz w:val="20"/>
                <w:szCs w:val="20"/>
              </w:rPr>
              <w:t>к.4/к.3</w:t>
            </w:r>
          </w:p>
        </w:tc>
        <w:tc>
          <w:tcPr>
            <w:tcW w:w="992" w:type="dxa"/>
            <w:tcBorders>
              <w:top w:val="nil"/>
              <w:left w:val="nil"/>
              <w:bottom w:val="nil"/>
              <w:right w:val="single" w:sz="4" w:space="0" w:color="auto"/>
            </w:tcBorders>
            <w:shd w:val="clear" w:color="auto" w:fill="DCE6F1"/>
            <w:hideMark/>
          </w:tcPr>
          <w:p w14:paraId="47D0F5AE" w14:textId="77777777" w:rsidR="00DC5BD7" w:rsidRPr="001A28D2" w:rsidRDefault="00DC5BD7" w:rsidP="00F47317">
            <w:pPr>
              <w:jc w:val="center"/>
              <w:rPr>
                <w:color w:val="000000"/>
                <w:sz w:val="20"/>
                <w:szCs w:val="20"/>
              </w:rPr>
            </w:pPr>
            <w:r w:rsidRPr="001A28D2">
              <w:rPr>
                <w:color w:val="000000"/>
                <w:sz w:val="20"/>
                <w:szCs w:val="20"/>
              </w:rPr>
              <w:t xml:space="preserve">Данъчни приходи спрямо Приходи, помощи и дарения </w:t>
            </w:r>
            <w:r w:rsidRPr="001A28D2">
              <w:rPr>
                <w:b/>
                <w:bCs/>
                <w:color w:val="000000"/>
                <w:sz w:val="20"/>
                <w:szCs w:val="20"/>
              </w:rPr>
              <w:t>к.3/к.2</w:t>
            </w:r>
          </w:p>
        </w:tc>
        <w:tc>
          <w:tcPr>
            <w:tcW w:w="992" w:type="dxa"/>
            <w:tcBorders>
              <w:top w:val="nil"/>
              <w:left w:val="nil"/>
              <w:bottom w:val="nil"/>
              <w:right w:val="single" w:sz="4" w:space="0" w:color="auto"/>
            </w:tcBorders>
            <w:shd w:val="clear" w:color="auto" w:fill="DCE6F1"/>
            <w:hideMark/>
          </w:tcPr>
          <w:p w14:paraId="366DDF11" w14:textId="77777777" w:rsidR="00DC5BD7" w:rsidRPr="001A28D2" w:rsidRDefault="00DC5BD7" w:rsidP="00F47317">
            <w:pPr>
              <w:jc w:val="center"/>
              <w:rPr>
                <w:color w:val="000000"/>
                <w:sz w:val="20"/>
                <w:szCs w:val="20"/>
              </w:rPr>
            </w:pPr>
            <w:r w:rsidRPr="001A28D2">
              <w:rPr>
                <w:color w:val="000000"/>
                <w:sz w:val="20"/>
                <w:szCs w:val="20"/>
              </w:rPr>
              <w:t xml:space="preserve">Неданъчни приходи спрямо Приходи, помощи и дарения </w:t>
            </w:r>
            <w:r w:rsidRPr="001A28D2">
              <w:rPr>
                <w:b/>
                <w:bCs/>
                <w:color w:val="000000"/>
                <w:sz w:val="20"/>
                <w:szCs w:val="20"/>
              </w:rPr>
              <w:t>к.4/к.2</w:t>
            </w:r>
          </w:p>
        </w:tc>
      </w:tr>
      <w:tr w:rsidR="00DC5BD7" w:rsidRPr="001A28D2" w14:paraId="4D8DD00C" w14:textId="77777777" w:rsidTr="00F47317">
        <w:trPr>
          <w:trHeight w:val="255"/>
        </w:trPr>
        <w:tc>
          <w:tcPr>
            <w:tcW w:w="584" w:type="dxa"/>
            <w:tcBorders>
              <w:top w:val="single" w:sz="4" w:space="0" w:color="auto"/>
              <w:left w:val="single" w:sz="4" w:space="0" w:color="auto"/>
              <w:bottom w:val="single" w:sz="4" w:space="0" w:color="auto"/>
              <w:right w:val="single" w:sz="4" w:space="0" w:color="auto"/>
            </w:tcBorders>
            <w:hideMark/>
          </w:tcPr>
          <w:p w14:paraId="709453F2" w14:textId="77777777" w:rsidR="00DC5BD7" w:rsidRPr="001A28D2" w:rsidRDefault="00DC5BD7" w:rsidP="00F47317">
            <w:pPr>
              <w:jc w:val="center"/>
              <w:rPr>
                <w:color w:val="000000"/>
                <w:sz w:val="20"/>
                <w:szCs w:val="20"/>
              </w:rPr>
            </w:pPr>
            <w:r w:rsidRPr="001A28D2">
              <w:rPr>
                <w:color w:val="000000"/>
                <w:sz w:val="20"/>
                <w:szCs w:val="20"/>
              </w:rPr>
              <w:t>1</w:t>
            </w:r>
          </w:p>
        </w:tc>
        <w:tc>
          <w:tcPr>
            <w:tcW w:w="1254" w:type="dxa"/>
            <w:tcBorders>
              <w:top w:val="single" w:sz="4" w:space="0" w:color="auto"/>
              <w:left w:val="nil"/>
              <w:bottom w:val="single" w:sz="4" w:space="0" w:color="auto"/>
              <w:right w:val="single" w:sz="4" w:space="0" w:color="auto"/>
            </w:tcBorders>
            <w:hideMark/>
          </w:tcPr>
          <w:p w14:paraId="0565614E" w14:textId="77777777" w:rsidR="00DC5BD7" w:rsidRPr="001A28D2" w:rsidRDefault="00DC5BD7" w:rsidP="00F47317">
            <w:pPr>
              <w:jc w:val="center"/>
              <w:rPr>
                <w:color w:val="000000"/>
                <w:sz w:val="20"/>
                <w:szCs w:val="20"/>
              </w:rPr>
            </w:pPr>
            <w:r w:rsidRPr="001A28D2">
              <w:rPr>
                <w:color w:val="000000"/>
                <w:sz w:val="20"/>
                <w:szCs w:val="20"/>
              </w:rPr>
              <w:t>2</w:t>
            </w:r>
          </w:p>
        </w:tc>
        <w:tc>
          <w:tcPr>
            <w:tcW w:w="1276" w:type="dxa"/>
            <w:tcBorders>
              <w:top w:val="single" w:sz="4" w:space="0" w:color="auto"/>
              <w:left w:val="nil"/>
              <w:bottom w:val="single" w:sz="4" w:space="0" w:color="auto"/>
              <w:right w:val="single" w:sz="4" w:space="0" w:color="auto"/>
            </w:tcBorders>
            <w:hideMark/>
          </w:tcPr>
          <w:p w14:paraId="1D52A084" w14:textId="77777777" w:rsidR="00DC5BD7" w:rsidRPr="001A28D2" w:rsidRDefault="00DC5BD7" w:rsidP="00F47317">
            <w:pPr>
              <w:jc w:val="center"/>
              <w:rPr>
                <w:color w:val="000000"/>
                <w:sz w:val="20"/>
                <w:szCs w:val="20"/>
              </w:rPr>
            </w:pPr>
            <w:r w:rsidRPr="001A28D2">
              <w:rPr>
                <w:color w:val="000000"/>
                <w:sz w:val="20"/>
                <w:szCs w:val="20"/>
              </w:rPr>
              <w:t>3</w:t>
            </w:r>
          </w:p>
        </w:tc>
        <w:tc>
          <w:tcPr>
            <w:tcW w:w="1243" w:type="dxa"/>
            <w:tcBorders>
              <w:top w:val="single" w:sz="4" w:space="0" w:color="auto"/>
              <w:left w:val="nil"/>
              <w:bottom w:val="single" w:sz="4" w:space="0" w:color="auto"/>
              <w:right w:val="single" w:sz="4" w:space="0" w:color="auto"/>
            </w:tcBorders>
            <w:hideMark/>
          </w:tcPr>
          <w:p w14:paraId="05E49DC1" w14:textId="77777777" w:rsidR="00DC5BD7" w:rsidRPr="001A28D2" w:rsidRDefault="00DC5BD7" w:rsidP="00F47317">
            <w:pPr>
              <w:jc w:val="center"/>
              <w:rPr>
                <w:color w:val="000000"/>
                <w:sz w:val="20"/>
                <w:szCs w:val="20"/>
              </w:rPr>
            </w:pPr>
            <w:r w:rsidRPr="001A28D2">
              <w:rPr>
                <w:color w:val="000000"/>
                <w:sz w:val="20"/>
                <w:szCs w:val="20"/>
              </w:rPr>
              <w:t>4</w:t>
            </w:r>
          </w:p>
        </w:tc>
        <w:tc>
          <w:tcPr>
            <w:tcW w:w="1167" w:type="dxa"/>
            <w:tcBorders>
              <w:top w:val="single" w:sz="4" w:space="0" w:color="auto"/>
              <w:left w:val="nil"/>
              <w:bottom w:val="single" w:sz="4" w:space="0" w:color="auto"/>
              <w:right w:val="single" w:sz="4" w:space="0" w:color="auto"/>
            </w:tcBorders>
            <w:hideMark/>
          </w:tcPr>
          <w:p w14:paraId="2E84B8A0" w14:textId="77777777" w:rsidR="00DC5BD7" w:rsidRPr="001A28D2" w:rsidRDefault="00DC5BD7" w:rsidP="00F47317">
            <w:pPr>
              <w:jc w:val="center"/>
              <w:rPr>
                <w:color w:val="000000"/>
                <w:sz w:val="20"/>
                <w:szCs w:val="20"/>
              </w:rPr>
            </w:pPr>
            <w:r w:rsidRPr="001A28D2">
              <w:rPr>
                <w:color w:val="000000"/>
                <w:sz w:val="20"/>
                <w:szCs w:val="20"/>
              </w:rPr>
              <w:t>5</w:t>
            </w:r>
          </w:p>
        </w:tc>
        <w:tc>
          <w:tcPr>
            <w:tcW w:w="856" w:type="dxa"/>
            <w:tcBorders>
              <w:top w:val="single" w:sz="4" w:space="0" w:color="auto"/>
              <w:left w:val="nil"/>
              <w:bottom w:val="single" w:sz="4" w:space="0" w:color="auto"/>
              <w:right w:val="single" w:sz="4" w:space="0" w:color="auto"/>
            </w:tcBorders>
            <w:hideMark/>
          </w:tcPr>
          <w:p w14:paraId="34AB9EDA" w14:textId="77777777" w:rsidR="00DC5BD7" w:rsidRPr="001A28D2" w:rsidRDefault="00DC5BD7" w:rsidP="00F47317">
            <w:pPr>
              <w:jc w:val="center"/>
              <w:rPr>
                <w:color w:val="000000"/>
                <w:sz w:val="20"/>
                <w:szCs w:val="20"/>
              </w:rPr>
            </w:pPr>
            <w:r w:rsidRPr="001A28D2">
              <w:rPr>
                <w:color w:val="000000"/>
                <w:sz w:val="20"/>
                <w:szCs w:val="20"/>
              </w:rPr>
              <w:t>6</w:t>
            </w:r>
          </w:p>
        </w:tc>
        <w:tc>
          <w:tcPr>
            <w:tcW w:w="850" w:type="dxa"/>
            <w:tcBorders>
              <w:top w:val="single" w:sz="4" w:space="0" w:color="auto"/>
              <w:left w:val="nil"/>
              <w:bottom w:val="single" w:sz="4" w:space="0" w:color="auto"/>
              <w:right w:val="single" w:sz="4" w:space="0" w:color="auto"/>
            </w:tcBorders>
            <w:hideMark/>
          </w:tcPr>
          <w:p w14:paraId="36F9EB09" w14:textId="77777777" w:rsidR="00DC5BD7" w:rsidRPr="001A28D2" w:rsidRDefault="00DC5BD7" w:rsidP="00F47317">
            <w:pPr>
              <w:jc w:val="center"/>
              <w:rPr>
                <w:color w:val="000000"/>
                <w:sz w:val="20"/>
                <w:szCs w:val="20"/>
              </w:rPr>
            </w:pPr>
            <w:r w:rsidRPr="001A28D2">
              <w:rPr>
                <w:color w:val="000000"/>
                <w:sz w:val="20"/>
                <w:szCs w:val="20"/>
              </w:rPr>
              <w:t>7</w:t>
            </w:r>
          </w:p>
        </w:tc>
        <w:tc>
          <w:tcPr>
            <w:tcW w:w="851" w:type="dxa"/>
            <w:tcBorders>
              <w:top w:val="single" w:sz="4" w:space="0" w:color="auto"/>
              <w:left w:val="nil"/>
              <w:bottom w:val="single" w:sz="4" w:space="0" w:color="auto"/>
              <w:right w:val="single" w:sz="4" w:space="0" w:color="auto"/>
            </w:tcBorders>
            <w:hideMark/>
          </w:tcPr>
          <w:p w14:paraId="2CBA89F1" w14:textId="77777777" w:rsidR="00DC5BD7" w:rsidRPr="001A28D2" w:rsidRDefault="00DC5BD7" w:rsidP="00F47317">
            <w:pPr>
              <w:jc w:val="center"/>
              <w:rPr>
                <w:color w:val="000000"/>
                <w:sz w:val="20"/>
                <w:szCs w:val="20"/>
              </w:rPr>
            </w:pPr>
            <w:r w:rsidRPr="001A28D2">
              <w:rPr>
                <w:color w:val="000000"/>
                <w:sz w:val="20"/>
                <w:szCs w:val="20"/>
              </w:rPr>
              <w:t>8</w:t>
            </w:r>
          </w:p>
        </w:tc>
        <w:tc>
          <w:tcPr>
            <w:tcW w:w="992" w:type="dxa"/>
            <w:tcBorders>
              <w:top w:val="single" w:sz="4" w:space="0" w:color="auto"/>
              <w:left w:val="nil"/>
              <w:bottom w:val="single" w:sz="4" w:space="0" w:color="auto"/>
              <w:right w:val="single" w:sz="4" w:space="0" w:color="auto"/>
            </w:tcBorders>
            <w:hideMark/>
          </w:tcPr>
          <w:p w14:paraId="0B4ABBF2" w14:textId="77777777" w:rsidR="00DC5BD7" w:rsidRPr="001A28D2" w:rsidRDefault="00DC5BD7" w:rsidP="00F47317">
            <w:pPr>
              <w:jc w:val="center"/>
              <w:rPr>
                <w:color w:val="000000"/>
                <w:sz w:val="20"/>
                <w:szCs w:val="20"/>
              </w:rPr>
            </w:pPr>
            <w:r w:rsidRPr="001A28D2">
              <w:rPr>
                <w:color w:val="000000"/>
                <w:sz w:val="20"/>
                <w:szCs w:val="20"/>
              </w:rPr>
              <w:t>9</w:t>
            </w:r>
          </w:p>
        </w:tc>
        <w:tc>
          <w:tcPr>
            <w:tcW w:w="992" w:type="dxa"/>
            <w:tcBorders>
              <w:top w:val="single" w:sz="4" w:space="0" w:color="auto"/>
              <w:left w:val="nil"/>
              <w:bottom w:val="single" w:sz="4" w:space="0" w:color="auto"/>
              <w:right w:val="single" w:sz="4" w:space="0" w:color="auto"/>
            </w:tcBorders>
            <w:hideMark/>
          </w:tcPr>
          <w:p w14:paraId="4D18DAC7" w14:textId="77777777" w:rsidR="00DC5BD7" w:rsidRPr="001A28D2" w:rsidRDefault="00DC5BD7" w:rsidP="00F47317">
            <w:pPr>
              <w:jc w:val="center"/>
              <w:rPr>
                <w:color w:val="000000"/>
                <w:sz w:val="20"/>
                <w:szCs w:val="20"/>
              </w:rPr>
            </w:pPr>
            <w:r w:rsidRPr="001A28D2">
              <w:rPr>
                <w:color w:val="000000"/>
                <w:sz w:val="20"/>
                <w:szCs w:val="20"/>
              </w:rPr>
              <w:t>10</w:t>
            </w:r>
          </w:p>
        </w:tc>
      </w:tr>
      <w:tr w:rsidR="00DC5BD7" w:rsidRPr="001A28D2" w14:paraId="26985CC6" w14:textId="77777777" w:rsidTr="00F47317">
        <w:trPr>
          <w:trHeight w:val="255"/>
        </w:trPr>
        <w:tc>
          <w:tcPr>
            <w:tcW w:w="584" w:type="dxa"/>
            <w:tcBorders>
              <w:top w:val="nil"/>
              <w:left w:val="single" w:sz="4" w:space="0" w:color="auto"/>
              <w:bottom w:val="single" w:sz="4" w:space="0" w:color="auto"/>
              <w:right w:val="single" w:sz="4" w:space="0" w:color="auto"/>
            </w:tcBorders>
            <w:hideMark/>
          </w:tcPr>
          <w:p w14:paraId="54732856" w14:textId="77777777" w:rsidR="00DC5BD7" w:rsidRPr="001A28D2" w:rsidRDefault="00DC5BD7" w:rsidP="00F47317">
            <w:pPr>
              <w:jc w:val="both"/>
              <w:rPr>
                <w:b/>
                <w:bCs/>
                <w:color w:val="000000"/>
                <w:sz w:val="20"/>
                <w:szCs w:val="20"/>
              </w:rPr>
            </w:pPr>
            <w:r w:rsidRPr="001A28D2">
              <w:rPr>
                <w:b/>
                <w:bCs/>
                <w:color w:val="000000"/>
                <w:sz w:val="20"/>
                <w:szCs w:val="20"/>
              </w:rPr>
              <w:t>2014</w:t>
            </w:r>
          </w:p>
        </w:tc>
        <w:tc>
          <w:tcPr>
            <w:tcW w:w="1254" w:type="dxa"/>
            <w:tcBorders>
              <w:top w:val="nil"/>
              <w:left w:val="nil"/>
              <w:bottom w:val="single" w:sz="4" w:space="0" w:color="auto"/>
              <w:right w:val="single" w:sz="4" w:space="0" w:color="auto"/>
            </w:tcBorders>
            <w:hideMark/>
          </w:tcPr>
          <w:p w14:paraId="60DF4C1F" w14:textId="77777777" w:rsidR="00DC5BD7" w:rsidRPr="001A28D2" w:rsidRDefault="00DC5BD7" w:rsidP="00F47317">
            <w:pPr>
              <w:jc w:val="right"/>
              <w:rPr>
                <w:color w:val="000000"/>
                <w:sz w:val="20"/>
                <w:szCs w:val="20"/>
              </w:rPr>
            </w:pPr>
            <w:r w:rsidRPr="001A28D2">
              <w:rPr>
                <w:color w:val="000000"/>
                <w:sz w:val="20"/>
                <w:szCs w:val="20"/>
              </w:rPr>
              <w:t>17 698 294,0</w:t>
            </w:r>
          </w:p>
        </w:tc>
        <w:tc>
          <w:tcPr>
            <w:tcW w:w="1276" w:type="dxa"/>
            <w:tcBorders>
              <w:top w:val="nil"/>
              <w:left w:val="nil"/>
              <w:bottom w:val="single" w:sz="4" w:space="0" w:color="auto"/>
              <w:right w:val="single" w:sz="4" w:space="0" w:color="auto"/>
            </w:tcBorders>
            <w:hideMark/>
          </w:tcPr>
          <w:p w14:paraId="71783C24" w14:textId="77777777" w:rsidR="00DC5BD7" w:rsidRPr="001A28D2" w:rsidRDefault="00DC5BD7" w:rsidP="00F47317">
            <w:pPr>
              <w:jc w:val="right"/>
              <w:rPr>
                <w:color w:val="000000"/>
                <w:sz w:val="20"/>
                <w:szCs w:val="20"/>
              </w:rPr>
            </w:pPr>
            <w:r w:rsidRPr="001A28D2">
              <w:rPr>
                <w:color w:val="000000"/>
                <w:sz w:val="20"/>
                <w:szCs w:val="20"/>
              </w:rPr>
              <w:t>15 860 342,0</w:t>
            </w:r>
          </w:p>
        </w:tc>
        <w:tc>
          <w:tcPr>
            <w:tcW w:w="1243" w:type="dxa"/>
            <w:tcBorders>
              <w:top w:val="nil"/>
              <w:left w:val="nil"/>
              <w:bottom w:val="single" w:sz="4" w:space="0" w:color="auto"/>
              <w:right w:val="single" w:sz="4" w:space="0" w:color="auto"/>
            </w:tcBorders>
            <w:hideMark/>
          </w:tcPr>
          <w:p w14:paraId="2CA82D16" w14:textId="77777777" w:rsidR="00DC5BD7" w:rsidRPr="001A28D2" w:rsidRDefault="00DC5BD7" w:rsidP="00F47317">
            <w:pPr>
              <w:jc w:val="right"/>
              <w:rPr>
                <w:color w:val="000000"/>
                <w:sz w:val="20"/>
                <w:szCs w:val="20"/>
              </w:rPr>
            </w:pPr>
            <w:r w:rsidRPr="001A28D2">
              <w:rPr>
                <w:color w:val="000000"/>
                <w:sz w:val="20"/>
                <w:szCs w:val="20"/>
              </w:rPr>
              <w:t>1 816 736,4</w:t>
            </w:r>
          </w:p>
        </w:tc>
        <w:tc>
          <w:tcPr>
            <w:tcW w:w="1167" w:type="dxa"/>
            <w:tcBorders>
              <w:top w:val="nil"/>
              <w:left w:val="nil"/>
              <w:bottom w:val="single" w:sz="4" w:space="0" w:color="auto"/>
              <w:right w:val="single" w:sz="4" w:space="0" w:color="auto"/>
            </w:tcBorders>
            <w:shd w:val="clear" w:color="auto" w:fill="FFFFFF"/>
            <w:hideMark/>
          </w:tcPr>
          <w:p w14:paraId="4AD67025" w14:textId="77777777" w:rsidR="00DC5BD7" w:rsidRPr="001A28D2" w:rsidRDefault="00DC5BD7" w:rsidP="00F47317">
            <w:pPr>
              <w:jc w:val="right"/>
              <w:rPr>
                <w:color w:val="000000"/>
                <w:sz w:val="20"/>
                <w:szCs w:val="20"/>
              </w:rPr>
            </w:pPr>
            <w:r w:rsidRPr="001A28D2">
              <w:rPr>
                <w:color w:val="000000"/>
                <w:sz w:val="20"/>
                <w:szCs w:val="20"/>
              </w:rPr>
              <w:t>980 562,0</w:t>
            </w:r>
          </w:p>
        </w:tc>
        <w:tc>
          <w:tcPr>
            <w:tcW w:w="856" w:type="dxa"/>
            <w:tcBorders>
              <w:top w:val="nil"/>
              <w:left w:val="nil"/>
              <w:bottom w:val="single" w:sz="4" w:space="0" w:color="auto"/>
              <w:right w:val="single" w:sz="4" w:space="0" w:color="auto"/>
            </w:tcBorders>
            <w:hideMark/>
          </w:tcPr>
          <w:p w14:paraId="1F991C67" w14:textId="77777777" w:rsidR="00DC5BD7" w:rsidRPr="001A28D2" w:rsidRDefault="00DC5BD7" w:rsidP="00F47317">
            <w:pPr>
              <w:jc w:val="right"/>
              <w:rPr>
                <w:color w:val="000000"/>
                <w:sz w:val="20"/>
                <w:szCs w:val="20"/>
              </w:rPr>
            </w:pPr>
            <w:r w:rsidRPr="001A28D2">
              <w:rPr>
                <w:color w:val="000000"/>
                <w:sz w:val="20"/>
                <w:szCs w:val="20"/>
              </w:rPr>
              <w:t>5,</w:t>
            </w:r>
            <w:proofErr w:type="spellStart"/>
            <w:r w:rsidRPr="001A28D2">
              <w:rPr>
                <w:color w:val="000000"/>
                <w:sz w:val="20"/>
                <w:szCs w:val="20"/>
              </w:rPr>
              <w:t>5</w:t>
            </w:r>
            <w:proofErr w:type="spellEnd"/>
          </w:p>
        </w:tc>
        <w:tc>
          <w:tcPr>
            <w:tcW w:w="850" w:type="dxa"/>
            <w:tcBorders>
              <w:top w:val="nil"/>
              <w:left w:val="nil"/>
              <w:bottom w:val="single" w:sz="4" w:space="0" w:color="auto"/>
              <w:right w:val="single" w:sz="4" w:space="0" w:color="auto"/>
            </w:tcBorders>
            <w:hideMark/>
          </w:tcPr>
          <w:p w14:paraId="4FE3508B" w14:textId="77777777" w:rsidR="00DC5BD7" w:rsidRPr="001A28D2" w:rsidRDefault="00DC5BD7" w:rsidP="00F47317">
            <w:pPr>
              <w:jc w:val="right"/>
              <w:rPr>
                <w:color w:val="000000"/>
                <w:sz w:val="20"/>
                <w:szCs w:val="20"/>
              </w:rPr>
            </w:pPr>
            <w:r w:rsidRPr="001A28D2">
              <w:rPr>
                <w:color w:val="000000"/>
                <w:sz w:val="20"/>
                <w:szCs w:val="20"/>
              </w:rPr>
              <w:t>54,0</w:t>
            </w:r>
          </w:p>
        </w:tc>
        <w:tc>
          <w:tcPr>
            <w:tcW w:w="851" w:type="dxa"/>
            <w:tcBorders>
              <w:top w:val="nil"/>
              <w:left w:val="nil"/>
              <w:bottom w:val="single" w:sz="4" w:space="0" w:color="auto"/>
              <w:right w:val="single" w:sz="4" w:space="0" w:color="auto"/>
            </w:tcBorders>
            <w:hideMark/>
          </w:tcPr>
          <w:p w14:paraId="5E95B604" w14:textId="77777777" w:rsidR="00DC5BD7" w:rsidRPr="001A28D2" w:rsidRDefault="00DC5BD7" w:rsidP="00F47317">
            <w:pPr>
              <w:jc w:val="right"/>
              <w:rPr>
                <w:color w:val="000000"/>
                <w:sz w:val="20"/>
                <w:szCs w:val="20"/>
              </w:rPr>
            </w:pPr>
            <w:r w:rsidRPr="001A28D2">
              <w:rPr>
                <w:color w:val="000000"/>
                <w:sz w:val="20"/>
                <w:szCs w:val="20"/>
              </w:rPr>
              <w:t>11,5</w:t>
            </w:r>
          </w:p>
        </w:tc>
        <w:tc>
          <w:tcPr>
            <w:tcW w:w="992" w:type="dxa"/>
            <w:tcBorders>
              <w:top w:val="nil"/>
              <w:left w:val="nil"/>
              <w:bottom w:val="single" w:sz="4" w:space="0" w:color="auto"/>
              <w:right w:val="single" w:sz="4" w:space="0" w:color="auto"/>
            </w:tcBorders>
            <w:hideMark/>
          </w:tcPr>
          <w:p w14:paraId="3074A945" w14:textId="77777777" w:rsidR="00DC5BD7" w:rsidRPr="001A28D2" w:rsidRDefault="00DC5BD7" w:rsidP="00F47317">
            <w:pPr>
              <w:jc w:val="right"/>
              <w:rPr>
                <w:color w:val="000000"/>
                <w:sz w:val="20"/>
                <w:szCs w:val="20"/>
              </w:rPr>
            </w:pPr>
            <w:r w:rsidRPr="001A28D2">
              <w:rPr>
                <w:color w:val="000000"/>
                <w:sz w:val="20"/>
                <w:szCs w:val="20"/>
              </w:rPr>
              <w:t>89,6</w:t>
            </w:r>
          </w:p>
        </w:tc>
        <w:tc>
          <w:tcPr>
            <w:tcW w:w="992" w:type="dxa"/>
            <w:tcBorders>
              <w:top w:val="nil"/>
              <w:left w:val="nil"/>
              <w:bottom w:val="single" w:sz="4" w:space="0" w:color="auto"/>
              <w:right w:val="single" w:sz="4" w:space="0" w:color="auto"/>
            </w:tcBorders>
            <w:hideMark/>
          </w:tcPr>
          <w:p w14:paraId="068E928A" w14:textId="77777777" w:rsidR="00DC5BD7" w:rsidRPr="001A28D2" w:rsidRDefault="00DC5BD7" w:rsidP="00F47317">
            <w:pPr>
              <w:jc w:val="right"/>
              <w:rPr>
                <w:color w:val="000000"/>
                <w:sz w:val="20"/>
                <w:szCs w:val="20"/>
              </w:rPr>
            </w:pPr>
            <w:r w:rsidRPr="001A28D2">
              <w:rPr>
                <w:color w:val="000000"/>
                <w:sz w:val="20"/>
                <w:szCs w:val="20"/>
              </w:rPr>
              <w:t>10,3</w:t>
            </w:r>
          </w:p>
        </w:tc>
      </w:tr>
      <w:tr w:rsidR="00DC5BD7" w:rsidRPr="001A28D2" w14:paraId="03DED015" w14:textId="77777777" w:rsidTr="00F47317">
        <w:trPr>
          <w:trHeight w:val="255"/>
        </w:trPr>
        <w:tc>
          <w:tcPr>
            <w:tcW w:w="584" w:type="dxa"/>
            <w:tcBorders>
              <w:top w:val="nil"/>
              <w:left w:val="single" w:sz="4" w:space="0" w:color="auto"/>
              <w:bottom w:val="single" w:sz="4" w:space="0" w:color="auto"/>
              <w:right w:val="single" w:sz="4" w:space="0" w:color="auto"/>
            </w:tcBorders>
            <w:hideMark/>
          </w:tcPr>
          <w:p w14:paraId="3E2BEAF3" w14:textId="77777777" w:rsidR="00DC5BD7" w:rsidRPr="001A28D2" w:rsidRDefault="00DC5BD7" w:rsidP="00F47317">
            <w:pPr>
              <w:jc w:val="both"/>
              <w:rPr>
                <w:b/>
                <w:bCs/>
                <w:color w:val="000000"/>
                <w:sz w:val="20"/>
                <w:szCs w:val="20"/>
              </w:rPr>
            </w:pPr>
            <w:r w:rsidRPr="001A28D2">
              <w:rPr>
                <w:b/>
                <w:bCs/>
                <w:color w:val="000000"/>
                <w:sz w:val="20"/>
                <w:szCs w:val="20"/>
              </w:rPr>
              <w:t>2015</w:t>
            </w:r>
          </w:p>
        </w:tc>
        <w:tc>
          <w:tcPr>
            <w:tcW w:w="1254" w:type="dxa"/>
            <w:tcBorders>
              <w:top w:val="nil"/>
              <w:left w:val="nil"/>
              <w:bottom w:val="single" w:sz="4" w:space="0" w:color="auto"/>
              <w:right w:val="single" w:sz="4" w:space="0" w:color="auto"/>
            </w:tcBorders>
            <w:hideMark/>
          </w:tcPr>
          <w:p w14:paraId="35E15002" w14:textId="77777777" w:rsidR="00DC5BD7" w:rsidRPr="001A28D2" w:rsidRDefault="00DC5BD7" w:rsidP="00F47317">
            <w:pPr>
              <w:jc w:val="right"/>
              <w:rPr>
                <w:color w:val="000000"/>
                <w:sz w:val="20"/>
                <w:szCs w:val="20"/>
              </w:rPr>
            </w:pPr>
            <w:r w:rsidRPr="001A28D2">
              <w:rPr>
                <w:color w:val="000000"/>
                <w:sz w:val="20"/>
                <w:szCs w:val="20"/>
              </w:rPr>
              <w:t>18 921 459,1</w:t>
            </w:r>
          </w:p>
        </w:tc>
        <w:tc>
          <w:tcPr>
            <w:tcW w:w="1276" w:type="dxa"/>
            <w:tcBorders>
              <w:top w:val="nil"/>
              <w:left w:val="nil"/>
              <w:bottom w:val="single" w:sz="4" w:space="0" w:color="auto"/>
              <w:right w:val="single" w:sz="4" w:space="0" w:color="auto"/>
            </w:tcBorders>
            <w:hideMark/>
          </w:tcPr>
          <w:p w14:paraId="1FC72D80" w14:textId="77777777" w:rsidR="00DC5BD7" w:rsidRPr="001A28D2" w:rsidRDefault="00DC5BD7" w:rsidP="00F47317">
            <w:pPr>
              <w:jc w:val="right"/>
              <w:rPr>
                <w:color w:val="000000"/>
                <w:sz w:val="20"/>
                <w:szCs w:val="20"/>
              </w:rPr>
            </w:pPr>
            <w:r w:rsidRPr="001A28D2">
              <w:rPr>
                <w:color w:val="000000"/>
                <w:sz w:val="20"/>
                <w:szCs w:val="20"/>
              </w:rPr>
              <w:t>17 151 498,7</w:t>
            </w:r>
          </w:p>
        </w:tc>
        <w:tc>
          <w:tcPr>
            <w:tcW w:w="1243" w:type="dxa"/>
            <w:tcBorders>
              <w:top w:val="nil"/>
              <w:left w:val="nil"/>
              <w:bottom w:val="single" w:sz="4" w:space="0" w:color="auto"/>
              <w:right w:val="single" w:sz="4" w:space="0" w:color="auto"/>
            </w:tcBorders>
            <w:hideMark/>
          </w:tcPr>
          <w:p w14:paraId="372959FF" w14:textId="77777777" w:rsidR="00DC5BD7" w:rsidRPr="001A28D2" w:rsidRDefault="00DC5BD7" w:rsidP="00F47317">
            <w:pPr>
              <w:jc w:val="right"/>
              <w:rPr>
                <w:color w:val="000000"/>
                <w:sz w:val="20"/>
                <w:szCs w:val="20"/>
              </w:rPr>
            </w:pPr>
            <w:r w:rsidRPr="001A28D2">
              <w:rPr>
                <w:color w:val="000000"/>
                <w:sz w:val="20"/>
                <w:szCs w:val="20"/>
              </w:rPr>
              <w:t>1 757 681,0</w:t>
            </w:r>
          </w:p>
        </w:tc>
        <w:tc>
          <w:tcPr>
            <w:tcW w:w="1167" w:type="dxa"/>
            <w:tcBorders>
              <w:top w:val="nil"/>
              <w:left w:val="nil"/>
              <w:bottom w:val="single" w:sz="4" w:space="0" w:color="auto"/>
              <w:right w:val="single" w:sz="4" w:space="0" w:color="auto"/>
            </w:tcBorders>
            <w:shd w:val="clear" w:color="auto" w:fill="FFFFFF"/>
            <w:hideMark/>
          </w:tcPr>
          <w:p w14:paraId="486E64F3" w14:textId="6CDC2239" w:rsidR="00DC5BD7" w:rsidRPr="001A28D2" w:rsidRDefault="00DC5BD7" w:rsidP="00CA7132">
            <w:pPr>
              <w:jc w:val="right"/>
              <w:rPr>
                <w:color w:val="000000"/>
                <w:sz w:val="20"/>
                <w:szCs w:val="20"/>
              </w:rPr>
            </w:pPr>
            <w:r w:rsidRPr="001A28D2">
              <w:rPr>
                <w:color w:val="000000"/>
                <w:sz w:val="20"/>
                <w:szCs w:val="20"/>
              </w:rPr>
              <w:t>847 105,</w:t>
            </w:r>
            <w:r w:rsidR="00CA7132" w:rsidRPr="001A28D2">
              <w:rPr>
                <w:color w:val="000000"/>
                <w:sz w:val="20"/>
                <w:szCs w:val="20"/>
              </w:rPr>
              <w:t>6</w:t>
            </w:r>
          </w:p>
        </w:tc>
        <w:tc>
          <w:tcPr>
            <w:tcW w:w="856" w:type="dxa"/>
            <w:tcBorders>
              <w:top w:val="nil"/>
              <w:left w:val="nil"/>
              <w:bottom w:val="single" w:sz="4" w:space="0" w:color="auto"/>
              <w:right w:val="single" w:sz="4" w:space="0" w:color="auto"/>
            </w:tcBorders>
            <w:hideMark/>
          </w:tcPr>
          <w:p w14:paraId="4E23ABE6" w14:textId="77777777" w:rsidR="00DC5BD7" w:rsidRPr="001A28D2" w:rsidRDefault="00DC5BD7" w:rsidP="00F47317">
            <w:pPr>
              <w:jc w:val="right"/>
              <w:rPr>
                <w:color w:val="000000"/>
                <w:sz w:val="20"/>
                <w:szCs w:val="20"/>
              </w:rPr>
            </w:pPr>
            <w:r w:rsidRPr="001A28D2">
              <w:rPr>
                <w:color w:val="000000"/>
                <w:sz w:val="20"/>
                <w:szCs w:val="20"/>
              </w:rPr>
              <w:t>4,5</w:t>
            </w:r>
          </w:p>
        </w:tc>
        <w:tc>
          <w:tcPr>
            <w:tcW w:w="850" w:type="dxa"/>
            <w:tcBorders>
              <w:top w:val="nil"/>
              <w:left w:val="nil"/>
              <w:bottom w:val="single" w:sz="4" w:space="0" w:color="auto"/>
              <w:right w:val="single" w:sz="4" w:space="0" w:color="auto"/>
            </w:tcBorders>
            <w:hideMark/>
          </w:tcPr>
          <w:p w14:paraId="4986666E" w14:textId="77777777" w:rsidR="00DC5BD7" w:rsidRPr="001A28D2" w:rsidRDefault="00DC5BD7" w:rsidP="00F47317">
            <w:pPr>
              <w:jc w:val="right"/>
              <w:rPr>
                <w:color w:val="000000"/>
                <w:sz w:val="20"/>
                <w:szCs w:val="20"/>
              </w:rPr>
            </w:pPr>
            <w:r w:rsidRPr="001A28D2">
              <w:rPr>
                <w:color w:val="000000"/>
                <w:sz w:val="20"/>
                <w:szCs w:val="20"/>
              </w:rPr>
              <w:t>48,2</w:t>
            </w:r>
          </w:p>
        </w:tc>
        <w:tc>
          <w:tcPr>
            <w:tcW w:w="851" w:type="dxa"/>
            <w:tcBorders>
              <w:top w:val="nil"/>
              <w:left w:val="nil"/>
              <w:bottom w:val="single" w:sz="4" w:space="0" w:color="auto"/>
              <w:right w:val="single" w:sz="4" w:space="0" w:color="auto"/>
            </w:tcBorders>
            <w:hideMark/>
          </w:tcPr>
          <w:p w14:paraId="44145590" w14:textId="77777777" w:rsidR="00DC5BD7" w:rsidRPr="001A28D2" w:rsidRDefault="00DC5BD7" w:rsidP="00F47317">
            <w:pPr>
              <w:jc w:val="right"/>
              <w:rPr>
                <w:color w:val="000000"/>
                <w:sz w:val="20"/>
                <w:szCs w:val="20"/>
              </w:rPr>
            </w:pPr>
            <w:r w:rsidRPr="001A28D2">
              <w:rPr>
                <w:color w:val="000000"/>
                <w:sz w:val="20"/>
                <w:szCs w:val="20"/>
              </w:rPr>
              <w:t>10,2</w:t>
            </w:r>
          </w:p>
        </w:tc>
        <w:tc>
          <w:tcPr>
            <w:tcW w:w="992" w:type="dxa"/>
            <w:tcBorders>
              <w:top w:val="nil"/>
              <w:left w:val="nil"/>
              <w:bottom w:val="single" w:sz="4" w:space="0" w:color="auto"/>
              <w:right w:val="single" w:sz="4" w:space="0" w:color="auto"/>
            </w:tcBorders>
            <w:hideMark/>
          </w:tcPr>
          <w:p w14:paraId="5B2359B7" w14:textId="77777777" w:rsidR="00DC5BD7" w:rsidRPr="001A28D2" w:rsidRDefault="00DC5BD7" w:rsidP="00F47317">
            <w:pPr>
              <w:jc w:val="right"/>
              <w:rPr>
                <w:color w:val="000000"/>
                <w:sz w:val="20"/>
                <w:szCs w:val="20"/>
              </w:rPr>
            </w:pPr>
            <w:r w:rsidRPr="001A28D2">
              <w:rPr>
                <w:color w:val="000000"/>
                <w:sz w:val="20"/>
                <w:szCs w:val="20"/>
              </w:rPr>
              <w:t>90,6</w:t>
            </w:r>
          </w:p>
        </w:tc>
        <w:tc>
          <w:tcPr>
            <w:tcW w:w="992" w:type="dxa"/>
            <w:tcBorders>
              <w:top w:val="nil"/>
              <w:left w:val="nil"/>
              <w:bottom w:val="single" w:sz="4" w:space="0" w:color="auto"/>
              <w:right w:val="single" w:sz="4" w:space="0" w:color="auto"/>
            </w:tcBorders>
            <w:hideMark/>
          </w:tcPr>
          <w:p w14:paraId="7635AA9A" w14:textId="77777777" w:rsidR="00DC5BD7" w:rsidRPr="001A28D2" w:rsidRDefault="00DC5BD7" w:rsidP="00F47317">
            <w:pPr>
              <w:jc w:val="right"/>
              <w:rPr>
                <w:color w:val="000000"/>
                <w:sz w:val="20"/>
                <w:szCs w:val="20"/>
              </w:rPr>
            </w:pPr>
            <w:r w:rsidRPr="001A28D2">
              <w:rPr>
                <w:color w:val="000000"/>
                <w:sz w:val="20"/>
                <w:szCs w:val="20"/>
              </w:rPr>
              <w:t>9,3</w:t>
            </w:r>
          </w:p>
        </w:tc>
      </w:tr>
      <w:tr w:rsidR="00DC5BD7" w:rsidRPr="001A28D2" w14:paraId="2F2B9EE5" w14:textId="77777777" w:rsidTr="00F47317">
        <w:trPr>
          <w:trHeight w:val="255"/>
        </w:trPr>
        <w:tc>
          <w:tcPr>
            <w:tcW w:w="584" w:type="dxa"/>
            <w:tcBorders>
              <w:top w:val="nil"/>
              <w:left w:val="single" w:sz="4" w:space="0" w:color="auto"/>
              <w:bottom w:val="single" w:sz="4" w:space="0" w:color="auto"/>
              <w:right w:val="single" w:sz="4" w:space="0" w:color="auto"/>
            </w:tcBorders>
            <w:hideMark/>
          </w:tcPr>
          <w:p w14:paraId="15E16C1B" w14:textId="77777777" w:rsidR="00DC5BD7" w:rsidRPr="001A28D2" w:rsidRDefault="00DC5BD7" w:rsidP="00F47317">
            <w:pPr>
              <w:jc w:val="both"/>
              <w:rPr>
                <w:b/>
                <w:bCs/>
                <w:color w:val="000000"/>
                <w:sz w:val="20"/>
                <w:szCs w:val="20"/>
              </w:rPr>
            </w:pPr>
            <w:r w:rsidRPr="001A28D2">
              <w:rPr>
                <w:b/>
                <w:bCs/>
                <w:color w:val="000000"/>
                <w:sz w:val="20"/>
                <w:szCs w:val="20"/>
              </w:rPr>
              <w:t>2016</w:t>
            </w:r>
          </w:p>
        </w:tc>
        <w:tc>
          <w:tcPr>
            <w:tcW w:w="1254" w:type="dxa"/>
            <w:tcBorders>
              <w:top w:val="nil"/>
              <w:left w:val="nil"/>
              <w:bottom w:val="single" w:sz="4" w:space="0" w:color="auto"/>
              <w:right w:val="single" w:sz="4" w:space="0" w:color="auto"/>
            </w:tcBorders>
            <w:hideMark/>
          </w:tcPr>
          <w:p w14:paraId="03FCFD50" w14:textId="77777777" w:rsidR="00DC5BD7" w:rsidRPr="001A28D2" w:rsidRDefault="00DC5BD7" w:rsidP="00F47317">
            <w:pPr>
              <w:jc w:val="right"/>
              <w:rPr>
                <w:color w:val="000000"/>
                <w:sz w:val="20"/>
                <w:szCs w:val="20"/>
              </w:rPr>
            </w:pPr>
            <w:r w:rsidRPr="001A28D2">
              <w:rPr>
                <w:color w:val="000000"/>
                <w:sz w:val="20"/>
                <w:szCs w:val="20"/>
              </w:rPr>
              <w:t>20 688 341,0</w:t>
            </w:r>
          </w:p>
        </w:tc>
        <w:tc>
          <w:tcPr>
            <w:tcW w:w="1276" w:type="dxa"/>
            <w:tcBorders>
              <w:top w:val="nil"/>
              <w:left w:val="nil"/>
              <w:bottom w:val="single" w:sz="4" w:space="0" w:color="auto"/>
              <w:right w:val="single" w:sz="4" w:space="0" w:color="auto"/>
            </w:tcBorders>
            <w:hideMark/>
          </w:tcPr>
          <w:p w14:paraId="1B8E8DB4" w14:textId="77777777" w:rsidR="00DC5BD7" w:rsidRPr="001A28D2" w:rsidRDefault="00DC5BD7" w:rsidP="00F47317">
            <w:pPr>
              <w:jc w:val="right"/>
              <w:rPr>
                <w:color w:val="000000"/>
                <w:sz w:val="20"/>
                <w:szCs w:val="20"/>
              </w:rPr>
            </w:pPr>
            <w:r w:rsidRPr="001A28D2">
              <w:rPr>
                <w:color w:val="000000"/>
                <w:sz w:val="20"/>
                <w:szCs w:val="20"/>
              </w:rPr>
              <w:t>18 709 360,6</w:t>
            </w:r>
          </w:p>
        </w:tc>
        <w:tc>
          <w:tcPr>
            <w:tcW w:w="1243" w:type="dxa"/>
            <w:tcBorders>
              <w:top w:val="nil"/>
              <w:left w:val="nil"/>
              <w:bottom w:val="single" w:sz="4" w:space="0" w:color="auto"/>
              <w:right w:val="single" w:sz="4" w:space="0" w:color="auto"/>
            </w:tcBorders>
            <w:hideMark/>
          </w:tcPr>
          <w:p w14:paraId="46DEE93D" w14:textId="77777777" w:rsidR="00DC5BD7" w:rsidRPr="001A28D2" w:rsidRDefault="00DC5BD7" w:rsidP="00F47317">
            <w:pPr>
              <w:jc w:val="right"/>
              <w:rPr>
                <w:color w:val="000000"/>
                <w:sz w:val="20"/>
                <w:szCs w:val="20"/>
              </w:rPr>
            </w:pPr>
            <w:r w:rsidRPr="001A28D2">
              <w:rPr>
                <w:color w:val="000000"/>
                <w:sz w:val="20"/>
                <w:szCs w:val="20"/>
              </w:rPr>
              <w:t>1 972 123,9</w:t>
            </w:r>
          </w:p>
        </w:tc>
        <w:tc>
          <w:tcPr>
            <w:tcW w:w="1167" w:type="dxa"/>
            <w:tcBorders>
              <w:top w:val="nil"/>
              <w:left w:val="nil"/>
              <w:bottom w:val="single" w:sz="4" w:space="0" w:color="auto"/>
              <w:right w:val="single" w:sz="4" w:space="0" w:color="auto"/>
            </w:tcBorders>
            <w:shd w:val="clear" w:color="auto" w:fill="FFFFFF"/>
            <w:hideMark/>
          </w:tcPr>
          <w:p w14:paraId="70A6A17F" w14:textId="77777777" w:rsidR="00DC5BD7" w:rsidRPr="001A28D2" w:rsidRDefault="00DC5BD7" w:rsidP="00F47317">
            <w:pPr>
              <w:jc w:val="right"/>
              <w:rPr>
                <w:color w:val="000000"/>
                <w:sz w:val="20"/>
                <w:szCs w:val="20"/>
              </w:rPr>
            </w:pPr>
            <w:r w:rsidRPr="001A28D2">
              <w:rPr>
                <w:color w:val="000000"/>
                <w:sz w:val="20"/>
                <w:szCs w:val="20"/>
              </w:rPr>
              <w:t>1 064 987,8</w:t>
            </w:r>
          </w:p>
        </w:tc>
        <w:tc>
          <w:tcPr>
            <w:tcW w:w="856" w:type="dxa"/>
            <w:tcBorders>
              <w:top w:val="nil"/>
              <w:left w:val="nil"/>
              <w:bottom w:val="single" w:sz="4" w:space="0" w:color="auto"/>
              <w:right w:val="single" w:sz="4" w:space="0" w:color="auto"/>
            </w:tcBorders>
            <w:hideMark/>
          </w:tcPr>
          <w:p w14:paraId="438E8B42" w14:textId="77777777" w:rsidR="00DC5BD7" w:rsidRPr="001A28D2" w:rsidRDefault="00DC5BD7" w:rsidP="00F47317">
            <w:pPr>
              <w:jc w:val="right"/>
              <w:rPr>
                <w:color w:val="000000"/>
                <w:sz w:val="20"/>
                <w:szCs w:val="20"/>
              </w:rPr>
            </w:pPr>
            <w:r w:rsidRPr="001A28D2">
              <w:rPr>
                <w:color w:val="000000"/>
                <w:sz w:val="20"/>
                <w:szCs w:val="20"/>
              </w:rPr>
              <w:t>5,1</w:t>
            </w:r>
          </w:p>
        </w:tc>
        <w:tc>
          <w:tcPr>
            <w:tcW w:w="850" w:type="dxa"/>
            <w:tcBorders>
              <w:top w:val="nil"/>
              <w:left w:val="nil"/>
              <w:bottom w:val="single" w:sz="4" w:space="0" w:color="auto"/>
              <w:right w:val="single" w:sz="4" w:space="0" w:color="auto"/>
            </w:tcBorders>
            <w:hideMark/>
          </w:tcPr>
          <w:p w14:paraId="4E814236" w14:textId="77777777" w:rsidR="00DC5BD7" w:rsidRPr="001A28D2" w:rsidRDefault="00DC5BD7" w:rsidP="00F47317">
            <w:pPr>
              <w:jc w:val="right"/>
              <w:rPr>
                <w:color w:val="000000"/>
                <w:sz w:val="20"/>
                <w:szCs w:val="20"/>
              </w:rPr>
            </w:pPr>
            <w:r w:rsidRPr="001A28D2">
              <w:rPr>
                <w:color w:val="000000"/>
                <w:sz w:val="20"/>
                <w:szCs w:val="20"/>
              </w:rPr>
              <w:t>54,0</w:t>
            </w:r>
          </w:p>
        </w:tc>
        <w:tc>
          <w:tcPr>
            <w:tcW w:w="851" w:type="dxa"/>
            <w:tcBorders>
              <w:top w:val="nil"/>
              <w:left w:val="nil"/>
              <w:bottom w:val="single" w:sz="4" w:space="0" w:color="auto"/>
              <w:right w:val="single" w:sz="4" w:space="0" w:color="auto"/>
            </w:tcBorders>
            <w:hideMark/>
          </w:tcPr>
          <w:p w14:paraId="4FD5E649" w14:textId="77777777" w:rsidR="00DC5BD7" w:rsidRPr="001A28D2" w:rsidRDefault="00DC5BD7" w:rsidP="00F47317">
            <w:pPr>
              <w:jc w:val="right"/>
              <w:rPr>
                <w:color w:val="000000"/>
                <w:sz w:val="20"/>
                <w:szCs w:val="20"/>
              </w:rPr>
            </w:pPr>
            <w:r w:rsidRPr="001A28D2">
              <w:rPr>
                <w:color w:val="000000"/>
                <w:sz w:val="20"/>
                <w:szCs w:val="20"/>
              </w:rPr>
              <w:t>10,5</w:t>
            </w:r>
          </w:p>
        </w:tc>
        <w:tc>
          <w:tcPr>
            <w:tcW w:w="992" w:type="dxa"/>
            <w:tcBorders>
              <w:top w:val="nil"/>
              <w:left w:val="nil"/>
              <w:bottom w:val="single" w:sz="4" w:space="0" w:color="auto"/>
              <w:right w:val="single" w:sz="4" w:space="0" w:color="auto"/>
            </w:tcBorders>
            <w:hideMark/>
          </w:tcPr>
          <w:p w14:paraId="5BF06219" w14:textId="77777777" w:rsidR="00DC5BD7" w:rsidRPr="001A28D2" w:rsidRDefault="00DC5BD7" w:rsidP="00F47317">
            <w:pPr>
              <w:jc w:val="right"/>
              <w:rPr>
                <w:color w:val="000000"/>
                <w:sz w:val="20"/>
                <w:szCs w:val="20"/>
              </w:rPr>
            </w:pPr>
            <w:r w:rsidRPr="001A28D2">
              <w:rPr>
                <w:color w:val="000000"/>
                <w:sz w:val="20"/>
                <w:szCs w:val="20"/>
              </w:rPr>
              <w:t>90,4</w:t>
            </w:r>
          </w:p>
        </w:tc>
        <w:tc>
          <w:tcPr>
            <w:tcW w:w="992" w:type="dxa"/>
            <w:tcBorders>
              <w:top w:val="nil"/>
              <w:left w:val="nil"/>
              <w:bottom w:val="single" w:sz="4" w:space="0" w:color="auto"/>
              <w:right w:val="single" w:sz="4" w:space="0" w:color="auto"/>
            </w:tcBorders>
            <w:hideMark/>
          </w:tcPr>
          <w:p w14:paraId="2FF04248" w14:textId="77777777" w:rsidR="00DC5BD7" w:rsidRPr="001A28D2" w:rsidRDefault="00DC5BD7" w:rsidP="00F47317">
            <w:pPr>
              <w:jc w:val="right"/>
              <w:rPr>
                <w:color w:val="000000"/>
                <w:sz w:val="20"/>
                <w:szCs w:val="20"/>
              </w:rPr>
            </w:pPr>
            <w:r w:rsidRPr="001A28D2">
              <w:rPr>
                <w:color w:val="000000"/>
                <w:sz w:val="20"/>
                <w:szCs w:val="20"/>
              </w:rPr>
              <w:t>9,5</w:t>
            </w:r>
          </w:p>
        </w:tc>
      </w:tr>
    </w:tbl>
    <w:p w14:paraId="377B8FC2" w14:textId="77777777" w:rsidR="00DC5BD7" w:rsidRPr="001A28D2" w:rsidRDefault="00DC5BD7" w:rsidP="00DC5BD7">
      <w:pPr>
        <w:ind w:firstLine="1134"/>
        <w:jc w:val="both"/>
        <w:rPr>
          <w:rFonts w:eastAsia="Calibri"/>
          <w:szCs w:val="22"/>
          <w:lang w:eastAsia="en-US"/>
        </w:rPr>
      </w:pPr>
      <w:r w:rsidRPr="001A28D2">
        <w:rPr>
          <w:rFonts w:eastAsia="Calibri"/>
          <w:szCs w:val="22"/>
          <w:lang w:eastAsia="en-US"/>
        </w:rPr>
        <w:fldChar w:fldCharType="end"/>
      </w:r>
    </w:p>
    <w:p w14:paraId="1A46D3C7" w14:textId="0567C443" w:rsidR="00DC5BD7" w:rsidRPr="001A28D2" w:rsidRDefault="00DC5BD7" w:rsidP="007E77CC">
      <w:pPr>
        <w:tabs>
          <w:tab w:val="left" w:pos="1276"/>
        </w:tabs>
        <w:ind w:firstLine="709"/>
        <w:jc w:val="both"/>
        <w:rPr>
          <w:rFonts w:eastAsia="Calibri"/>
          <w:szCs w:val="22"/>
          <w:lang w:eastAsia="en-US"/>
        </w:rPr>
      </w:pPr>
      <w:r w:rsidRPr="001A28D2">
        <w:rPr>
          <w:rFonts w:eastAsia="Calibri"/>
          <w:szCs w:val="22"/>
          <w:lang w:eastAsia="en-US"/>
        </w:rPr>
        <w:t>Държавните такси</w:t>
      </w:r>
      <w:r w:rsidRPr="001A28D2">
        <w:rPr>
          <w:rFonts w:eastAsia="Calibri"/>
          <w:szCs w:val="22"/>
          <w:vertAlign w:val="superscript"/>
          <w:lang w:eastAsia="en-US"/>
        </w:rPr>
        <w:footnoteReference w:id="74"/>
      </w:r>
      <w:r w:rsidRPr="001A28D2">
        <w:rPr>
          <w:rFonts w:eastAsia="Calibri"/>
          <w:szCs w:val="22"/>
          <w:lang w:eastAsia="en-US"/>
        </w:rPr>
        <w:t xml:space="preserve"> са част от неданъчни</w:t>
      </w:r>
      <w:r w:rsidR="00882246" w:rsidRPr="001A28D2">
        <w:rPr>
          <w:rFonts w:eastAsia="Calibri"/>
          <w:szCs w:val="22"/>
          <w:lang w:eastAsia="en-US"/>
        </w:rPr>
        <w:t>те приходи и заемат най-големия</w:t>
      </w:r>
      <w:r w:rsidRPr="001A28D2">
        <w:rPr>
          <w:rFonts w:eastAsia="Calibri"/>
          <w:szCs w:val="22"/>
          <w:lang w:eastAsia="en-US"/>
        </w:rPr>
        <w:t xml:space="preserve"> относителен дял от тях - приблизително половината за последните 3 години.</w:t>
      </w:r>
    </w:p>
    <w:p w14:paraId="2A374C04" w14:textId="37DD9788" w:rsidR="00DC5BD7" w:rsidRPr="001A28D2" w:rsidRDefault="00DC5BD7" w:rsidP="007E77CC">
      <w:pPr>
        <w:tabs>
          <w:tab w:val="left" w:pos="1276"/>
        </w:tabs>
        <w:ind w:firstLine="709"/>
        <w:jc w:val="both"/>
        <w:rPr>
          <w:rFonts w:eastAsia="Calibri"/>
          <w:szCs w:val="22"/>
          <w:lang w:eastAsia="en-US"/>
        </w:rPr>
      </w:pPr>
      <w:r w:rsidRPr="001A28D2">
        <w:rPr>
          <w:rFonts w:eastAsia="Calibri"/>
          <w:szCs w:val="22"/>
          <w:lang w:eastAsia="en-US"/>
        </w:rPr>
        <w:t xml:space="preserve">Събраните общо неданъчни приходи, в т. ч. държавните такси, представляват 1/10 част от данъчните, а относителният им дял спрямо общо акумулираните </w:t>
      </w:r>
      <w:r w:rsidR="00882246" w:rsidRPr="001A28D2">
        <w:rPr>
          <w:rFonts w:eastAsia="Calibri"/>
          <w:szCs w:val="22"/>
          <w:lang w:eastAsia="en-US"/>
        </w:rPr>
        <w:t>п</w:t>
      </w:r>
      <w:r w:rsidRPr="001A28D2">
        <w:rPr>
          <w:rFonts w:eastAsia="Calibri"/>
          <w:szCs w:val="22"/>
          <w:lang w:eastAsia="en-US"/>
        </w:rPr>
        <w:t xml:space="preserve">риходи, помощи </w:t>
      </w:r>
      <w:r w:rsidRPr="001A28D2">
        <w:rPr>
          <w:rFonts w:eastAsia="Calibri"/>
          <w:szCs w:val="22"/>
          <w:lang w:eastAsia="en-US"/>
        </w:rPr>
        <w:lastRenderedPageBreak/>
        <w:t>и дарения</w:t>
      </w:r>
      <w:r w:rsidRPr="001A28D2">
        <w:rPr>
          <w:rFonts w:eastAsia="Calibri"/>
          <w:szCs w:val="22"/>
          <w:vertAlign w:val="superscript"/>
          <w:lang w:eastAsia="en-US"/>
        </w:rPr>
        <w:footnoteReference w:id="75"/>
      </w:r>
      <w:r w:rsidR="00C61991" w:rsidRPr="001A28D2">
        <w:rPr>
          <w:rFonts w:eastAsia="Calibri"/>
          <w:szCs w:val="22"/>
          <w:lang w:eastAsia="en-US"/>
        </w:rPr>
        <w:t xml:space="preserve"> </w:t>
      </w:r>
      <w:r w:rsidRPr="001A28D2">
        <w:rPr>
          <w:rFonts w:eastAsia="Calibri"/>
          <w:szCs w:val="22"/>
          <w:lang w:eastAsia="en-US"/>
        </w:rPr>
        <w:t xml:space="preserve">е 10,3 на сто през 2014 г., 9,3 на сто през 2015 г. и 9,5 на сто през </w:t>
      </w:r>
      <w:proofErr w:type="spellStart"/>
      <w:r w:rsidRPr="001A28D2">
        <w:rPr>
          <w:rFonts w:eastAsia="Calibri"/>
          <w:szCs w:val="22"/>
          <w:lang w:eastAsia="en-US"/>
        </w:rPr>
        <w:t>одитирания</w:t>
      </w:r>
      <w:proofErr w:type="spellEnd"/>
      <w:r w:rsidRPr="001A28D2">
        <w:rPr>
          <w:rFonts w:eastAsia="Calibri"/>
          <w:szCs w:val="22"/>
          <w:lang w:eastAsia="en-US"/>
        </w:rPr>
        <w:t xml:space="preserve"> период.</w:t>
      </w:r>
    </w:p>
    <w:p w14:paraId="266BFD50" w14:textId="77777777" w:rsidR="00DC5BD7" w:rsidRPr="001A28D2" w:rsidRDefault="00DC5BD7" w:rsidP="007E77CC">
      <w:pPr>
        <w:tabs>
          <w:tab w:val="left" w:pos="1276"/>
        </w:tabs>
        <w:ind w:firstLine="709"/>
        <w:jc w:val="both"/>
        <w:rPr>
          <w:rFonts w:eastAsia="Calibri"/>
          <w:szCs w:val="22"/>
          <w:lang w:eastAsia="en-US"/>
        </w:rPr>
      </w:pPr>
      <w:r w:rsidRPr="001A28D2">
        <w:rPr>
          <w:rFonts w:eastAsia="Calibri"/>
          <w:szCs w:val="22"/>
          <w:lang w:eastAsia="en-US"/>
        </w:rPr>
        <w:t>Събраните приходи от съдебни такси</w:t>
      </w:r>
      <w:r w:rsidRPr="001A28D2">
        <w:rPr>
          <w:rFonts w:eastAsia="Calibri"/>
          <w:szCs w:val="22"/>
          <w:vertAlign w:val="superscript"/>
          <w:lang w:eastAsia="en-US"/>
        </w:rPr>
        <w:footnoteReference w:id="76"/>
      </w:r>
      <w:r w:rsidRPr="001A28D2">
        <w:rPr>
          <w:rFonts w:eastAsia="Calibri"/>
          <w:szCs w:val="22"/>
          <w:lang w:eastAsia="en-US"/>
        </w:rPr>
        <w:t xml:space="preserve"> са 97 600,1 хил. лв. или изпълнението е 102 на сто спрямо планираните. </w:t>
      </w:r>
    </w:p>
    <w:p w14:paraId="17E1A0F5" w14:textId="77777777" w:rsidR="00DC5BD7" w:rsidRPr="001A28D2" w:rsidRDefault="00DC5BD7" w:rsidP="007E77CC">
      <w:pPr>
        <w:tabs>
          <w:tab w:val="left" w:pos="1276"/>
        </w:tabs>
        <w:ind w:firstLine="709"/>
        <w:jc w:val="both"/>
        <w:rPr>
          <w:rFonts w:eastAsia="Calibri"/>
          <w:i/>
          <w:szCs w:val="22"/>
          <w:lang w:eastAsia="en-US"/>
        </w:rPr>
      </w:pPr>
    </w:p>
    <w:p w14:paraId="45E8A800" w14:textId="77777777" w:rsidR="00DC5BD7" w:rsidRPr="001A28D2" w:rsidRDefault="00DC5BD7" w:rsidP="007E77CC">
      <w:pPr>
        <w:tabs>
          <w:tab w:val="left" w:pos="1276"/>
        </w:tabs>
        <w:ind w:firstLine="709"/>
        <w:jc w:val="both"/>
        <w:rPr>
          <w:rFonts w:eastAsia="Calibri"/>
          <w:i/>
          <w:szCs w:val="22"/>
          <w:lang w:eastAsia="en-US"/>
        </w:rPr>
      </w:pPr>
      <w:r w:rsidRPr="001A28D2">
        <w:rPr>
          <w:rFonts w:eastAsia="Calibri"/>
          <w:i/>
          <w:szCs w:val="22"/>
          <w:lang w:eastAsia="en-US"/>
        </w:rPr>
        <w:t>Не е установена трайна тенденция на увеличение или намаление на относителния дял на приходите от държавни такси спрямо общите приходи по държавния бюджет за последните три години.</w:t>
      </w:r>
    </w:p>
    <w:p w14:paraId="0981EF68" w14:textId="77777777" w:rsidR="00DC5BD7" w:rsidRPr="001A28D2" w:rsidRDefault="00DC5BD7" w:rsidP="007E77CC">
      <w:pPr>
        <w:tabs>
          <w:tab w:val="left" w:pos="1276"/>
        </w:tabs>
        <w:ind w:left="1134" w:firstLine="709"/>
        <w:contextualSpacing/>
        <w:jc w:val="both"/>
        <w:rPr>
          <w:color w:val="000000"/>
        </w:rPr>
      </w:pPr>
    </w:p>
    <w:p w14:paraId="58CA0F5E" w14:textId="77777777" w:rsidR="00DC5BD7" w:rsidRPr="001A28D2" w:rsidRDefault="00DC5BD7" w:rsidP="007E77CC">
      <w:pPr>
        <w:numPr>
          <w:ilvl w:val="1"/>
          <w:numId w:val="43"/>
        </w:numPr>
        <w:tabs>
          <w:tab w:val="left" w:pos="1276"/>
          <w:tab w:val="left" w:pos="1560"/>
        </w:tabs>
        <w:spacing w:after="160" w:line="256" w:lineRule="auto"/>
        <w:ind w:left="0" w:firstLine="709"/>
        <w:contextualSpacing/>
        <w:jc w:val="both"/>
        <w:rPr>
          <w:rFonts w:ascii="Times New Roman CYR" w:hAnsi="Times New Roman CYR" w:cs="Times New Roman CYR"/>
          <w:bCs/>
        </w:rPr>
      </w:pPr>
      <w:r w:rsidRPr="001A28D2">
        <w:rPr>
          <w:rFonts w:eastAsia="Calibri"/>
          <w:szCs w:val="22"/>
          <w:lang w:eastAsia="en-US"/>
        </w:rPr>
        <w:t>Отчетени разходи по КФП за 2016 г.</w:t>
      </w:r>
    </w:p>
    <w:p w14:paraId="5ABC77E4" w14:textId="7FB86D53" w:rsidR="00DC5BD7" w:rsidRPr="001A28D2" w:rsidRDefault="00DC5BD7" w:rsidP="007E77CC">
      <w:pPr>
        <w:tabs>
          <w:tab w:val="left" w:pos="1276"/>
          <w:tab w:val="left" w:pos="1560"/>
        </w:tabs>
        <w:ind w:firstLine="709"/>
        <w:jc w:val="both"/>
        <w:rPr>
          <w:rFonts w:ascii="Times New Roman CYR" w:hAnsi="Times New Roman CYR" w:cs="Times New Roman CYR"/>
          <w:bCs/>
        </w:rPr>
      </w:pPr>
      <w:r w:rsidRPr="001A28D2">
        <w:rPr>
          <w:rFonts w:eastAsia="Calibri"/>
          <w:szCs w:val="22"/>
          <w:lang w:eastAsia="en-US"/>
        </w:rPr>
        <w:t xml:space="preserve">През </w:t>
      </w:r>
      <w:proofErr w:type="spellStart"/>
      <w:r w:rsidRPr="001A28D2">
        <w:rPr>
          <w:rFonts w:eastAsia="Calibri"/>
          <w:szCs w:val="22"/>
          <w:lang w:eastAsia="en-US"/>
        </w:rPr>
        <w:t>одитирания</w:t>
      </w:r>
      <w:proofErr w:type="spellEnd"/>
      <w:r w:rsidRPr="001A28D2">
        <w:rPr>
          <w:rFonts w:eastAsia="Calibri"/>
          <w:szCs w:val="22"/>
          <w:lang w:eastAsia="en-US"/>
        </w:rPr>
        <w:t xml:space="preserve"> период са отчетени с </w:t>
      </w:r>
      <w:r w:rsidR="00F353FF" w:rsidRPr="001A28D2">
        <w:rPr>
          <w:rFonts w:eastAsia="Calibri"/>
          <w:szCs w:val="22"/>
          <w:lang w:eastAsia="en-US"/>
        </w:rPr>
        <w:t>2 193 408,7</w:t>
      </w:r>
      <w:r w:rsidRPr="001A28D2">
        <w:rPr>
          <w:rFonts w:eastAsia="Calibri"/>
          <w:szCs w:val="22"/>
          <w:lang w:eastAsia="en-US"/>
        </w:rPr>
        <w:t> хил. лв. или 6,3 на сто по-малко разходи</w:t>
      </w:r>
      <w:r w:rsidRPr="001A28D2">
        <w:rPr>
          <w:rFonts w:eastAsia="Calibri"/>
          <w:szCs w:val="22"/>
          <w:vertAlign w:val="superscript"/>
          <w:lang w:eastAsia="en-US"/>
        </w:rPr>
        <w:footnoteReference w:id="77"/>
      </w:r>
      <w:r w:rsidRPr="001A28D2">
        <w:rPr>
          <w:rFonts w:eastAsia="Calibri"/>
          <w:szCs w:val="22"/>
          <w:lang w:eastAsia="en-US"/>
        </w:rPr>
        <w:t xml:space="preserve"> в сравнение с предходната година, или разходите са намалели от 34 684 </w:t>
      </w:r>
      <w:r w:rsidR="003E68A0" w:rsidRPr="001A28D2">
        <w:rPr>
          <w:rFonts w:eastAsia="Calibri"/>
          <w:szCs w:val="22"/>
          <w:lang w:eastAsia="en-US"/>
        </w:rPr>
        <w:t>769</w:t>
      </w:r>
      <w:r w:rsidRPr="001A28D2">
        <w:rPr>
          <w:rFonts w:eastAsia="Calibri"/>
          <w:szCs w:val="22"/>
          <w:lang w:eastAsia="en-US"/>
        </w:rPr>
        <w:t>,</w:t>
      </w:r>
      <w:r w:rsidR="003E68A0" w:rsidRPr="001A28D2">
        <w:rPr>
          <w:rFonts w:eastAsia="Calibri"/>
          <w:szCs w:val="22"/>
          <w:lang w:eastAsia="en-US"/>
        </w:rPr>
        <w:t>8</w:t>
      </w:r>
      <w:r w:rsidRPr="001A28D2">
        <w:rPr>
          <w:rFonts w:eastAsia="Calibri"/>
          <w:szCs w:val="22"/>
          <w:lang w:eastAsia="en-US"/>
        </w:rPr>
        <w:t xml:space="preserve"> хил. лв. през 2015 г. до </w:t>
      </w:r>
      <w:r w:rsidR="00F353FF" w:rsidRPr="001A28D2">
        <w:rPr>
          <w:rFonts w:eastAsia="Calibri"/>
          <w:szCs w:val="22"/>
          <w:lang w:eastAsia="en-US"/>
        </w:rPr>
        <w:t>32 491 361,1</w:t>
      </w:r>
      <w:r w:rsidRPr="001A28D2">
        <w:rPr>
          <w:rFonts w:eastAsia="Calibri"/>
          <w:szCs w:val="22"/>
          <w:lang w:eastAsia="en-US"/>
        </w:rPr>
        <w:t xml:space="preserve"> хил. лв. през 2016 г. Това се дължи най-вече на отчетените по-малко разходи в сравнение с предходната година от централния бюджет с 2,7 на сто, средства от ЕС на подсектори </w:t>
      </w:r>
      <w:r w:rsidR="001C6402" w:rsidRPr="001A28D2">
        <w:rPr>
          <w:rFonts w:eastAsia="Calibri"/>
          <w:szCs w:val="22"/>
          <w:lang w:eastAsia="en-US"/>
        </w:rPr>
        <w:t>„</w:t>
      </w:r>
      <w:r w:rsidRPr="001A28D2">
        <w:rPr>
          <w:rFonts w:eastAsia="Calibri"/>
          <w:szCs w:val="22"/>
          <w:lang w:eastAsia="en-US"/>
        </w:rPr>
        <w:t>Ц</w:t>
      </w:r>
      <w:r w:rsidR="00D31D2D" w:rsidRPr="001A28D2">
        <w:rPr>
          <w:rFonts w:eastAsia="Calibri"/>
          <w:szCs w:val="22"/>
          <w:lang w:eastAsia="en-US"/>
        </w:rPr>
        <w:t>ентрално управление</w:t>
      </w:r>
      <w:r w:rsidR="001C6402" w:rsidRPr="001A28D2">
        <w:rPr>
          <w:rFonts w:eastAsia="Calibri"/>
          <w:szCs w:val="22"/>
          <w:lang w:eastAsia="en-US"/>
        </w:rPr>
        <w:t>“</w:t>
      </w:r>
      <w:r w:rsidRPr="001A28D2">
        <w:rPr>
          <w:rFonts w:eastAsia="Calibri"/>
          <w:szCs w:val="22"/>
          <w:lang w:eastAsia="en-US"/>
        </w:rPr>
        <w:t xml:space="preserve"> и </w:t>
      </w:r>
      <w:r w:rsidR="001C6402" w:rsidRPr="001A28D2">
        <w:rPr>
          <w:rFonts w:eastAsia="Calibri"/>
          <w:szCs w:val="22"/>
          <w:lang w:eastAsia="en-US"/>
        </w:rPr>
        <w:t>„</w:t>
      </w:r>
      <w:proofErr w:type="spellStart"/>
      <w:r w:rsidRPr="001A28D2">
        <w:rPr>
          <w:rFonts w:eastAsia="Calibri"/>
          <w:szCs w:val="22"/>
          <w:lang w:eastAsia="en-US"/>
        </w:rPr>
        <w:t>С</w:t>
      </w:r>
      <w:r w:rsidR="00D31D2D" w:rsidRPr="001A28D2">
        <w:rPr>
          <w:rFonts w:eastAsia="Calibri"/>
          <w:szCs w:val="22"/>
          <w:lang w:eastAsia="en-US"/>
        </w:rPr>
        <w:t>оциалноосигурителни</w:t>
      </w:r>
      <w:proofErr w:type="spellEnd"/>
      <w:r w:rsidR="00D31D2D" w:rsidRPr="001A28D2">
        <w:rPr>
          <w:rFonts w:eastAsia="Calibri"/>
          <w:szCs w:val="22"/>
          <w:lang w:eastAsia="en-US"/>
        </w:rPr>
        <w:t xml:space="preserve"> фондове</w:t>
      </w:r>
      <w:r w:rsidR="001C6402" w:rsidRPr="001A28D2">
        <w:rPr>
          <w:rFonts w:eastAsia="Calibri"/>
          <w:szCs w:val="22"/>
          <w:lang w:eastAsia="en-US"/>
        </w:rPr>
        <w:t>“</w:t>
      </w:r>
      <w:r w:rsidRPr="001A28D2">
        <w:rPr>
          <w:rFonts w:eastAsia="Calibri"/>
          <w:szCs w:val="22"/>
          <w:lang w:eastAsia="en-US"/>
        </w:rPr>
        <w:t xml:space="preserve"> с 60,2 на сто, (от тях Национален фонд с 61,5 на сто), </w:t>
      </w:r>
      <w:r w:rsidRPr="001A28D2">
        <w:rPr>
          <w:rFonts w:ascii="Times New Roman CYR" w:hAnsi="Times New Roman CYR" w:cs="Times New Roman CYR"/>
          <w:bCs/>
        </w:rPr>
        <w:t>Средства от Европейския съюз на общините с 90,</w:t>
      </w:r>
      <w:r w:rsidR="00B94C43" w:rsidRPr="001A28D2">
        <w:rPr>
          <w:rFonts w:ascii="Times New Roman CYR" w:hAnsi="Times New Roman CYR" w:cs="Times New Roman CYR"/>
          <w:bCs/>
        </w:rPr>
        <w:t>3</w:t>
      </w:r>
      <w:r w:rsidRPr="001A28D2">
        <w:rPr>
          <w:rFonts w:ascii="Times New Roman CYR" w:hAnsi="Times New Roman CYR" w:cs="Times New Roman CYR"/>
          <w:bCs/>
        </w:rPr>
        <w:t> на сто и др.</w:t>
      </w:r>
    </w:p>
    <w:p w14:paraId="23537604" w14:textId="77777777" w:rsidR="00DC5BD7" w:rsidRPr="001A28D2" w:rsidRDefault="00DC5BD7" w:rsidP="00DC5BD7">
      <w:pPr>
        <w:jc w:val="right"/>
        <w:rPr>
          <w:rFonts w:ascii="Times New Roman CYR" w:hAnsi="Times New Roman CYR" w:cs="Times New Roman CYR"/>
          <w:bCs/>
        </w:rPr>
      </w:pPr>
      <w:r w:rsidRPr="001A28D2">
        <w:rPr>
          <w:rFonts w:ascii="Times New Roman CYR" w:hAnsi="Times New Roman CYR" w:cs="Times New Roman CYR"/>
          <w:bCs/>
        </w:rPr>
        <w:t>(хил. лв.)</w:t>
      </w:r>
    </w:p>
    <w:p w14:paraId="53E33B1D" w14:textId="77777777" w:rsidR="00DC5BD7" w:rsidRPr="001A28D2" w:rsidRDefault="00DC5BD7" w:rsidP="00DC5BD7">
      <w:pPr>
        <w:ind w:firstLine="1134"/>
        <w:jc w:val="right"/>
        <w:rPr>
          <w:rFonts w:ascii="Times New Roman CYR" w:hAnsi="Times New Roman CYR" w:cs="Times New Roman CYR"/>
          <w:bCs/>
        </w:rPr>
      </w:pPr>
    </w:p>
    <w:tbl>
      <w:tblPr>
        <w:tblpPr w:leftFromText="141" w:rightFromText="141" w:vertAnchor="text" w:horzAnchor="margin" w:tblpXSpec="center" w:tblpY="-52"/>
        <w:tblW w:w="8980" w:type="dxa"/>
        <w:tblCellMar>
          <w:left w:w="70" w:type="dxa"/>
          <w:right w:w="70" w:type="dxa"/>
        </w:tblCellMar>
        <w:tblLook w:val="04A0" w:firstRow="1" w:lastRow="0" w:firstColumn="1" w:lastColumn="0" w:noHBand="0" w:noVBand="1"/>
      </w:tblPr>
      <w:tblGrid>
        <w:gridCol w:w="700"/>
        <w:gridCol w:w="1020"/>
        <w:gridCol w:w="1040"/>
        <w:gridCol w:w="940"/>
        <w:gridCol w:w="940"/>
        <w:gridCol w:w="740"/>
        <w:gridCol w:w="740"/>
        <w:gridCol w:w="820"/>
        <w:gridCol w:w="1060"/>
        <w:gridCol w:w="980"/>
      </w:tblGrid>
      <w:tr w:rsidR="00DC5BD7" w:rsidRPr="001A28D2" w14:paraId="513F6E47" w14:textId="77777777" w:rsidTr="00F47317">
        <w:trPr>
          <w:trHeight w:val="870"/>
        </w:trPr>
        <w:tc>
          <w:tcPr>
            <w:tcW w:w="700" w:type="dxa"/>
            <w:vMerge w:val="restart"/>
            <w:tcBorders>
              <w:top w:val="single" w:sz="4" w:space="0" w:color="auto"/>
              <w:left w:val="single" w:sz="4" w:space="0" w:color="auto"/>
              <w:bottom w:val="single" w:sz="4" w:space="0" w:color="000000"/>
              <w:right w:val="single" w:sz="4" w:space="0" w:color="auto"/>
            </w:tcBorders>
            <w:shd w:val="clear" w:color="auto" w:fill="BDD6EE"/>
            <w:vAlign w:val="center"/>
            <w:hideMark/>
          </w:tcPr>
          <w:p w14:paraId="4F5FA233" w14:textId="77777777" w:rsidR="00DC5BD7" w:rsidRPr="001A28D2" w:rsidRDefault="00DC5BD7" w:rsidP="00F47317">
            <w:pPr>
              <w:jc w:val="both"/>
              <w:rPr>
                <w:b/>
                <w:bCs/>
                <w:sz w:val="16"/>
                <w:szCs w:val="16"/>
              </w:rPr>
            </w:pPr>
            <w:r w:rsidRPr="001A28D2">
              <w:rPr>
                <w:b/>
                <w:bCs/>
                <w:sz w:val="16"/>
                <w:szCs w:val="16"/>
              </w:rPr>
              <w:t xml:space="preserve">II. </w:t>
            </w:r>
            <w:proofErr w:type="spellStart"/>
            <w:r w:rsidRPr="001A28D2">
              <w:rPr>
                <w:b/>
                <w:bCs/>
                <w:sz w:val="16"/>
                <w:szCs w:val="16"/>
              </w:rPr>
              <w:t>Раз</w:t>
            </w:r>
            <w:proofErr w:type="spellEnd"/>
            <w:r w:rsidRPr="001A28D2">
              <w:rPr>
                <w:b/>
                <w:bCs/>
                <w:sz w:val="16"/>
                <w:szCs w:val="16"/>
              </w:rPr>
              <w:t xml:space="preserve"> ходи и вноска за ЕС</w:t>
            </w:r>
          </w:p>
        </w:tc>
        <w:tc>
          <w:tcPr>
            <w:tcW w:w="1020" w:type="dxa"/>
            <w:tcBorders>
              <w:top w:val="single" w:sz="4" w:space="0" w:color="auto"/>
              <w:left w:val="nil"/>
              <w:bottom w:val="single" w:sz="4" w:space="0" w:color="auto"/>
              <w:right w:val="single" w:sz="4" w:space="0" w:color="auto"/>
            </w:tcBorders>
            <w:shd w:val="clear" w:color="auto" w:fill="BDD6EE"/>
            <w:vAlign w:val="center"/>
            <w:hideMark/>
          </w:tcPr>
          <w:p w14:paraId="22DE5020" w14:textId="77777777" w:rsidR="00DC5BD7" w:rsidRPr="001A28D2" w:rsidRDefault="00DC5BD7" w:rsidP="00F47317">
            <w:pPr>
              <w:jc w:val="center"/>
              <w:rPr>
                <w:b/>
                <w:bCs/>
                <w:sz w:val="16"/>
                <w:szCs w:val="16"/>
              </w:rPr>
            </w:pPr>
            <w:r w:rsidRPr="001A28D2">
              <w:rPr>
                <w:b/>
                <w:bCs/>
                <w:sz w:val="16"/>
                <w:szCs w:val="16"/>
              </w:rPr>
              <w:t>КФП</w:t>
            </w:r>
          </w:p>
        </w:tc>
        <w:tc>
          <w:tcPr>
            <w:tcW w:w="1040" w:type="dxa"/>
            <w:tcBorders>
              <w:top w:val="single" w:sz="4" w:space="0" w:color="auto"/>
              <w:left w:val="nil"/>
              <w:bottom w:val="single" w:sz="4" w:space="0" w:color="auto"/>
              <w:right w:val="single" w:sz="4" w:space="0" w:color="auto"/>
            </w:tcBorders>
            <w:shd w:val="clear" w:color="auto" w:fill="BDD6EE"/>
            <w:noWrap/>
            <w:vAlign w:val="center"/>
            <w:hideMark/>
          </w:tcPr>
          <w:p w14:paraId="45B4AE0C" w14:textId="77777777" w:rsidR="00DC5BD7" w:rsidRPr="001A28D2" w:rsidRDefault="00DC5BD7" w:rsidP="00F47317">
            <w:pPr>
              <w:jc w:val="center"/>
              <w:rPr>
                <w:b/>
                <w:bCs/>
                <w:sz w:val="16"/>
                <w:szCs w:val="16"/>
              </w:rPr>
            </w:pPr>
            <w:r w:rsidRPr="001A28D2">
              <w:rPr>
                <w:b/>
                <w:bCs/>
                <w:sz w:val="16"/>
                <w:szCs w:val="16"/>
              </w:rPr>
              <w:t>ДБ</w:t>
            </w:r>
          </w:p>
        </w:tc>
        <w:tc>
          <w:tcPr>
            <w:tcW w:w="940" w:type="dxa"/>
            <w:tcBorders>
              <w:top w:val="single" w:sz="4" w:space="0" w:color="auto"/>
              <w:left w:val="nil"/>
              <w:bottom w:val="single" w:sz="4" w:space="0" w:color="auto"/>
              <w:right w:val="single" w:sz="4" w:space="0" w:color="auto"/>
            </w:tcBorders>
            <w:shd w:val="clear" w:color="auto" w:fill="BDD6EE"/>
            <w:noWrap/>
            <w:vAlign w:val="center"/>
            <w:hideMark/>
          </w:tcPr>
          <w:p w14:paraId="3F85D4B5" w14:textId="77777777" w:rsidR="00DC5BD7" w:rsidRPr="001A28D2" w:rsidRDefault="00DC5BD7" w:rsidP="00F47317">
            <w:pPr>
              <w:jc w:val="center"/>
              <w:rPr>
                <w:b/>
                <w:bCs/>
                <w:sz w:val="16"/>
                <w:szCs w:val="16"/>
              </w:rPr>
            </w:pPr>
            <w:r w:rsidRPr="001A28D2">
              <w:rPr>
                <w:b/>
                <w:bCs/>
                <w:sz w:val="16"/>
                <w:szCs w:val="16"/>
              </w:rPr>
              <w:t>в т. ч. ЦБ</w:t>
            </w:r>
          </w:p>
        </w:tc>
        <w:tc>
          <w:tcPr>
            <w:tcW w:w="940" w:type="dxa"/>
            <w:tcBorders>
              <w:top w:val="single" w:sz="4" w:space="0" w:color="auto"/>
              <w:left w:val="nil"/>
              <w:bottom w:val="single" w:sz="4" w:space="0" w:color="auto"/>
              <w:right w:val="single" w:sz="4" w:space="0" w:color="auto"/>
            </w:tcBorders>
            <w:shd w:val="clear" w:color="auto" w:fill="BDD6EE"/>
            <w:vAlign w:val="center"/>
            <w:hideMark/>
          </w:tcPr>
          <w:p w14:paraId="0C3DEF23" w14:textId="77777777" w:rsidR="00DC5BD7" w:rsidRPr="001A28D2" w:rsidRDefault="00DC5BD7" w:rsidP="00F47317">
            <w:pPr>
              <w:jc w:val="center"/>
              <w:rPr>
                <w:b/>
                <w:bCs/>
                <w:sz w:val="16"/>
                <w:szCs w:val="16"/>
              </w:rPr>
            </w:pPr>
            <w:proofErr w:type="spellStart"/>
            <w:r w:rsidRPr="001A28D2">
              <w:rPr>
                <w:b/>
                <w:bCs/>
                <w:sz w:val="16"/>
                <w:szCs w:val="16"/>
              </w:rPr>
              <w:t>МиВ</w:t>
            </w:r>
            <w:proofErr w:type="spellEnd"/>
          </w:p>
        </w:tc>
        <w:tc>
          <w:tcPr>
            <w:tcW w:w="740" w:type="dxa"/>
            <w:tcBorders>
              <w:top w:val="single" w:sz="4" w:space="0" w:color="auto"/>
              <w:left w:val="nil"/>
              <w:bottom w:val="single" w:sz="4" w:space="0" w:color="auto"/>
              <w:right w:val="single" w:sz="4" w:space="0" w:color="auto"/>
            </w:tcBorders>
            <w:shd w:val="clear" w:color="auto" w:fill="BDD6EE"/>
            <w:noWrap/>
            <w:vAlign w:val="center"/>
            <w:hideMark/>
          </w:tcPr>
          <w:p w14:paraId="3F0BBADA" w14:textId="77777777" w:rsidR="00DC5BD7" w:rsidRPr="001A28D2" w:rsidRDefault="00DC5BD7" w:rsidP="00F47317">
            <w:pPr>
              <w:jc w:val="center"/>
              <w:rPr>
                <w:b/>
                <w:bCs/>
                <w:sz w:val="16"/>
                <w:szCs w:val="16"/>
              </w:rPr>
            </w:pPr>
            <w:r w:rsidRPr="001A28D2">
              <w:rPr>
                <w:b/>
                <w:bCs/>
                <w:sz w:val="16"/>
                <w:szCs w:val="16"/>
              </w:rPr>
              <w:t>НС</w:t>
            </w:r>
          </w:p>
        </w:tc>
        <w:tc>
          <w:tcPr>
            <w:tcW w:w="740" w:type="dxa"/>
            <w:tcBorders>
              <w:top w:val="single" w:sz="4" w:space="0" w:color="auto"/>
              <w:left w:val="nil"/>
              <w:bottom w:val="single" w:sz="4" w:space="0" w:color="auto"/>
              <w:right w:val="single" w:sz="4" w:space="0" w:color="auto"/>
            </w:tcBorders>
            <w:shd w:val="clear" w:color="auto" w:fill="BDD6EE"/>
            <w:noWrap/>
            <w:vAlign w:val="center"/>
            <w:hideMark/>
          </w:tcPr>
          <w:p w14:paraId="400C0C52" w14:textId="77777777" w:rsidR="00DC5BD7" w:rsidRPr="001A28D2" w:rsidRDefault="00DC5BD7" w:rsidP="00F47317">
            <w:pPr>
              <w:jc w:val="center"/>
              <w:rPr>
                <w:b/>
                <w:bCs/>
                <w:sz w:val="16"/>
                <w:szCs w:val="16"/>
              </w:rPr>
            </w:pPr>
            <w:r w:rsidRPr="001A28D2">
              <w:rPr>
                <w:b/>
                <w:bCs/>
                <w:sz w:val="16"/>
                <w:szCs w:val="16"/>
              </w:rPr>
              <w:t>СП</w:t>
            </w:r>
          </w:p>
        </w:tc>
        <w:tc>
          <w:tcPr>
            <w:tcW w:w="820" w:type="dxa"/>
            <w:tcBorders>
              <w:top w:val="single" w:sz="4" w:space="0" w:color="auto"/>
              <w:left w:val="nil"/>
              <w:bottom w:val="single" w:sz="4" w:space="0" w:color="auto"/>
              <w:right w:val="single" w:sz="4" w:space="0" w:color="auto"/>
            </w:tcBorders>
            <w:shd w:val="clear" w:color="auto" w:fill="BDD6EE"/>
            <w:noWrap/>
            <w:vAlign w:val="center"/>
            <w:hideMark/>
          </w:tcPr>
          <w:p w14:paraId="29417870" w14:textId="77777777" w:rsidR="00DC5BD7" w:rsidRPr="001A28D2" w:rsidRDefault="00DC5BD7" w:rsidP="00F47317">
            <w:pPr>
              <w:jc w:val="center"/>
              <w:rPr>
                <w:b/>
                <w:bCs/>
                <w:sz w:val="16"/>
                <w:szCs w:val="16"/>
              </w:rPr>
            </w:pPr>
            <w:r w:rsidRPr="001A28D2">
              <w:rPr>
                <w:b/>
                <w:bCs/>
                <w:sz w:val="16"/>
                <w:szCs w:val="16"/>
              </w:rPr>
              <w:t>СВ</w:t>
            </w:r>
          </w:p>
        </w:tc>
        <w:tc>
          <w:tcPr>
            <w:tcW w:w="1060" w:type="dxa"/>
            <w:tcBorders>
              <w:top w:val="single" w:sz="4" w:space="0" w:color="auto"/>
              <w:left w:val="nil"/>
              <w:bottom w:val="single" w:sz="4" w:space="0" w:color="auto"/>
              <w:right w:val="single" w:sz="4" w:space="0" w:color="auto"/>
            </w:tcBorders>
            <w:shd w:val="clear" w:color="auto" w:fill="BDD6EE"/>
            <w:vAlign w:val="center"/>
            <w:hideMark/>
          </w:tcPr>
          <w:p w14:paraId="4FB62193" w14:textId="77777777" w:rsidR="00DC5BD7" w:rsidRPr="001A28D2" w:rsidRDefault="00DC5BD7" w:rsidP="00F47317">
            <w:pPr>
              <w:jc w:val="center"/>
              <w:rPr>
                <w:b/>
                <w:bCs/>
                <w:sz w:val="16"/>
                <w:szCs w:val="16"/>
              </w:rPr>
            </w:pPr>
            <w:r w:rsidRPr="001A28D2">
              <w:rPr>
                <w:b/>
                <w:bCs/>
                <w:sz w:val="16"/>
                <w:szCs w:val="16"/>
              </w:rPr>
              <w:t>СО, в т. ч. ДОО, ФГВРС, НЗОК,УПФ</w:t>
            </w:r>
          </w:p>
        </w:tc>
        <w:tc>
          <w:tcPr>
            <w:tcW w:w="980" w:type="dxa"/>
            <w:tcBorders>
              <w:top w:val="single" w:sz="4" w:space="0" w:color="auto"/>
              <w:left w:val="nil"/>
              <w:bottom w:val="single" w:sz="4" w:space="0" w:color="auto"/>
              <w:right w:val="single" w:sz="4" w:space="0" w:color="auto"/>
            </w:tcBorders>
            <w:shd w:val="clear" w:color="auto" w:fill="BDD6EE"/>
            <w:vAlign w:val="center"/>
            <w:hideMark/>
          </w:tcPr>
          <w:p w14:paraId="1932E9C8" w14:textId="77777777" w:rsidR="00DC5BD7" w:rsidRPr="001A28D2" w:rsidRDefault="00DC5BD7" w:rsidP="00F47317">
            <w:pPr>
              <w:jc w:val="center"/>
              <w:rPr>
                <w:b/>
                <w:bCs/>
                <w:sz w:val="16"/>
                <w:szCs w:val="16"/>
              </w:rPr>
            </w:pPr>
            <w:r w:rsidRPr="001A28D2">
              <w:rPr>
                <w:b/>
                <w:bCs/>
                <w:sz w:val="16"/>
                <w:szCs w:val="16"/>
              </w:rPr>
              <w:t>Общини</w:t>
            </w:r>
          </w:p>
        </w:tc>
      </w:tr>
      <w:tr w:rsidR="00DC5BD7" w:rsidRPr="001A28D2" w14:paraId="0DE6C3AF" w14:textId="77777777" w:rsidTr="00F47317">
        <w:trPr>
          <w:trHeight w:val="24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97684B8" w14:textId="77777777" w:rsidR="00DC5BD7" w:rsidRPr="001A28D2" w:rsidRDefault="00DC5BD7" w:rsidP="00F47317">
            <w:pPr>
              <w:rPr>
                <w:b/>
                <w:bCs/>
                <w:sz w:val="16"/>
                <w:szCs w:val="16"/>
              </w:rPr>
            </w:pPr>
          </w:p>
        </w:tc>
        <w:tc>
          <w:tcPr>
            <w:tcW w:w="1020" w:type="dxa"/>
            <w:tcBorders>
              <w:top w:val="nil"/>
              <w:left w:val="nil"/>
              <w:bottom w:val="single" w:sz="4" w:space="0" w:color="auto"/>
              <w:right w:val="single" w:sz="4" w:space="0" w:color="auto"/>
            </w:tcBorders>
            <w:shd w:val="clear" w:color="auto" w:fill="FFFFFF"/>
            <w:hideMark/>
          </w:tcPr>
          <w:p w14:paraId="22CE420A" w14:textId="77777777" w:rsidR="00DC5BD7" w:rsidRPr="001A28D2" w:rsidRDefault="00DC5BD7" w:rsidP="00F47317">
            <w:pPr>
              <w:jc w:val="center"/>
              <w:rPr>
                <w:b/>
                <w:bCs/>
                <w:sz w:val="16"/>
                <w:szCs w:val="16"/>
              </w:rPr>
            </w:pPr>
            <w:r w:rsidRPr="001A28D2">
              <w:rPr>
                <w:b/>
                <w:bCs/>
                <w:sz w:val="16"/>
                <w:szCs w:val="16"/>
              </w:rPr>
              <w:t>1</w:t>
            </w:r>
          </w:p>
        </w:tc>
        <w:tc>
          <w:tcPr>
            <w:tcW w:w="1040" w:type="dxa"/>
            <w:tcBorders>
              <w:top w:val="nil"/>
              <w:left w:val="nil"/>
              <w:bottom w:val="single" w:sz="4" w:space="0" w:color="auto"/>
              <w:right w:val="single" w:sz="4" w:space="0" w:color="auto"/>
            </w:tcBorders>
            <w:shd w:val="clear" w:color="auto" w:fill="FFFFFF"/>
            <w:noWrap/>
            <w:hideMark/>
          </w:tcPr>
          <w:p w14:paraId="5DC84024" w14:textId="77777777" w:rsidR="00DC5BD7" w:rsidRPr="001A28D2" w:rsidRDefault="00DC5BD7" w:rsidP="00F47317">
            <w:pPr>
              <w:jc w:val="center"/>
              <w:rPr>
                <w:b/>
                <w:bCs/>
                <w:sz w:val="16"/>
                <w:szCs w:val="16"/>
              </w:rPr>
            </w:pPr>
            <w:r w:rsidRPr="001A28D2">
              <w:rPr>
                <w:b/>
                <w:bCs/>
                <w:sz w:val="16"/>
                <w:szCs w:val="16"/>
              </w:rPr>
              <w:t>2</w:t>
            </w:r>
          </w:p>
        </w:tc>
        <w:tc>
          <w:tcPr>
            <w:tcW w:w="940" w:type="dxa"/>
            <w:tcBorders>
              <w:top w:val="nil"/>
              <w:left w:val="nil"/>
              <w:bottom w:val="single" w:sz="4" w:space="0" w:color="auto"/>
              <w:right w:val="single" w:sz="4" w:space="0" w:color="auto"/>
            </w:tcBorders>
            <w:shd w:val="clear" w:color="auto" w:fill="FFFFFF"/>
            <w:noWrap/>
            <w:hideMark/>
          </w:tcPr>
          <w:p w14:paraId="66517BFE" w14:textId="77777777" w:rsidR="00DC5BD7" w:rsidRPr="001A28D2" w:rsidRDefault="00DC5BD7" w:rsidP="00F47317">
            <w:pPr>
              <w:jc w:val="center"/>
              <w:rPr>
                <w:b/>
                <w:bCs/>
                <w:sz w:val="16"/>
                <w:szCs w:val="16"/>
              </w:rPr>
            </w:pPr>
            <w:r w:rsidRPr="001A28D2">
              <w:rPr>
                <w:b/>
                <w:bCs/>
                <w:sz w:val="16"/>
                <w:szCs w:val="16"/>
              </w:rPr>
              <w:t>3</w:t>
            </w:r>
          </w:p>
        </w:tc>
        <w:tc>
          <w:tcPr>
            <w:tcW w:w="940" w:type="dxa"/>
            <w:tcBorders>
              <w:top w:val="nil"/>
              <w:left w:val="nil"/>
              <w:bottom w:val="single" w:sz="4" w:space="0" w:color="auto"/>
              <w:right w:val="single" w:sz="4" w:space="0" w:color="auto"/>
            </w:tcBorders>
            <w:shd w:val="clear" w:color="auto" w:fill="FFFFFF"/>
            <w:hideMark/>
          </w:tcPr>
          <w:p w14:paraId="5F0EB416" w14:textId="77777777" w:rsidR="00DC5BD7" w:rsidRPr="001A28D2" w:rsidRDefault="00DC5BD7" w:rsidP="00F47317">
            <w:pPr>
              <w:jc w:val="center"/>
              <w:rPr>
                <w:b/>
                <w:bCs/>
                <w:sz w:val="16"/>
                <w:szCs w:val="16"/>
              </w:rPr>
            </w:pPr>
            <w:r w:rsidRPr="001A28D2">
              <w:rPr>
                <w:b/>
                <w:bCs/>
                <w:sz w:val="16"/>
                <w:szCs w:val="16"/>
              </w:rPr>
              <w:t>4</w:t>
            </w:r>
          </w:p>
        </w:tc>
        <w:tc>
          <w:tcPr>
            <w:tcW w:w="740" w:type="dxa"/>
            <w:tcBorders>
              <w:top w:val="nil"/>
              <w:left w:val="nil"/>
              <w:bottom w:val="single" w:sz="4" w:space="0" w:color="auto"/>
              <w:right w:val="single" w:sz="4" w:space="0" w:color="auto"/>
            </w:tcBorders>
            <w:shd w:val="clear" w:color="auto" w:fill="FFFFFF"/>
            <w:noWrap/>
            <w:hideMark/>
          </w:tcPr>
          <w:p w14:paraId="521F90A6" w14:textId="77777777" w:rsidR="00DC5BD7" w:rsidRPr="001A28D2" w:rsidRDefault="00DC5BD7" w:rsidP="00F47317">
            <w:pPr>
              <w:jc w:val="center"/>
              <w:rPr>
                <w:b/>
                <w:bCs/>
                <w:sz w:val="16"/>
                <w:szCs w:val="16"/>
              </w:rPr>
            </w:pPr>
            <w:r w:rsidRPr="001A28D2">
              <w:rPr>
                <w:b/>
                <w:bCs/>
                <w:sz w:val="16"/>
                <w:szCs w:val="16"/>
              </w:rPr>
              <w:t>5</w:t>
            </w:r>
          </w:p>
        </w:tc>
        <w:tc>
          <w:tcPr>
            <w:tcW w:w="740" w:type="dxa"/>
            <w:tcBorders>
              <w:top w:val="nil"/>
              <w:left w:val="nil"/>
              <w:bottom w:val="single" w:sz="4" w:space="0" w:color="auto"/>
              <w:right w:val="single" w:sz="4" w:space="0" w:color="auto"/>
            </w:tcBorders>
            <w:shd w:val="clear" w:color="auto" w:fill="FFFFFF"/>
            <w:noWrap/>
            <w:hideMark/>
          </w:tcPr>
          <w:p w14:paraId="1FFD1649" w14:textId="77777777" w:rsidR="00DC5BD7" w:rsidRPr="001A28D2" w:rsidRDefault="00DC5BD7" w:rsidP="00F47317">
            <w:pPr>
              <w:jc w:val="center"/>
              <w:rPr>
                <w:b/>
                <w:bCs/>
                <w:sz w:val="16"/>
                <w:szCs w:val="16"/>
              </w:rPr>
            </w:pPr>
            <w:r w:rsidRPr="001A28D2">
              <w:rPr>
                <w:b/>
                <w:bCs/>
                <w:sz w:val="16"/>
                <w:szCs w:val="16"/>
              </w:rPr>
              <w:t>6</w:t>
            </w:r>
          </w:p>
        </w:tc>
        <w:tc>
          <w:tcPr>
            <w:tcW w:w="820" w:type="dxa"/>
            <w:tcBorders>
              <w:top w:val="nil"/>
              <w:left w:val="nil"/>
              <w:bottom w:val="single" w:sz="4" w:space="0" w:color="auto"/>
              <w:right w:val="single" w:sz="4" w:space="0" w:color="auto"/>
            </w:tcBorders>
            <w:shd w:val="clear" w:color="auto" w:fill="FFFFFF"/>
            <w:noWrap/>
            <w:hideMark/>
          </w:tcPr>
          <w:p w14:paraId="4B4CAA29" w14:textId="77777777" w:rsidR="00DC5BD7" w:rsidRPr="001A28D2" w:rsidRDefault="00DC5BD7" w:rsidP="00F47317">
            <w:pPr>
              <w:jc w:val="center"/>
              <w:rPr>
                <w:b/>
                <w:bCs/>
                <w:sz w:val="16"/>
                <w:szCs w:val="16"/>
              </w:rPr>
            </w:pPr>
            <w:r w:rsidRPr="001A28D2">
              <w:rPr>
                <w:b/>
                <w:bCs/>
                <w:sz w:val="16"/>
                <w:szCs w:val="16"/>
              </w:rPr>
              <w:t>7</w:t>
            </w:r>
          </w:p>
        </w:tc>
        <w:tc>
          <w:tcPr>
            <w:tcW w:w="1060" w:type="dxa"/>
            <w:tcBorders>
              <w:top w:val="nil"/>
              <w:left w:val="nil"/>
              <w:bottom w:val="single" w:sz="4" w:space="0" w:color="auto"/>
              <w:right w:val="single" w:sz="4" w:space="0" w:color="auto"/>
            </w:tcBorders>
            <w:shd w:val="clear" w:color="auto" w:fill="FFFFFF"/>
            <w:hideMark/>
          </w:tcPr>
          <w:p w14:paraId="5728D736" w14:textId="77777777" w:rsidR="00DC5BD7" w:rsidRPr="001A28D2" w:rsidRDefault="00DC5BD7" w:rsidP="00F47317">
            <w:pPr>
              <w:jc w:val="center"/>
              <w:rPr>
                <w:b/>
                <w:bCs/>
                <w:sz w:val="16"/>
                <w:szCs w:val="16"/>
              </w:rPr>
            </w:pPr>
            <w:r w:rsidRPr="001A28D2">
              <w:rPr>
                <w:b/>
                <w:bCs/>
                <w:sz w:val="16"/>
                <w:szCs w:val="16"/>
              </w:rPr>
              <w:t>8</w:t>
            </w:r>
          </w:p>
        </w:tc>
        <w:tc>
          <w:tcPr>
            <w:tcW w:w="980" w:type="dxa"/>
            <w:tcBorders>
              <w:top w:val="nil"/>
              <w:left w:val="nil"/>
              <w:bottom w:val="single" w:sz="4" w:space="0" w:color="auto"/>
              <w:right w:val="single" w:sz="4" w:space="0" w:color="auto"/>
            </w:tcBorders>
            <w:shd w:val="clear" w:color="auto" w:fill="FFFFFF"/>
            <w:hideMark/>
          </w:tcPr>
          <w:p w14:paraId="54D5172C" w14:textId="77777777" w:rsidR="00DC5BD7" w:rsidRPr="001A28D2" w:rsidRDefault="00DC5BD7" w:rsidP="00F47317">
            <w:pPr>
              <w:jc w:val="center"/>
              <w:rPr>
                <w:b/>
                <w:bCs/>
                <w:sz w:val="16"/>
                <w:szCs w:val="16"/>
              </w:rPr>
            </w:pPr>
            <w:r w:rsidRPr="001A28D2">
              <w:rPr>
                <w:b/>
                <w:bCs/>
                <w:sz w:val="16"/>
                <w:szCs w:val="16"/>
              </w:rPr>
              <w:t>9</w:t>
            </w:r>
          </w:p>
        </w:tc>
      </w:tr>
      <w:tr w:rsidR="00DC5BD7" w:rsidRPr="001A28D2" w14:paraId="77F4468B" w14:textId="77777777" w:rsidTr="00F47317">
        <w:trPr>
          <w:trHeight w:val="225"/>
        </w:trPr>
        <w:tc>
          <w:tcPr>
            <w:tcW w:w="700" w:type="dxa"/>
            <w:tcBorders>
              <w:top w:val="nil"/>
              <w:left w:val="single" w:sz="4" w:space="0" w:color="auto"/>
              <w:bottom w:val="single" w:sz="4" w:space="0" w:color="auto"/>
              <w:right w:val="single" w:sz="4" w:space="0" w:color="auto"/>
            </w:tcBorders>
            <w:noWrap/>
            <w:hideMark/>
          </w:tcPr>
          <w:p w14:paraId="68EDDC1A" w14:textId="77777777" w:rsidR="00DC5BD7" w:rsidRPr="001A28D2" w:rsidRDefault="00DC5BD7" w:rsidP="00F47317">
            <w:pPr>
              <w:rPr>
                <w:color w:val="000000"/>
                <w:sz w:val="16"/>
                <w:szCs w:val="16"/>
              </w:rPr>
            </w:pPr>
            <w:r w:rsidRPr="001A28D2">
              <w:rPr>
                <w:color w:val="000000"/>
                <w:sz w:val="16"/>
                <w:szCs w:val="16"/>
              </w:rPr>
              <w:t>2015 г.</w:t>
            </w:r>
          </w:p>
        </w:tc>
        <w:tc>
          <w:tcPr>
            <w:tcW w:w="1020" w:type="dxa"/>
            <w:tcBorders>
              <w:top w:val="nil"/>
              <w:left w:val="nil"/>
              <w:bottom w:val="single" w:sz="4" w:space="0" w:color="auto"/>
              <w:right w:val="single" w:sz="4" w:space="0" w:color="auto"/>
            </w:tcBorders>
            <w:noWrap/>
            <w:hideMark/>
          </w:tcPr>
          <w:p w14:paraId="0821AEE2" w14:textId="5F203DB0" w:rsidR="00DC5BD7" w:rsidRPr="001A28D2" w:rsidRDefault="00DC5BD7" w:rsidP="00167A09">
            <w:pPr>
              <w:jc w:val="right"/>
              <w:rPr>
                <w:color w:val="000000"/>
                <w:sz w:val="16"/>
                <w:szCs w:val="16"/>
              </w:rPr>
            </w:pPr>
            <w:r w:rsidRPr="001A28D2">
              <w:rPr>
                <w:color w:val="000000"/>
                <w:sz w:val="16"/>
                <w:szCs w:val="16"/>
              </w:rPr>
              <w:t xml:space="preserve">34 684 </w:t>
            </w:r>
            <w:r w:rsidR="00167A09" w:rsidRPr="001A28D2">
              <w:rPr>
                <w:color w:val="000000"/>
                <w:sz w:val="16"/>
                <w:szCs w:val="16"/>
              </w:rPr>
              <w:t>769</w:t>
            </w:r>
            <w:r w:rsidRPr="001A28D2">
              <w:rPr>
                <w:color w:val="000000"/>
                <w:sz w:val="16"/>
                <w:szCs w:val="16"/>
              </w:rPr>
              <w:t>,</w:t>
            </w:r>
            <w:r w:rsidR="00167A09" w:rsidRPr="001A28D2">
              <w:rPr>
                <w:color w:val="000000"/>
                <w:sz w:val="16"/>
                <w:szCs w:val="16"/>
              </w:rPr>
              <w:t>8</w:t>
            </w:r>
          </w:p>
        </w:tc>
        <w:tc>
          <w:tcPr>
            <w:tcW w:w="1040" w:type="dxa"/>
            <w:tcBorders>
              <w:top w:val="nil"/>
              <w:left w:val="nil"/>
              <w:bottom w:val="single" w:sz="4" w:space="0" w:color="auto"/>
              <w:right w:val="single" w:sz="4" w:space="0" w:color="auto"/>
            </w:tcBorders>
            <w:noWrap/>
            <w:hideMark/>
          </w:tcPr>
          <w:p w14:paraId="0F3EDAFD" w14:textId="77777777" w:rsidR="00DC5BD7" w:rsidRPr="001A28D2" w:rsidRDefault="00DC5BD7" w:rsidP="00F47317">
            <w:pPr>
              <w:jc w:val="right"/>
              <w:rPr>
                <w:color w:val="000000"/>
                <w:sz w:val="16"/>
                <w:szCs w:val="16"/>
              </w:rPr>
            </w:pPr>
            <w:r w:rsidRPr="001A28D2">
              <w:rPr>
                <w:color w:val="000000"/>
                <w:sz w:val="16"/>
                <w:szCs w:val="16"/>
              </w:rPr>
              <w:t>9 623 454,7</w:t>
            </w:r>
          </w:p>
        </w:tc>
        <w:tc>
          <w:tcPr>
            <w:tcW w:w="940" w:type="dxa"/>
            <w:tcBorders>
              <w:top w:val="nil"/>
              <w:left w:val="nil"/>
              <w:bottom w:val="single" w:sz="4" w:space="0" w:color="auto"/>
              <w:right w:val="single" w:sz="4" w:space="0" w:color="auto"/>
            </w:tcBorders>
            <w:noWrap/>
            <w:hideMark/>
          </w:tcPr>
          <w:p w14:paraId="7963C8F0" w14:textId="77777777" w:rsidR="00DC5BD7" w:rsidRPr="001A28D2" w:rsidRDefault="00DC5BD7" w:rsidP="00F47317">
            <w:pPr>
              <w:jc w:val="right"/>
              <w:rPr>
                <w:color w:val="000000"/>
                <w:sz w:val="16"/>
                <w:szCs w:val="16"/>
              </w:rPr>
            </w:pPr>
            <w:r w:rsidRPr="001A28D2">
              <w:rPr>
                <w:color w:val="000000"/>
                <w:sz w:val="16"/>
                <w:szCs w:val="16"/>
              </w:rPr>
              <w:t>1 916 805,2</w:t>
            </w:r>
          </w:p>
        </w:tc>
        <w:tc>
          <w:tcPr>
            <w:tcW w:w="940" w:type="dxa"/>
            <w:tcBorders>
              <w:top w:val="nil"/>
              <w:left w:val="nil"/>
              <w:bottom w:val="single" w:sz="4" w:space="0" w:color="auto"/>
              <w:right w:val="single" w:sz="4" w:space="0" w:color="auto"/>
            </w:tcBorders>
            <w:noWrap/>
            <w:hideMark/>
          </w:tcPr>
          <w:p w14:paraId="0420A5C3" w14:textId="77777777" w:rsidR="00DC5BD7" w:rsidRPr="001A28D2" w:rsidRDefault="00DC5BD7" w:rsidP="00F47317">
            <w:pPr>
              <w:jc w:val="right"/>
              <w:rPr>
                <w:color w:val="000000"/>
                <w:sz w:val="16"/>
                <w:szCs w:val="16"/>
              </w:rPr>
            </w:pPr>
            <w:r w:rsidRPr="001A28D2">
              <w:rPr>
                <w:color w:val="000000"/>
                <w:sz w:val="16"/>
                <w:szCs w:val="16"/>
              </w:rPr>
              <w:t>7 177 393,0</w:t>
            </w:r>
          </w:p>
        </w:tc>
        <w:tc>
          <w:tcPr>
            <w:tcW w:w="740" w:type="dxa"/>
            <w:tcBorders>
              <w:top w:val="nil"/>
              <w:left w:val="nil"/>
              <w:bottom w:val="single" w:sz="4" w:space="0" w:color="auto"/>
              <w:right w:val="single" w:sz="4" w:space="0" w:color="auto"/>
            </w:tcBorders>
            <w:noWrap/>
            <w:hideMark/>
          </w:tcPr>
          <w:p w14:paraId="7383E601" w14:textId="77777777" w:rsidR="00DC5BD7" w:rsidRPr="001A28D2" w:rsidRDefault="00DC5BD7" w:rsidP="00F47317">
            <w:pPr>
              <w:jc w:val="right"/>
              <w:rPr>
                <w:color w:val="000000"/>
                <w:sz w:val="16"/>
                <w:szCs w:val="16"/>
              </w:rPr>
            </w:pPr>
            <w:r w:rsidRPr="001A28D2">
              <w:rPr>
                <w:color w:val="000000"/>
                <w:sz w:val="16"/>
                <w:szCs w:val="16"/>
              </w:rPr>
              <w:t>44 926,4</w:t>
            </w:r>
          </w:p>
        </w:tc>
        <w:tc>
          <w:tcPr>
            <w:tcW w:w="740" w:type="dxa"/>
            <w:tcBorders>
              <w:top w:val="nil"/>
              <w:left w:val="nil"/>
              <w:bottom w:val="single" w:sz="4" w:space="0" w:color="auto"/>
              <w:right w:val="single" w:sz="4" w:space="0" w:color="auto"/>
            </w:tcBorders>
            <w:noWrap/>
            <w:hideMark/>
          </w:tcPr>
          <w:p w14:paraId="261BAF19" w14:textId="77777777" w:rsidR="00DC5BD7" w:rsidRPr="001A28D2" w:rsidRDefault="00DC5BD7" w:rsidP="00F47317">
            <w:pPr>
              <w:jc w:val="right"/>
              <w:rPr>
                <w:color w:val="000000"/>
                <w:sz w:val="16"/>
                <w:szCs w:val="16"/>
              </w:rPr>
            </w:pPr>
            <w:r w:rsidRPr="001A28D2">
              <w:rPr>
                <w:color w:val="000000"/>
                <w:sz w:val="16"/>
                <w:szCs w:val="16"/>
              </w:rPr>
              <w:t>15 016,3</w:t>
            </w:r>
          </w:p>
        </w:tc>
        <w:tc>
          <w:tcPr>
            <w:tcW w:w="820" w:type="dxa"/>
            <w:tcBorders>
              <w:top w:val="nil"/>
              <w:left w:val="nil"/>
              <w:bottom w:val="single" w:sz="4" w:space="0" w:color="auto"/>
              <w:right w:val="single" w:sz="4" w:space="0" w:color="auto"/>
            </w:tcBorders>
            <w:noWrap/>
            <w:hideMark/>
          </w:tcPr>
          <w:p w14:paraId="0F1919F1" w14:textId="77777777" w:rsidR="00DC5BD7" w:rsidRPr="001A28D2" w:rsidRDefault="00DC5BD7" w:rsidP="00F47317">
            <w:pPr>
              <w:jc w:val="right"/>
              <w:rPr>
                <w:color w:val="000000"/>
                <w:sz w:val="16"/>
                <w:szCs w:val="16"/>
              </w:rPr>
            </w:pPr>
            <w:r w:rsidRPr="001A28D2">
              <w:rPr>
                <w:color w:val="000000"/>
                <w:sz w:val="16"/>
                <w:szCs w:val="16"/>
              </w:rPr>
              <w:t>469 313,8</w:t>
            </w:r>
          </w:p>
        </w:tc>
        <w:tc>
          <w:tcPr>
            <w:tcW w:w="1060" w:type="dxa"/>
            <w:tcBorders>
              <w:top w:val="nil"/>
              <w:left w:val="nil"/>
              <w:bottom w:val="single" w:sz="4" w:space="0" w:color="auto"/>
              <w:right w:val="single" w:sz="4" w:space="0" w:color="auto"/>
            </w:tcBorders>
            <w:noWrap/>
            <w:hideMark/>
          </w:tcPr>
          <w:p w14:paraId="5104ED72" w14:textId="77777777" w:rsidR="00DC5BD7" w:rsidRPr="001A28D2" w:rsidRDefault="00DC5BD7" w:rsidP="00F47317">
            <w:pPr>
              <w:jc w:val="right"/>
              <w:rPr>
                <w:color w:val="000000"/>
                <w:sz w:val="16"/>
                <w:szCs w:val="16"/>
              </w:rPr>
            </w:pPr>
            <w:r w:rsidRPr="001A28D2">
              <w:rPr>
                <w:color w:val="000000"/>
                <w:sz w:val="16"/>
                <w:szCs w:val="16"/>
              </w:rPr>
              <w:t>12 840 664,0</w:t>
            </w:r>
          </w:p>
        </w:tc>
        <w:tc>
          <w:tcPr>
            <w:tcW w:w="980" w:type="dxa"/>
            <w:tcBorders>
              <w:top w:val="nil"/>
              <w:left w:val="nil"/>
              <w:bottom w:val="single" w:sz="4" w:space="0" w:color="auto"/>
              <w:right w:val="single" w:sz="4" w:space="0" w:color="auto"/>
            </w:tcBorders>
            <w:noWrap/>
            <w:hideMark/>
          </w:tcPr>
          <w:p w14:paraId="4515FF69" w14:textId="79E10CB0" w:rsidR="00DC5BD7" w:rsidRPr="001A28D2" w:rsidRDefault="00DC5BD7" w:rsidP="00167A09">
            <w:pPr>
              <w:jc w:val="right"/>
              <w:rPr>
                <w:color w:val="000000"/>
                <w:sz w:val="16"/>
                <w:szCs w:val="16"/>
              </w:rPr>
            </w:pPr>
            <w:r w:rsidRPr="001A28D2">
              <w:rPr>
                <w:color w:val="000000"/>
                <w:sz w:val="16"/>
                <w:szCs w:val="16"/>
              </w:rPr>
              <w:t>4 6</w:t>
            </w:r>
            <w:r w:rsidR="00167A09" w:rsidRPr="001A28D2">
              <w:rPr>
                <w:color w:val="000000"/>
                <w:sz w:val="16"/>
                <w:szCs w:val="16"/>
              </w:rPr>
              <w:t>14</w:t>
            </w:r>
            <w:r w:rsidRPr="001A28D2">
              <w:rPr>
                <w:color w:val="000000"/>
                <w:sz w:val="16"/>
                <w:szCs w:val="16"/>
              </w:rPr>
              <w:t xml:space="preserve"> 4</w:t>
            </w:r>
            <w:r w:rsidR="00167A09" w:rsidRPr="001A28D2">
              <w:rPr>
                <w:color w:val="000000"/>
                <w:sz w:val="16"/>
                <w:szCs w:val="16"/>
              </w:rPr>
              <w:t>22</w:t>
            </w:r>
            <w:r w:rsidRPr="001A28D2">
              <w:rPr>
                <w:color w:val="000000"/>
                <w:sz w:val="16"/>
                <w:szCs w:val="16"/>
              </w:rPr>
              <w:t>,</w:t>
            </w:r>
            <w:r w:rsidR="00167A09" w:rsidRPr="001A28D2">
              <w:rPr>
                <w:color w:val="000000"/>
                <w:sz w:val="16"/>
                <w:szCs w:val="16"/>
              </w:rPr>
              <w:t>3</w:t>
            </w:r>
          </w:p>
        </w:tc>
      </w:tr>
      <w:tr w:rsidR="00DC5BD7" w:rsidRPr="001A28D2" w14:paraId="1E8A7479" w14:textId="77777777" w:rsidTr="00F47317">
        <w:trPr>
          <w:trHeight w:val="225"/>
        </w:trPr>
        <w:tc>
          <w:tcPr>
            <w:tcW w:w="700" w:type="dxa"/>
            <w:tcBorders>
              <w:top w:val="nil"/>
              <w:left w:val="single" w:sz="4" w:space="0" w:color="auto"/>
              <w:bottom w:val="single" w:sz="4" w:space="0" w:color="auto"/>
              <w:right w:val="single" w:sz="4" w:space="0" w:color="auto"/>
            </w:tcBorders>
            <w:noWrap/>
            <w:hideMark/>
          </w:tcPr>
          <w:p w14:paraId="714335CF" w14:textId="77777777" w:rsidR="00DC5BD7" w:rsidRPr="001A28D2" w:rsidRDefault="00DC5BD7" w:rsidP="00F47317">
            <w:pPr>
              <w:rPr>
                <w:color w:val="000000"/>
                <w:sz w:val="16"/>
                <w:szCs w:val="16"/>
              </w:rPr>
            </w:pPr>
            <w:r w:rsidRPr="001A28D2">
              <w:rPr>
                <w:color w:val="000000"/>
                <w:sz w:val="16"/>
                <w:szCs w:val="16"/>
              </w:rPr>
              <w:t>2016 г.</w:t>
            </w:r>
          </w:p>
        </w:tc>
        <w:tc>
          <w:tcPr>
            <w:tcW w:w="1020" w:type="dxa"/>
            <w:tcBorders>
              <w:top w:val="nil"/>
              <w:left w:val="nil"/>
              <w:bottom w:val="single" w:sz="4" w:space="0" w:color="auto"/>
              <w:right w:val="single" w:sz="4" w:space="0" w:color="auto"/>
            </w:tcBorders>
            <w:noWrap/>
            <w:hideMark/>
          </w:tcPr>
          <w:p w14:paraId="3A743505" w14:textId="4BE911E0" w:rsidR="00DC5BD7" w:rsidRPr="001A28D2" w:rsidRDefault="00DC608B" w:rsidP="00F47317">
            <w:pPr>
              <w:jc w:val="right"/>
              <w:rPr>
                <w:color w:val="000000"/>
                <w:sz w:val="16"/>
                <w:szCs w:val="16"/>
              </w:rPr>
            </w:pPr>
            <w:r w:rsidRPr="001A28D2">
              <w:rPr>
                <w:color w:val="000000"/>
                <w:sz w:val="16"/>
                <w:szCs w:val="16"/>
              </w:rPr>
              <w:t>32 491 361,1</w:t>
            </w:r>
          </w:p>
        </w:tc>
        <w:tc>
          <w:tcPr>
            <w:tcW w:w="1040" w:type="dxa"/>
            <w:tcBorders>
              <w:top w:val="nil"/>
              <w:left w:val="nil"/>
              <w:bottom w:val="single" w:sz="4" w:space="0" w:color="auto"/>
              <w:right w:val="single" w:sz="4" w:space="0" w:color="auto"/>
            </w:tcBorders>
            <w:noWrap/>
            <w:hideMark/>
          </w:tcPr>
          <w:p w14:paraId="1722CD2C" w14:textId="77777777" w:rsidR="00DC5BD7" w:rsidRPr="001A28D2" w:rsidRDefault="00DC5BD7" w:rsidP="00F47317">
            <w:pPr>
              <w:jc w:val="right"/>
              <w:rPr>
                <w:color w:val="000000"/>
                <w:sz w:val="16"/>
                <w:szCs w:val="16"/>
              </w:rPr>
            </w:pPr>
            <w:r w:rsidRPr="001A28D2">
              <w:rPr>
                <w:color w:val="000000"/>
                <w:sz w:val="16"/>
                <w:szCs w:val="16"/>
              </w:rPr>
              <w:t>10 965 498,5</w:t>
            </w:r>
          </w:p>
        </w:tc>
        <w:tc>
          <w:tcPr>
            <w:tcW w:w="940" w:type="dxa"/>
            <w:tcBorders>
              <w:top w:val="nil"/>
              <w:left w:val="nil"/>
              <w:bottom w:val="single" w:sz="4" w:space="0" w:color="auto"/>
              <w:right w:val="single" w:sz="4" w:space="0" w:color="auto"/>
            </w:tcBorders>
            <w:noWrap/>
            <w:hideMark/>
          </w:tcPr>
          <w:p w14:paraId="2D25C7FC" w14:textId="77777777" w:rsidR="00DC5BD7" w:rsidRPr="001A28D2" w:rsidRDefault="00DC5BD7" w:rsidP="00F47317">
            <w:pPr>
              <w:jc w:val="right"/>
              <w:rPr>
                <w:color w:val="000000"/>
                <w:sz w:val="16"/>
                <w:szCs w:val="16"/>
              </w:rPr>
            </w:pPr>
            <w:r w:rsidRPr="001A28D2">
              <w:rPr>
                <w:color w:val="000000"/>
                <w:sz w:val="16"/>
                <w:szCs w:val="16"/>
              </w:rPr>
              <w:t>1 865 656,7</w:t>
            </w:r>
          </w:p>
        </w:tc>
        <w:tc>
          <w:tcPr>
            <w:tcW w:w="940" w:type="dxa"/>
            <w:tcBorders>
              <w:top w:val="nil"/>
              <w:left w:val="nil"/>
              <w:bottom w:val="single" w:sz="4" w:space="0" w:color="auto"/>
              <w:right w:val="single" w:sz="4" w:space="0" w:color="auto"/>
            </w:tcBorders>
            <w:noWrap/>
            <w:hideMark/>
          </w:tcPr>
          <w:p w14:paraId="1D75CE77" w14:textId="77777777" w:rsidR="00DC5BD7" w:rsidRPr="001A28D2" w:rsidRDefault="00DC5BD7" w:rsidP="00F47317">
            <w:pPr>
              <w:jc w:val="right"/>
              <w:rPr>
                <w:color w:val="000000"/>
                <w:sz w:val="16"/>
                <w:szCs w:val="16"/>
              </w:rPr>
            </w:pPr>
            <w:r w:rsidRPr="001A28D2">
              <w:rPr>
                <w:color w:val="000000"/>
                <w:sz w:val="16"/>
                <w:szCs w:val="16"/>
              </w:rPr>
              <w:t>8 520 013,4</w:t>
            </w:r>
          </w:p>
        </w:tc>
        <w:tc>
          <w:tcPr>
            <w:tcW w:w="740" w:type="dxa"/>
            <w:tcBorders>
              <w:top w:val="nil"/>
              <w:left w:val="nil"/>
              <w:bottom w:val="single" w:sz="4" w:space="0" w:color="auto"/>
              <w:right w:val="single" w:sz="4" w:space="0" w:color="auto"/>
            </w:tcBorders>
            <w:noWrap/>
            <w:hideMark/>
          </w:tcPr>
          <w:p w14:paraId="4B7E5C62" w14:textId="77777777" w:rsidR="00DC5BD7" w:rsidRPr="001A28D2" w:rsidRDefault="00DC5BD7" w:rsidP="00F47317">
            <w:pPr>
              <w:jc w:val="right"/>
              <w:rPr>
                <w:color w:val="000000"/>
                <w:sz w:val="16"/>
                <w:szCs w:val="16"/>
              </w:rPr>
            </w:pPr>
            <w:r w:rsidRPr="001A28D2">
              <w:rPr>
                <w:color w:val="000000"/>
                <w:sz w:val="16"/>
                <w:szCs w:val="16"/>
              </w:rPr>
              <w:t>48 358,8</w:t>
            </w:r>
          </w:p>
        </w:tc>
        <w:tc>
          <w:tcPr>
            <w:tcW w:w="740" w:type="dxa"/>
            <w:tcBorders>
              <w:top w:val="nil"/>
              <w:left w:val="nil"/>
              <w:bottom w:val="single" w:sz="4" w:space="0" w:color="auto"/>
              <w:right w:val="single" w:sz="4" w:space="0" w:color="auto"/>
            </w:tcBorders>
            <w:noWrap/>
            <w:hideMark/>
          </w:tcPr>
          <w:p w14:paraId="49AAFB6F" w14:textId="77777777" w:rsidR="00DC5BD7" w:rsidRPr="001A28D2" w:rsidRDefault="00DC5BD7" w:rsidP="00F47317">
            <w:pPr>
              <w:jc w:val="right"/>
              <w:rPr>
                <w:color w:val="000000"/>
                <w:sz w:val="16"/>
                <w:szCs w:val="16"/>
              </w:rPr>
            </w:pPr>
            <w:r w:rsidRPr="001A28D2">
              <w:rPr>
                <w:color w:val="000000"/>
                <w:sz w:val="16"/>
                <w:szCs w:val="16"/>
              </w:rPr>
              <w:t>15 066,6</w:t>
            </w:r>
          </w:p>
        </w:tc>
        <w:tc>
          <w:tcPr>
            <w:tcW w:w="820" w:type="dxa"/>
            <w:tcBorders>
              <w:top w:val="nil"/>
              <w:left w:val="nil"/>
              <w:bottom w:val="single" w:sz="4" w:space="0" w:color="auto"/>
              <w:right w:val="single" w:sz="4" w:space="0" w:color="auto"/>
            </w:tcBorders>
            <w:noWrap/>
            <w:hideMark/>
          </w:tcPr>
          <w:p w14:paraId="3F7CB760" w14:textId="77777777" w:rsidR="00DC5BD7" w:rsidRPr="001A28D2" w:rsidRDefault="00DC5BD7" w:rsidP="00F47317">
            <w:pPr>
              <w:jc w:val="right"/>
              <w:rPr>
                <w:color w:val="000000"/>
                <w:sz w:val="16"/>
                <w:szCs w:val="16"/>
              </w:rPr>
            </w:pPr>
            <w:r w:rsidRPr="001A28D2">
              <w:rPr>
                <w:color w:val="000000"/>
                <w:sz w:val="16"/>
                <w:szCs w:val="16"/>
              </w:rPr>
              <w:t>516 402,9</w:t>
            </w:r>
          </w:p>
        </w:tc>
        <w:tc>
          <w:tcPr>
            <w:tcW w:w="1060" w:type="dxa"/>
            <w:tcBorders>
              <w:top w:val="nil"/>
              <w:left w:val="nil"/>
              <w:bottom w:val="single" w:sz="4" w:space="0" w:color="auto"/>
              <w:right w:val="single" w:sz="4" w:space="0" w:color="auto"/>
            </w:tcBorders>
            <w:noWrap/>
            <w:hideMark/>
          </w:tcPr>
          <w:p w14:paraId="2E93C6DA" w14:textId="77777777" w:rsidR="00DC5BD7" w:rsidRPr="001A28D2" w:rsidRDefault="00DC5BD7" w:rsidP="00F47317">
            <w:pPr>
              <w:jc w:val="right"/>
              <w:rPr>
                <w:color w:val="000000"/>
                <w:sz w:val="16"/>
                <w:szCs w:val="16"/>
              </w:rPr>
            </w:pPr>
            <w:r w:rsidRPr="001A28D2">
              <w:rPr>
                <w:color w:val="000000"/>
                <w:sz w:val="16"/>
                <w:szCs w:val="16"/>
              </w:rPr>
              <w:t>13 435 827,1</w:t>
            </w:r>
          </w:p>
        </w:tc>
        <w:tc>
          <w:tcPr>
            <w:tcW w:w="980" w:type="dxa"/>
            <w:tcBorders>
              <w:top w:val="nil"/>
              <w:left w:val="nil"/>
              <w:bottom w:val="single" w:sz="4" w:space="0" w:color="auto"/>
              <w:right w:val="single" w:sz="4" w:space="0" w:color="auto"/>
            </w:tcBorders>
            <w:noWrap/>
            <w:hideMark/>
          </w:tcPr>
          <w:p w14:paraId="76405F07" w14:textId="7829360F" w:rsidR="00DC5BD7" w:rsidRPr="001A28D2" w:rsidRDefault="007805CA" w:rsidP="00F47317">
            <w:pPr>
              <w:jc w:val="right"/>
              <w:rPr>
                <w:color w:val="000000"/>
                <w:sz w:val="16"/>
                <w:szCs w:val="16"/>
              </w:rPr>
            </w:pPr>
            <w:r w:rsidRPr="001A28D2">
              <w:rPr>
                <w:color w:val="000000"/>
                <w:sz w:val="16"/>
                <w:szCs w:val="16"/>
              </w:rPr>
              <w:t>5 164 091,9</w:t>
            </w:r>
          </w:p>
        </w:tc>
      </w:tr>
      <w:tr w:rsidR="00DC5BD7" w:rsidRPr="001A28D2" w14:paraId="322790A1" w14:textId="77777777" w:rsidTr="00F47317">
        <w:trPr>
          <w:trHeight w:val="225"/>
        </w:trPr>
        <w:tc>
          <w:tcPr>
            <w:tcW w:w="700" w:type="dxa"/>
            <w:tcBorders>
              <w:top w:val="nil"/>
              <w:left w:val="single" w:sz="4" w:space="0" w:color="auto"/>
              <w:bottom w:val="single" w:sz="4" w:space="0" w:color="auto"/>
              <w:right w:val="single" w:sz="4" w:space="0" w:color="auto"/>
            </w:tcBorders>
            <w:noWrap/>
            <w:hideMark/>
          </w:tcPr>
          <w:p w14:paraId="40A31335" w14:textId="77777777" w:rsidR="00DC5BD7" w:rsidRPr="001A28D2" w:rsidRDefault="00DC5BD7" w:rsidP="00F47317">
            <w:pPr>
              <w:rPr>
                <w:color w:val="000000"/>
                <w:sz w:val="16"/>
                <w:szCs w:val="16"/>
              </w:rPr>
            </w:pPr>
            <w:r w:rsidRPr="001A28D2">
              <w:rPr>
                <w:color w:val="000000"/>
                <w:sz w:val="16"/>
                <w:szCs w:val="16"/>
              </w:rPr>
              <w:t>Разлика</w:t>
            </w:r>
          </w:p>
        </w:tc>
        <w:tc>
          <w:tcPr>
            <w:tcW w:w="1020" w:type="dxa"/>
            <w:tcBorders>
              <w:top w:val="nil"/>
              <w:left w:val="nil"/>
              <w:bottom w:val="single" w:sz="4" w:space="0" w:color="auto"/>
              <w:right w:val="single" w:sz="4" w:space="0" w:color="auto"/>
            </w:tcBorders>
            <w:noWrap/>
            <w:hideMark/>
          </w:tcPr>
          <w:p w14:paraId="4B24BC82" w14:textId="1C4A1B94" w:rsidR="00DC5BD7" w:rsidRPr="001A28D2" w:rsidRDefault="00675562" w:rsidP="00167A09">
            <w:pPr>
              <w:jc w:val="right"/>
              <w:rPr>
                <w:color w:val="000000"/>
                <w:sz w:val="16"/>
                <w:szCs w:val="16"/>
              </w:rPr>
            </w:pPr>
            <w:r w:rsidRPr="001A28D2">
              <w:rPr>
                <w:color w:val="000000"/>
                <w:sz w:val="16"/>
                <w:szCs w:val="16"/>
              </w:rPr>
              <w:t>-2 193 408,7</w:t>
            </w:r>
          </w:p>
        </w:tc>
        <w:tc>
          <w:tcPr>
            <w:tcW w:w="1040" w:type="dxa"/>
            <w:tcBorders>
              <w:top w:val="nil"/>
              <w:left w:val="nil"/>
              <w:bottom w:val="single" w:sz="4" w:space="0" w:color="auto"/>
              <w:right w:val="single" w:sz="4" w:space="0" w:color="auto"/>
            </w:tcBorders>
            <w:noWrap/>
            <w:hideMark/>
          </w:tcPr>
          <w:p w14:paraId="5B60A26A" w14:textId="77777777" w:rsidR="00DC5BD7" w:rsidRPr="001A28D2" w:rsidRDefault="00DC5BD7" w:rsidP="00F47317">
            <w:pPr>
              <w:jc w:val="right"/>
              <w:rPr>
                <w:color w:val="000000"/>
                <w:sz w:val="16"/>
                <w:szCs w:val="16"/>
              </w:rPr>
            </w:pPr>
            <w:r w:rsidRPr="001A28D2">
              <w:rPr>
                <w:color w:val="000000"/>
                <w:sz w:val="16"/>
                <w:szCs w:val="16"/>
              </w:rPr>
              <w:t>1 342 043,7</w:t>
            </w:r>
          </w:p>
        </w:tc>
        <w:tc>
          <w:tcPr>
            <w:tcW w:w="940" w:type="dxa"/>
            <w:tcBorders>
              <w:top w:val="nil"/>
              <w:left w:val="nil"/>
              <w:bottom w:val="single" w:sz="4" w:space="0" w:color="auto"/>
              <w:right w:val="single" w:sz="4" w:space="0" w:color="auto"/>
            </w:tcBorders>
            <w:noWrap/>
            <w:hideMark/>
          </w:tcPr>
          <w:p w14:paraId="25439886" w14:textId="77777777" w:rsidR="00DC5BD7" w:rsidRPr="001A28D2" w:rsidRDefault="00DC5BD7" w:rsidP="00F47317">
            <w:pPr>
              <w:jc w:val="right"/>
              <w:rPr>
                <w:color w:val="000000"/>
                <w:sz w:val="16"/>
                <w:szCs w:val="16"/>
              </w:rPr>
            </w:pPr>
            <w:r w:rsidRPr="001A28D2">
              <w:rPr>
                <w:color w:val="000000"/>
                <w:sz w:val="16"/>
                <w:szCs w:val="16"/>
              </w:rPr>
              <w:t>-51 148,5</w:t>
            </w:r>
          </w:p>
        </w:tc>
        <w:tc>
          <w:tcPr>
            <w:tcW w:w="940" w:type="dxa"/>
            <w:tcBorders>
              <w:top w:val="nil"/>
              <w:left w:val="nil"/>
              <w:bottom w:val="single" w:sz="4" w:space="0" w:color="auto"/>
              <w:right w:val="single" w:sz="4" w:space="0" w:color="auto"/>
            </w:tcBorders>
            <w:noWrap/>
            <w:hideMark/>
          </w:tcPr>
          <w:p w14:paraId="2D3F0241" w14:textId="77777777" w:rsidR="00DC5BD7" w:rsidRPr="001A28D2" w:rsidRDefault="00DC5BD7" w:rsidP="00F47317">
            <w:pPr>
              <w:jc w:val="right"/>
              <w:rPr>
                <w:color w:val="000000"/>
                <w:sz w:val="16"/>
                <w:szCs w:val="16"/>
              </w:rPr>
            </w:pPr>
            <w:r w:rsidRPr="001A28D2">
              <w:rPr>
                <w:color w:val="000000"/>
                <w:sz w:val="16"/>
                <w:szCs w:val="16"/>
              </w:rPr>
              <w:t>1 342 620,4</w:t>
            </w:r>
          </w:p>
        </w:tc>
        <w:tc>
          <w:tcPr>
            <w:tcW w:w="740" w:type="dxa"/>
            <w:tcBorders>
              <w:top w:val="nil"/>
              <w:left w:val="nil"/>
              <w:bottom w:val="single" w:sz="4" w:space="0" w:color="auto"/>
              <w:right w:val="single" w:sz="4" w:space="0" w:color="auto"/>
            </w:tcBorders>
            <w:noWrap/>
            <w:hideMark/>
          </w:tcPr>
          <w:p w14:paraId="65464C94" w14:textId="77777777" w:rsidR="00DC5BD7" w:rsidRPr="001A28D2" w:rsidRDefault="00DC5BD7" w:rsidP="00F47317">
            <w:pPr>
              <w:jc w:val="right"/>
              <w:rPr>
                <w:color w:val="000000"/>
                <w:sz w:val="16"/>
                <w:szCs w:val="16"/>
              </w:rPr>
            </w:pPr>
            <w:r w:rsidRPr="001A28D2">
              <w:rPr>
                <w:color w:val="000000"/>
                <w:sz w:val="16"/>
                <w:szCs w:val="16"/>
              </w:rPr>
              <w:t>3 432,4</w:t>
            </w:r>
          </w:p>
        </w:tc>
        <w:tc>
          <w:tcPr>
            <w:tcW w:w="740" w:type="dxa"/>
            <w:tcBorders>
              <w:top w:val="nil"/>
              <w:left w:val="nil"/>
              <w:bottom w:val="single" w:sz="4" w:space="0" w:color="auto"/>
              <w:right w:val="single" w:sz="4" w:space="0" w:color="auto"/>
            </w:tcBorders>
            <w:noWrap/>
            <w:hideMark/>
          </w:tcPr>
          <w:p w14:paraId="54F4C938" w14:textId="77777777" w:rsidR="00DC5BD7" w:rsidRPr="001A28D2" w:rsidRDefault="00DC5BD7" w:rsidP="00F47317">
            <w:pPr>
              <w:jc w:val="right"/>
              <w:rPr>
                <w:color w:val="000000"/>
                <w:sz w:val="16"/>
                <w:szCs w:val="16"/>
              </w:rPr>
            </w:pPr>
            <w:r w:rsidRPr="001A28D2">
              <w:rPr>
                <w:color w:val="000000"/>
                <w:sz w:val="16"/>
                <w:szCs w:val="16"/>
              </w:rPr>
              <w:t>50,3</w:t>
            </w:r>
          </w:p>
        </w:tc>
        <w:tc>
          <w:tcPr>
            <w:tcW w:w="820" w:type="dxa"/>
            <w:tcBorders>
              <w:top w:val="nil"/>
              <w:left w:val="nil"/>
              <w:bottom w:val="single" w:sz="4" w:space="0" w:color="auto"/>
              <w:right w:val="single" w:sz="4" w:space="0" w:color="auto"/>
            </w:tcBorders>
            <w:noWrap/>
            <w:hideMark/>
          </w:tcPr>
          <w:p w14:paraId="4DD8420F" w14:textId="77777777" w:rsidR="00DC5BD7" w:rsidRPr="001A28D2" w:rsidRDefault="00DC5BD7" w:rsidP="00F47317">
            <w:pPr>
              <w:jc w:val="right"/>
              <w:rPr>
                <w:color w:val="000000"/>
                <w:sz w:val="16"/>
                <w:szCs w:val="16"/>
              </w:rPr>
            </w:pPr>
            <w:r w:rsidRPr="001A28D2">
              <w:rPr>
                <w:color w:val="000000"/>
                <w:sz w:val="16"/>
                <w:szCs w:val="16"/>
              </w:rPr>
              <w:t>47 089,1</w:t>
            </w:r>
          </w:p>
        </w:tc>
        <w:tc>
          <w:tcPr>
            <w:tcW w:w="1060" w:type="dxa"/>
            <w:tcBorders>
              <w:top w:val="nil"/>
              <w:left w:val="nil"/>
              <w:bottom w:val="single" w:sz="4" w:space="0" w:color="auto"/>
              <w:right w:val="single" w:sz="4" w:space="0" w:color="auto"/>
            </w:tcBorders>
            <w:noWrap/>
            <w:hideMark/>
          </w:tcPr>
          <w:p w14:paraId="7C6B15AF" w14:textId="294C166D" w:rsidR="00DC5BD7" w:rsidRPr="001A28D2" w:rsidRDefault="00DC5BD7" w:rsidP="00AB390A">
            <w:pPr>
              <w:jc w:val="right"/>
              <w:rPr>
                <w:color w:val="000000"/>
                <w:sz w:val="16"/>
                <w:szCs w:val="16"/>
              </w:rPr>
            </w:pPr>
            <w:r w:rsidRPr="001A28D2">
              <w:rPr>
                <w:color w:val="000000"/>
                <w:sz w:val="16"/>
                <w:szCs w:val="16"/>
              </w:rPr>
              <w:t>595 163,</w:t>
            </w:r>
            <w:r w:rsidR="00AB390A" w:rsidRPr="001A28D2">
              <w:rPr>
                <w:color w:val="000000"/>
                <w:sz w:val="16"/>
                <w:szCs w:val="16"/>
              </w:rPr>
              <w:t>1</w:t>
            </w:r>
          </w:p>
        </w:tc>
        <w:tc>
          <w:tcPr>
            <w:tcW w:w="980" w:type="dxa"/>
            <w:tcBorders>
              <w:top w:val="nil"/>
              <w:left w:val="nil"/>
              <w:bottom w:val="single" w:sz="4" w:space="0" w:color="auto"/>
              <w:right w:val="single" w:sz="4" w:space="0" w:color="auto"/>
            </w:tcBorders>
            <w:noWrap/>
            <w:hideMark/>
          </w:tcPr>
          <w:p w14:paraId="332BCB6B" w14:textId="49CFFCC7" w:rsidR="00DC5BD7" w:rsidRPr="001A28D2" w:rsidRDefault="00675562" w:rsidP="00167A09">
            <w:pPr>
              <w:jc w:val="right"/>
              <w:rPr>
                <w:color w:val="000000"/>
                <w:sz w:val="16"/>
                <w:szCs w:val="16"/>
              </w:rPr>
            </w:pPr>
            <w:r w:rsidRPr="001A28D2">
              <w:rPr>
                <w:color w:val="000000"/>
                <w:sz w:val="16"/>
                <w:szCs w:val="16"/>
              </w:rPr>
              <w:t>549 669,6</w:t>
            </w:r>
          </w:p>
        </w:tc>
      </w:tr>
      <w:tr w:rsidR="00DC5BD7" w:rsidRPr="001A28D2" w14:paraId="7556A80E" w14:textId="77777777" w:rsidTr="00F47317">
        <w:trPr>
          <w:trHeight w:val="225"/>
        </w:trPr>
        <w:tc>
          <w:tcPr>
            <w:tcW w:w="700" w:type="dxa"/>
            <w:tcBorders>
              <w:top w:val="nil"/>
              <w:left w:val="single" w:sz="4" w:space="0" w:color="auto"/>
              <w:bottom w:val="single" w:sz="4" w:space="0" w:color="auto"/>
              <w:right w:val="single" w:sz="4" w:space="0" w:color="auto"/>
            </w:tcBorders>
            <w:noWrap/>
            <w:hideMark/>
          </w:tcPr>
          <w:p w14:paraId="32E43247" w14:textId="77777777" w:rsidR="00DC5BD7" w:rsidRPr="001A28D2" w:rsidRDefault="00DC5BD7" w:rsidP="00F47317">
            <w:pPr>
              <w:rPr>
                <w:color w:val="000000"/>
                <w:sz w:val="16"/>
                <w:szCs w:val="16"/>
              </w:rPr>
            </w:pPr>
            <w:r w:rsidRPr="001A28D2">
              <w:rPr>
                <w:color w:val="000000"/>
                <w:sz w:val="16"/>
                <w:szCs w:val="16"/>
              </w:rPr>
              <w:t>%</w:t>
            </w:r>
          </w:p>
        </w:tc>
        <w:tc>
          <w:tcPr>
            <w:tcW w:w="1020" w:type="dxa"/>
            <w:tcBorders>
              <w:top w:val="nil"/>
              <w:left w:val="nil"/>
              <w:bottom w:val="single" w:sz="4" w:space="0" w:color="auto"/>
              <w:right w:val="single" w:sz="4" w:space="0" w:color="auto"/>
            </w:tcBorders>
            <w:noWrap/>
            <w:hideMark/>
          </w:tcPr>
          <w:p w14:paraId="776993B3" w14:textId="77777777" w:rsidR="00DC5BD7" w:rsidRPr="001A28D2" w:rsidRDefault="00DC5BD7" w:rsidP="00F47317">
            <w:pPr>
              <w:jc w:val="right"/>
              <w:rPr>
                <w:color w:val="000000"/>
                <w:sz w:val="16"/>
                <w:szCs w:val="16"/>
              </w:rPr>
            </w:pPr>
            <w:r w:rsidRPr="001A28D2">
              <w:rPr>
                <w:color w:val="000000"/>
                <w:sz w:val="16"/>
                <w:szCs w:val="16"/>
              </w:rPr>
              <w:t>-6,3</w:t>
            </w:r>
          </w:p>
        </w:tc>
        <w:tc>
          <w:tcPr>
            <w:tcW w:w="1040" w:type="dxa"/>
            <w:tcBorders>
              <w:top w:val="nil"/>
              <w:left w:val="nil"/>
              <w:bottom w:val="single" w:sz="4" w:space="0" w:color="auto"/>
              <w:right w:val="single" w:sz="4" w:space="0" w:color="auto"/>
            </w:tcBorders>
            <w:noWrap/>
            <w:hideMark/>
          </w:tcPr>
          <w:p w14:paraId="285425ED" w14:textId="77777777" w:rsidR="00DC5BD7" w:rsidRPr="001A28D2" w:rsidRDefault="00DC5BD7" w:rsidP="00F47317">
            <w:pPr>
              <w:jc w:val="right"/>
              <w:rPr>
                <w:color w:val="000000"/>
                <w:sz w:val="16"/>
                <w:szCs w:val="16"/>
              </w:rPr>
            </w:pPr>
            <w:r w:rsidRPr="001A28D2">
              <w:rPr>
                <w:color w:val="000000"/>
                <w:sz w:val="16"/>
                <w:szCs w:val="16"/>
              </w:rPr>
              <w:t>13,9</w:t>
            </w:r>
          </w:p>
        </w:tc>
        <w:tc>
          <w:tcPr>
            <w:tcW w:w="940" w:type="dxa"/>
            <w:tcBorders>
              <w:top w:val="nil"/>
              <w:left w:val="nil"/>
              <w:bottom w:val="single" w:sz="4" w:space="0" w:color="auto"/>
              <w:right w:val="single" w:sz="4" w:space="0" w:color="auto"/>
            </w:tcBorders>
            <w:noWrap/>
            <w:hideMark/>
          </w:tcPr>
          <w:p w14:paraId="3F3FBE27" w14:textId="77777777" w:rsidR="00DC5BD7" w:rsidRPr="001A28D2" w:rsidRDefault="00DC5BD7" w:rsidP="00F47317">
            <w:pPr>
              <w:jc w:val="right"/>
              <w:rPr>
                <w:color w:val="000000"/>
                <w:sz w:val="16"/>
                <w:szCs w:val="16"/>
              </w:rPr>
            </w:pPr>
            <w:r w:rsidRPr="001A28D2">
              <w:rPr>
                <w:color w:val="000000"/>
                <w:sz w:val="16"/>
                <w:szCs w:val="16"/>
              </w:rPr>
              <w:t>-2,7</w:t>
            </w:r>
          </w:p>
        </w:tc>
        <w:tc>
          <w:tcPr>
            <w:tcW w:w="940" w:type="dxa"/>
            <w:tcBorders>
              <w:top w:val="nil"/>
              <w:left w:val="nil"/>
              <w:bottom w:val="single" w:sz="4" w:space="0" w:color="auto"/>
              <w:right w:val="single" w:sz="4" w:space="0" w:color="auto"/>
            </w:tcBorders>
            <w:noWrap/>
            <w:hideMark/>
          </w:tcPr>
          <w:p w14:paraId="0B6EBBD5" w14:textId="77777777" w:rsidR="00DC5BD7" w:rsidRPr="001A28D2" w:rsidRDefault="00DC5BD7" w:rsidP="00F47317">
            <w:pPr>
              <w:jc w:val="right"/>
              <w:rPr>
                <w:color w:val="000000"/>
                <w:sz w:val="16"/>
                <w:szCs w:val="16"/>
              </w:rPr>
            </w:pPr>
            <w:r w:rsidRPr="001A28D2">
              <w:rPr>
                <w:color w:val="000000"/>
                <w:sz w:val="16"/>
                <w:szCs w:val="16"/>
              </w:rPr>
              <w:t>18,7</w:t>
            </w:r>
          </w:p>
        </w:tc>
        <w:tc>
          <w:tcPr>
            <w:tcW w:w="740" w:type="dxa"/>
            <w:tcBorders>
              <w:top w:val="nil"/>
              <w:left w:val="nil"/>
              <w:bottom w:val="single" w:sz="4" w:space="0" w:color="auto"/>
              <w:right w:val="single" w:sz="4" w:space="0" w:color="auto"/>
            </w:tcBorders>
            <w:noWrap/>
            <w:hideMark/>
          </w:tcPr>
          <w:p w14:paraId="32288FCE" w14:textId="77777777" w:rsidR="00DC5BD7" w:rsidRPr="001A28D2" w:rsidRDefault="00DC5BD7" w:rsidP="00F47317">
            <w:pPr>
              <w:jc w:val="right"/>
              <w:rPr>
                <w:color w:val="000000"/>
                <w:sz w:val="16"/>
                <w:szCs w:val="16"/>
              </w:rPr>
            </w:pPr>
            <w:r w:rsidRPr="001A28D2">
              <w:rPr>
                <w:color w:val="000000"/>
                <w:sz w:val="16"/>
                <w:szCs w:val="16"/>
              </w:rPr>
              <w:t>7,6</w:t>
            </w:r>
          </w:p>
        </w:tc>
        <w:tc>
          <w:tcPr>
            <w:tcW w:w="740" w:type="dxa"/>
            <w:tcBorders>
              <w:top w:val="nil"/>
              <w:left w:val="nil"/>
              <w:bottom w:val="single" w:sz="4" w:space="0" w:color="auto"/>
              <w:right w:val="single" w:sz="4" w:space="0" w:color="auto"/>
            </w:tcBorders>
            <w:noWrap/>
            <w:hideMark/>
          </w:tcPr>
          <w:p w14:paraId="592198DE" w14:textId="77777777" w:rsidR="00DC5BD7" w:rsidRPr="001A28D2" w:rsidRDefault="00DC5BD7" w:rsidP="00F47317">
            <w:pPr>
              <w:jc w:val="right"/>
              <w:rPr>
                <w:color w:val="000000"/>
                <w:sz w:val="16"/>
                <w:szCs w:val="16"/>
              </w:rPr>
            </w:pPr>
            <w:r w:rsidRPr="001A28D2">
              <w:rPr>
                <w:color w:val="000000"/>
                <w:sz w:val="16"/>
                <w:szCs w:val="16"/>
              </w:rPr>
              <w:t>0,3</w:t>
            </w:r>
          </w:p>
        </w:tc>
        <w:tc>
          <w:tcPr>
            <w:tcW w:w="820" w:type="dxa"/>
            <w:tcBorders>
              <w:top w:val="nil"/>
              <w:left w:val="nil"/>
              <w:bottom w:val="single" w:sz="4" w:space="0" w:color="auto"/>
              <w:right w:val="single" w:sz="4" w:space="0" w:color="auto"/>
            </w:tcBorders>
            <w:noWrap/>
            <w:hideMark/>
          </w:tcPr>
          <w:p w14:paraId="78F25DFA" w14:textId="77777777" w:rsidR="00DC5BD7" w:rsidRPr="001A28D2" w:rsidRDefault="00DC5BD7" w:rsidP="00F47317">
            <w:pPr>
              <w:jc w:val="right"/>
              <w:rPr>
                <w:color w:val="000000"/>
                <w:sz w:val="16"/>
                <w:szCs w:val="16"/>
              </w:rPr>
            </w:pPr>
            <w:r w:rsidRPr="001A28D2">
              <w:rPr>
                <w:color w:val="000000"/>
                <w:sz w:val="16"/>
                <w:szCs w:val="16"/>
              </w:rPr>
              <w:t>10,0</w:t>
            </w:r>
          </w:p>
        </w:tc>
        <w:tc>
          <w:tcPr>
            <w:tcW w:w="1060" w:type="dxa"/>
            <w:tcBorders>
              <w:top w:val="nil"/>
              <w:left w:val="nil"/>
              <w:bottom w:val="single" w:sz="4" w:space="0" w:color="auto"/>
              <w:right w:val="single" w:sz="4" w:space="0" w:color="auto"/>
            </w:tcBorders>
            <w:noWrap/>
            <w:hideMark/>
          </w:tcPr>
          <w:p w14:paraId="050C3E27" w14:textId="77777777" w:rsidR="00DC5BD7" w:rsidRPr="001A28D2" w:rsidRDefault="00DC5BD7" w:rsidP="00F47317">
            <w:pPr>
              <w:jc w:val="right"/>
              <w:rPr>
                <w:color w:val="000000"/>
                <w:sz w:val="16"/>
                <w:szCs w:val="16"/>
              </w:rPr>
            </w:pPr>
            <w:r w:rsidRPr="001A28D2">
              <w:rPr>
                <w:color w:val="000000"/>
                <w:sz w:val="16"/>
                <w:szCs w:val="16"/>
              </w:rPr>
              <w:t>4,6</w:t>
            </w:r>
          </w:p>
        </w:tc>
        <w:tc>
          <w:tcPr>
            <w:tcW w:w="980" w:type="dxa"/>
            <w:tcBorders>
              <w:top w:val="nil"/>
              <w:left w:val="nil"/>
              <w:bottom w:val="single" w:sz="4" w:space="0" w:color="auto"/>
              <w:right w:val="single" w:sz="4" w:space="0" w:color="auto"/>
            </w:tcBorders>
            <w:noWrap/>
            <w:hideMark/>
          </w:tcPr>
          <w:p w14:paraId="41B91B3C" w14:textId="19A2DB77" w:rsidR="00DC5BD7" w:rsidRPr="001A28D2" w:rsidRDefault="00AC7224" w:rsidP="00B0648E">
            <w:pPr>
              <w:jc w:val="right"/>
              <w:rPr>
                <w:color w:val="000000"/>
                <w:sz w:val="16"/>
                <w:szCs w:val="16"/>
              </w:rPr>
            </w:pPr>
            <w:r w:rsidRPr="001A28D2">
              <w:rPr>
                <w:color w:val="000000"/>
                <w:sz w:val="16"/>
                <w:szCs w:val="16"/>
              </w:rPr>
              <w:t>11,9</w:t>
            </w:r>
          </w:p>
        </w:tc>
      </w:tr>
    </w:tbl>
    <w:p w14:paraId="187A2A6F" w14:textId="6D9E14EA" w:rsidR="00DC5BD7" w:rsidRPr="001A28D2" w:rsidRDefault="00DC5BD7" w:rsidP="00DC5BD7">
      <w:pPr>
        <w:ind w:firstLine="1134"/>
        <w:jc w:val="right"/>
        <w:rPr>
          <w:rFonts w:ascii="Times New Roman CYR" w:hAnsi="Times New Roman CYR" w:cs="Times New Roman CYR"/>
          <w:bCs/>
        </w:rPr>
      </w:pPr>
      <w:r w:rsidRPr="001A28D2">
        <w:rPr>
          <w:rFonts w:ascii="Times New Roman CYR" w:hAnsi="Times New Roman CYR" w:cs="Times New Roman CYR"/>
          <w:bCs/>
        </w:rPr>
        <w:t>(хил. лв.)</w:t>
      </w:r>
    </w:p>
    <w:p w14:paraId="649549BF" w14:textId="77777777" w:rsidR="00AB1F19" w:rsidRPr="001A28D2" w:rsidRDefault="00AB1F19" w:rsidP="00DC5BD7">
      <w:pPr>
        <w:ind w:firstLine="1134"/>
        <w:jc w:val="right"/>
        <w:rPr>
          <w:rFonts w:ascii="Times New Roman CYR" w:hAnsi="Times New Roman CYR" w:cs="Times New Roman CYR"/>
          <w:bCs/>
        </w:rPr>
      </w:pPr>
    </w:p>
    <w:tbl>
      <w:tblPr>
        <w:tblW w:w="9072" w:type="dxa"/>
        <w:jc w:val="center"/>
        <w:tblCellMar>
          <w:left w:w="70" w:type="dxa"/>
          <w:right w:w="70" w:type="dxa"/>
        </w:tblCellMar>
        <w:tblLook w:val="04A0" w:firstRow="1" w:lastRow="0" w:firstColumn="1" w:lastColumn="0" w:noHBand="0" w:noVBand="1"/>
      </w:tblPr>
      <w:tblGrid>
        <w:gridCol w:w="704"/>
        <w:gridCol w:w="851"/>
        <w:gridCol w:w="850"/>
        <w:gridCol w:w="709"/>
        <w:gridCol w:w="709"/>
        <w:gridCol w:w="708"/>
        <w:gridCol w:w="993"/>
        <w:gridCol w:w="992"/>
        <w:gridCol w:w="992"/>
        <w:gridCol w:w="721"/>
        <w:gridCol w:w="843"/>
      </w:tblGrid>
      <w:tr w:rsidR="00DC5BD7" w:rsidRPr="001A28D2" w14:paraId="61E44019" w14:textId="77777777" w:rsidTr="00F47317">
        <w:trPr>
          <w:trHeight w:val="870"/>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BDD6EE"/>
            <w:vAlign w:val="center"/>
            <w:hideMark/>
          </w:tcPr>
          <w:p w14:paraId="21BA95DB" w14:textId="77777777" w:rsidR="00DC5BD7" w:rsidRPr="001A28D2" w:rsidRDefault="00DC5BD7" w:rsidP="00F47317">
            <w:pPr>
              <w:jc w:val="both"/>
              <w:rPr>
                <w:b/>
                <w:bCs/>
                <w:sz w:val="16"/>
                <w:szCs w:val="16"/>
              </w:rPr>
            </w:pPr>
            <w:r w:rsidRPr="001A28D2">
              <w:rPr>
                <w:b/>
                <w:bCs/>
                <w:sz w:val="16"/>
                <w:szCs w:val="16"/>
              </w:rPr>
              <w:t xml:space="preserve">II. </w:t>
            </w:r>
            <w:proofErr w:type="spellStart"/>
            <w:r w:rsidRPr="001A28D2">
              <w:rPr>
                <w:b/>
                <w:bCs/>
                <w:sz w:val="16"/>
                <w:szCs w:val="16"/>
              </w:rPr>
              <w:t>Раз</w:t>
            </w:r>
            <w:proofErr w:type="spellEnd"/>
            <w:r w:rsidRPr="001A28D2">
              <w:rPr>
                <w:b/>
                <w:bCs/>
                <w:sz w:val="16"/>
                <w:szCs w:val="16"/>
              </w:rPr>
              <w:t xml:space="preserve"> ходи и вноска за ЕС</w:t>
            </w:r>
          </w:p>
        </w:tc>
        <w:tc>
          <w:tcPr>
            <w:tcW w:w="851" w:type="dxa"/>
            <w:tcBorders>
              <w:top w:val="single" w:sz="4" w:space="0" w:color="auto"/>
              <w:left w:val="nil"/>
              <w:bottom w:val="single" w:sz="4" w:space="0" w:color="auto"/>
              <w:right w:val="single" w:sz="4" w:space="0" w:color="auto"/>
            </w:tcBorders>
            <w:shd w:val="clear" w:color="auto" w:fill="BDD6EE"/>
            <w:noWrap/>
            <w:vAlign w:val="center"/>
            <w:hideMark/>
          </w:tcPr>
          <w:p w14:paraId="0E13A883" w14:textId="77777777" w:rsidR="00DC5BD7" w:rsidRPr="001A28D2" w:rsidRDefault="00DC5BD7" w:rsidP="00F47317">
            <w:pPr>
              <w:jc w:val="center"/>
              <w:rPr>
                <w:b/>
                <w:bCs/>
                <w:sz w:val="16"/>
                <w:szCs w:val="16"/>
              </w:rPr>
            </w:pPr>
            <w:r w:rsidRPr="001A28D2">
              <w:rPr>
                <w:b/>
                <w:bCs/>
                <w:sz w:val="16"/>
                <w:szCs w:val="16"/>
              </w:rPr>
              <w:t>ДВУ</w:t>
            </w:r>
          </w:p>
        </w:tc>
        <w:tc>
          <w:tcPr>
            <w:tcW w:w="850" w:type="dxa"/>
            <w:tcBorders>
              <w:top w:val="single" w:sz="4" w:space="0" w:color="auto"/>
              <w:left w:val="nil"/>
              <w:bottom w:val="single" w:sz="4" w:space="0" w:color="auto"/>
              <w:right w:val="single" w:sz="4" w:space="0" w:color="auto"/>
            </w:tcBorders>
            <w:shd w:val="clear" w:color="auto" w:fill="BDD6EE"/>
            <w:noWrap/>
            <w:vAlign w:val="center"/>
            <w:hideMark/>
          </w:tcPr>
          <w:p w14:paraId="233454AD" w14:textId="77777777" w:rsidR="00DC5BD7" w:rsidRPr="001A28D2" w:rsidRDefault="00DC5BD7" w:rsidP="00F47317">
            <w:pPr>
              <w:jc w:val="center"/>
              <w:rPr>
                <w:b/>
                <w:bCs/>
                <w:sz w:val="16"/>
                <w:szCs w:val="16"/>
              </w:rPr>
            </w:pPr>
            <w:r w:rsidRPr="001A28D2">
              <w:rPr>
                <w:b/>
                <w:bCs/>
                <w:sz w:val="16"/>
                <w:szCs w:val="16"/>
              </w:rPr>
              <w:t>БАН</w:t>
            </w:r>
          </w:p>
        </w:tc>
        <w:tc>
          <w:tcPr>
            <w:tcW w:w="709" w:type="dxa"/>
            <w:tcBorders>
              <w:top w:val="single" w:sz="4" w:space="0" w:color="auto"/>
              <w:left w:val="nil"/>
              <w:bottom w:val="single" w:sz="4" w:space="0" w:color="auto"/>
              <w:right w:val="single" w:sz="4" w:space="0" w:color="auto"/>
            </w:tcBorders>
            <w:shd w:val="clear" w:color="auto" w:fill="BDD6EE"/>
            <w:noWrap/>
            <w:vAlign w:val="center"/>
            <w:hideMark/>
          </w:tcPr>
          <w:p w14:paraId="29A13555" w14:textId="77777777" w:rsidR="00DC5BD7" w:rsidRPr="001A28D2" w:rsidRDefault="00DC5BD7" w:rsidP="00F47317">
            <w:pPr>
              <w:jc w:val="center"/>
              <w:rPr>
                <w:b/>
                <w:bCs/>
                <w:sz w:val="16"/>
                <w:szCs w:val="16"/>
              </w:rPr>
            </w:pPr>
            <w:r w:rsidRPr="001A28D2">
              <w:rPr>
                <w:b/>
                <w:bCs/>
                <w:sz w:val="16"/>
                <w:szCs w:val="16"/>
              </w:rPr>
              <w:t>БНР</w:t>
            </w:r>
          </w:p>
        </w:tc>
        <w:tc>
          <w:tcPr>
            <w:tcW w:w="709" w:type="dxa"/>
            <w:tcBorders>
              <w:top w:val="single" w:sz="4" w:space="0" w:color="auto"/>
              <w:left w:val="nil"/>
              <w:bottom w:val="single" w:sz="4" w:space="0" w:color="auto"/>
              <w:right w:val="single" w:sz="4" w:space="0" w:color="auto"/>
            </w:tcBorders>
            <w:shd w:val="clear" w:color="auto" w:fill="BDD6EE"/>
            <w:noWrap/>
            <w:vAlign w:val="center"/>
            <w:hideMark/>
          </w:tcPr>
          <w:p w14:paraId="2887D878" w14:textId="77777777" w:rsidR="00DC5BD7" w:rsidRPr="001A28D2" w:rsidRDefault="00DC5BD7" w:rsidP="00F47317">
            <w:pPr>
              <w:jc w:val="center"/>
              <w:rPr>
                <w:b/>
                <w:bCs/>
                <w:sz w:val="16"/>
                <w:szCs w:val="16"/>
              </w:rPr>
            </w:pPr>
            <w:r w:rsidRPr="001A28D2">
              <w:rPr>
                <w:b/>
                <w:bCs/>
                <w:sz w:val="16"/>
                <w:szCs w:val="16"/>
              </w:rPr>
              <w:t>БНТ</w:t>
            </w:r>
          </w:p>
        </w:tc>
        <w:tc>
          <w:tcPr>
            <w:tcW w:w="708" w:type="dxa"/>
            <w:tcBorders>
              <w:top w:val="single" w:sz="4" w:space="0" w:color="auto"/>
              <w:left w:val="nil"/>
              <w:bottom w:val="single" w:sz="4" w:space="0" w:color="auto"/>
              <w:right w:val="single" w:sz="4" w:space="0" w:color="auto"/>
            </w:tcBorders>
            <w:shd w:val="clear" w:color="auto" w:fill="BDD6EE"/>
            <w:noWrap/>
            <w:vAlign w:val="center"/>
            <w:hideMark/>
          </w:tcPr>
          <w:p w14:paraId="7E883E38" w14:textId="77777777" w:rsidR="00DC5BD7" w:rsidRPr="001A28D2" w:rsidRDefault="00DC5BD7" w:rsidP="00F47317">
            <w:pPr>
              <w:jc w:val="center"/>
              <w:rPr>
                <w:b/>
                <w:bCs/>
                <w:sz w:val="16"/>
                <w:szCs w:val="16"/>
              </w:rPr>
            </w:pPr>
            <w:r w:rsidRPr="001A28D2">
              <w:rPr>
                <w:b/>
                <w:bCs/>
                <w:sz w:val="16"/>
                <w:szCs w:val="16"/>
              </w:rPr>
              <w:t>БТА</w:t>
            </w:r>
          </w:p>
        </w:tc>
        <w:tc>
          <w:tcPr>
            <w:tcW w:w="993" w:type="dxa"/>
            <w:tcBorders>
              <w:top w:val="single" w:sz="4" w:space="0" w:color="auto"/>
              <w:left w:val="nil"/>
              <w:bottom w:val="single" w:sz="4" w:space="0" w:color="auto"/>
              <w:right w:val="single" w:sz="4" w:space="0" w:color="auto"/>
            </w:tcBorders>
            <w:shd w:val="clear" w:color="auto" w:fill="BDD6EE"/>
            <w:vAlign w:val="center"/>
            <w:hideMark/>
          </w:tcPr>
          <w:p w14:paraId="4BC7E740" w14:textId="77777777" w:rsidR="00DC5BD7" w:rsidRPr="001A28D2" w:rsidRDefault="00DC5BD7" w:rsidP="00F47317">
            <w:pPr>
              <w:jc w:val="center"/>
              <w:rPr>
                <w:b/>
                <w:bCs/>
                <w:sz w:val="16"/>
                <w:szCs w:val="16"/>
              </w:rPr>
            </w:pPr>
            <w:r w:rsidRPr="001A28D2">
              <w:rPr>
                <w:b/>
                <w:bCs/>
                <w:sz w:val="16"/>
                <w:szCs w:val="16"/>
              </w:rPr>
              <w:t xml:space="preserve">ПУДООС, Фонд </w:t>
            </w:r>
            <w:proofErr w:type="spellStart"/>
            <w:r w:rsidRPr="001A28D2">
              <w:rPr>
                <w:b/>
                <w:bCs/>
                <w:sz w:val="16"/>
                <w:szCs w:val="16"/>
              </w:rPr>
              <w:t>СЕлС</w:t>
            </w:r>
            <w:proofErr w:type="spellEnd"/>
            <w:r w:rsidRPr="001A28D2">
              <w:rPr>
                <w:b/>
                <w:bCs/>
                <w:sz w:val="16"/>
                <w:szCs w:val="16"/>
              </w:rPr>
              <w:t xml:space="preserve"> и НКСИП</w:t>
            </w:r>
          </w:p>
        </w:tc>
        <w:tc>
          <w:tcPr>
            <w:tcW w:w="992" w:type="dxa"/>
            <w:tcBorders>
              <w:top w:val="single" w:sz="4" w:space="0" w:color="auto"/>
              <w:left w:val="nil"/>
              <w:bottom w:val="single" w:sz="4" w:space="0" w:color="auto"/>
              <w:right w:val="single" w:sz="4" w:space="0" w:color="auto"/>
            </w:tcBorders>
            <w:shd w:val="clear" w:color="auto" w:fill="BDD6EE"/>
            <w:vAlign w:val="center"/>
            <w:hideMark/>
          </w:tcPr>
          <w:p w14:paraId="4EFF544C" w14:textId="77777777" w:rsidR="00DC5BD7" w:rsidRPr="001A28D2" w:rsidRDefault="00DC5BD7" w:rsidP="00F47317">
            <w:pPr>
              <w:jc w:val="center"/>
              <w:rPr>
                <w:b/>
                <w:bCs/>
                <w:sz w:val="16"/>
                <w:szCs w:val="16"/>
              </w:rPr>
            </w:pPr>
            <w:r w:rsidRPr="001A28D2">
              <w:rPr>
                <w:b/>
                <w:bCs/>
                <w:sz w:val="16"/>
                <w:szCs w:val="16"/>
              </w:rPr>
              <w:t>Средства от ЕС-ЦУ и СОФ</w:t>
            </w:r>
          </w:p>
        </w:tc>
        <w:tc>
          <w:tcPr>
            <w:tcW w:w="992" w:type="dxa"/>
            <w:tcBorders>
              <w:top w:val="single" w:sz="4" w:space="0" w:color="auto"/>
              <w:left w:val="nil"/>
              <w:bottom w:val="single" w:sz="4" w:space="0" w:color="auto"/>
              <w:right w:val="single" w:sz="4" w:space="0" w:color="auto"/>
            </w:tcBorders>
            <w:shd w:val="clear" w:color="auto" w:fill="BDD6EE"/>
            <w:vAlign w:val="center"/>
            <w:hideMark/>
          </w:tcPr>
          <w:p w14:paraId="3451BD7A" w14:textId="77777777" w:rsidR="00DC5BD7" w:rsidRPr="001A28D2" w:rsidRDefault="00DC5BD7" w:rsidP="00F47317">
            <w:pPr>
              <w:jc w:val="center"/>
              <w:rPr>
                <w:b/>
                <w:bCs/>
                <w:sz w:val="16"/>
                <w:szCs w:val="16"/>
              </w:rPr>
            </w:pPr>
            <w:r w:rsidRPr="001A28D2">
              <w:rPr>
                <w:b/>
                <w:bCs/>
                <w:sz w:val="16"/>
                <w:szCs w:val="16"/>
              </w:rPr>
              <w:t>Ср. от ЕС на общините общо</w:t>
            </w:r>
          </w:p>
        </w:tc>
        <w:tc>
          <w:tcPr>
            <w:tcW w:w="721" w:type="dxa"/>
            <w:tcBorders>
              <w:top w:val="single" w:sz="4" w:space="0" w:color="auto"/>
              <w:left w:val="nil"/>
              <w:bottom w:val="single" w:sz="4" w:space="0" w:color="auto"/>
              <w:right w:val="single" w:sz="4" w:space="0" w:color="auto"/>
            </w:tcBorders>
            <w:shd w:val="clear" w:color="auto" w:fill="BDD6EE"/>
            <w:vAlign w:val="center"/>
            <w:hideMark/>
          </w:tcPr>
          <w:p w14:paraId="3EDED14E" w14:textId="77777777" w:rsidR="00DC5BD7" w:rsidRPr="001A28D2" w:rsidRDefault="00DC5BD7" w:rsidP="00F47317">
            <w:pPr>
              <w:jc w:val="center"/>
              <w:rPr>
                <w:b/>
                <w:bCs/>
                <w:sz w:val="16"/>
                <w:szCs w:val="16"/>
              </w:rPr>
            </w:pPr>
            <w:r w:rsidRPr="001A28D2">
              <w:rPr>
                <w:b/>
                <w:bCs/>
                <w:sz w:val="16"/>
                <w:szCs w:val="16"/>
              </w:rPr>
              <w:t xml:space="preserve">Ср. от др. м/нар </w:t>
            </w:r>
            <w:proofErr w:type="spellStart"/>
            <w:r w:rsidRPr="001A28D2">
              <w:rPr>
                <w:b/>
                <w:bCs/>
                <w:sz w:val="16"/>
                <w:szCs w:val="16"/>
              </w:rPr>
              <w:t>прогр</w:t>
            </w:r>
            <w:proofErr w:type="spellEnd"/>
            <w:r w:rsidRPr="001A28D2">
              <w:rPr>
                <w:b/>
                <w:bCs/>
                <w:sz w:val="16"/>
                <w:szCs w:val="16"/>
              </w:rPr>
              <w:t>. общо</w:t>
            </w:r>
          </w:p>
        </w:tc>
        <w:tc>
          <w:tcPr>
            <w:tcW w:w="843" w:type="dxa"/>
            <w:tcBorders>
              <w:top w:val="single" w:sz="4" w:space="0" w:color="auto"/>
              <w:left w:val="nil"/>
              <w:bottom w:val="single" w:sz="4" w:space="0" w:color="auto"/>
              <w:right w:val="single" w:sz="4" w:space="0" w:color="auto"/>
            </w:tcBorders>
            <w:shd w:val="clear" w:color="auto" w:fill="BDD6EE"/>
            <w:vAlign w:val="center"/>
            <w:hideMark/>
          </w:tcPr>
          <w:p w14:paraId="05106AF7" w14:textId="77777777" w:rsidR="00DC5BD7" w:rsidRPr="001A28D2" w:rsidRDefault="00DC5BD7" w:rsidP="00F47317">
            <w:pPr>
              <w:jc w:val="center"/>
              <w:rPr>
                <w:b/>
                <w:bCs/>
                <w:sz w:val="16"/>
                <w:szCs w:val="16"/>
              </w:rPr>
            </w:pPr>
            <w:r w:rsidRPr="001A28D2">
              <w:rPr>
                <w:b/>
                <w:bCs/>
                <w:sz w:val="16"/>
                <w:szCs w:val="16"/>
              </w:rPr>
              <w:t>Сметки за ч. ср.</w:t>
            </w:r>
          </w:p>
        </w:tc>
      </w:tr>
      <w:tr w:rsidR="00DC5BD7" w:rsidRPr="001A28D2" w14:paraId="4A90BE57" w14:textId="77777777" w:rsidTr="00F47317">
        <w:trPr>
          <w:trHeight w:val="2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C7BEC08" w14:textId="77777777" w:rsidR="00DC5BD7" w:rsidRPr="001A28D2" w:rsidRDefault="00DC5BD7" w:rsidP="00F47317">
            <w:pPr>
              <w:rPr>
                <w:b/>
                <w:bCs/>
                <w:sz w:val="16"/>
                <w:szCs w:val="16"/>
              </w:rPr>
            </w:pPr>
          </w:p>
        </w:tc>
        <w:tc>
          <w:tcPr>
            <w:tcW w:w="851" w:type="dxa"/>
            <w:tcBorders>
              <w:top w:val="nil"/>
              <w:left w:val="nil"/>
              <w:bottom w:val="single" w:sz="4" w:space="0" w:color="auto"/>
              <w:right w:val="single" w:sz="4" w:space="0" w:color="auto"/>
            </w:tcBorders>
            <w:shd w:val="clear" w:color="auto" w:fill="FFFFFF"/>
            <w:noWrap/>
            <w:hideMark/>
          </w:tcPr>
          <w:p w14:paraId="091AA66F" w14:textId="77777777" w:rsidR="00DC5BD7" w:rsidRPr="001A28D2" w:rsidRDefault="00DC5BD7" w:rsidP="00F47317">
            <w:pPr>
              <w:jc w:val="center"/>
              <w:rPr>
                <w:b/>
                <w:bCs/>
                <w:sz w:val="16"/>
                <w:szCs w:val="16"/>
              </w:rPr>
            </w:pPr>
            <w:r w:rsidRPr="001A28D2">
              <w:rPr>
                <w:b/>
                <w:bCs/>
                <w:sz w:val="16"/>
                <w:szCs w:val="16"/>
              </w:rPr>
              <w:t>10</w:t>
            </w:r>
          </w:p>
        </w:tc>
        <w:tc>
          <w:tcPr>
            <w:tcW w:w="850" w:type="dxa"/>
            <w:tcBorders>
              <w:top w:val="nil"/>
              <w:left w:val="nil"/>
              <w:bottom w:val="single" w:sz="4" w:space="0" w:color="auto"/>
              <w:right w:val="single" w:sz="4" w:space="0" w:color="auto"/>
            </w:tcBorders>
            <w:shd w:val="clear" w:color="auto" w:fill="FFFFFF"/>
            <w:noWrap/>
            <w:hideMark/>
          </w:tcPr>
          <w:p w14:paraId="5E6F944A" w14:textId="77777777" w:rsidR="00DC5BD7" w:rsidRPr="001A28D2" w:rsidRDefault="00DC5BD7" w:rsidP="00F47317">
            <w:pPr>
              <w:jc w:val="center"/>
              <w:rPr>
                <w:b/>
                <w:bCs/>
                <w:sz w:val="16"/>
                <w:szCs w:val="16"/>
              </w:rPr>
            </w:pPr>
            <w:r w:rsidRPr="001A28D2">
              <w:rPr>
                <w:b/>
                <w:bCs/>
                <w:sz w:val="16"/>
                <w:szCs w:val="16"/>
              </w:rPr>
              <w:t>11</w:t>
            </w:r>
          </w:p>
        </w:tc>
        <w:tc>
          <w:tcPr>
            <w:tcW w:w="709" w:type="dxa"/>
            <w:tcBorders>
              <w:top w:val="nil"/>
              <w:left w:val="nil"/>
              <w:bottom w:val="single" w:sz="4" w:space="0" w:color="auto"/>
              <w:right w:val="single" w:sz="4" w:space="0" w:color="auto"/>
            </w:tcBorders>
            <w:shd w:val="clear" w:color="auto" w:fill="FFFFFF"/>
            <w:noWrap/>
            <w:hideMark/>
          </w:tcPr>
          <w:p w14:paraId="7998BBE9" w14:textId="77777777" w:rsidR="00DC5BD7" w:rsidRPr="001A28D2" w:rsidRDefault="00DC5BD7" w:rsidP="00F47317">
            <w:pPr>
              <w:jc w:val="center"/>
              <w:rPr>
                <w:b/>
                <w:bCs/>
                <w:sz w:val="16"/>
                <w:szCs w:val="16"/>
              </w:rPr>
            </w:pPr>
            <w:r w:rsidRPr="001A28D2">
              <w:rPr>
                <w:b/>
                <w:bCs/>
                <w:sz w:val="16"/>
                <w:szCs w:val="16"/>
              </w:rPr>
              <w:t>12</w:t>
            </w:r>
          </w:p>
        </w:tc>
        <w:tc>
          <w:tcPr>
            <w:tcW w:w="709" w:type="dxa"/>
            <w:tcBorders>
              <w:top w:val="nil"/>
              <w:left w:val="nil"/>
              <w:bottom w:val="single" w:sz="4" w:space="0" w:color="auto"/>
              <w:right w:val="single" w:sz="4" w:space="0" w:color="auto"/>
            </w:tcBorders>
            <w:shd w:val="clear" w:color="auto" w:fill="FFFFFF"/>
            <w:noWrap/>
            <w:hideMark/>
          </w:tcPr>
          <w:p w14:paraId="736DE276" w14:textId="77777777" w:rsidR="00DC5BD7" w:rsidRPr="001A28D2" w:rsidRDefault="00DC5BD7" w:rsidP="00F47317">
            <w:pPr>
              <w:jc w:val="center"/>
              <w:rPr>
                <w:b/>
                <w:bCs/>
                <w:sz w:val="16"/>
                <w:szCs w:val="16"/>
              </w:rPr>
            </w:pPr>
            <w:r w:rsidRPr="001A28D2">
              <w:rPr>
                <w:b/>
                <w:bCs/>
                <w:sz w:val="16"/>
                <w:szCs w:val="16"/>
              </w:rPr>
              <w:t>13</w:t>
            </w:r>
          </w:p>
        </w:tc>
        <w:tc>
          <w:tcPr>
            <w:tcW w:w="708" w:type="dxa"/>
            <w:tcBorders>
              <w:top w:val="nil"/>
              <w:left w:val="nil"/>
              <w:bottom w:val="single" w:sz="4" w:space="0" w:color="auto"/>
              <w:right w:val="single" w:sz="4" w:space="0" w:color="auto"/>
            </w:tcBorders>
            <w:shd w:val="clear" w:color="auto" w:fill="FFFFFF"/>
            <w:noWrap/>
            <w:hideMark/>
          </w:tcPr>
          <w:p w14:paraId="5995BCC8" w14:textId="77777777" w:rsidR="00DC5BD7" w:rsidRPr="001A28D2" w:rsidRDefault="00DC5BD7" w:rsidP="00F47317">
            <w:pPr>
              <w:jc w:val="center"/>
              <w:rPr>
                <w:b/>
                <w:bCs/>
                <w:sz w:val="16"/>
                <w:szCs w:val="16"/>
              </w:rPr>
            </w:pPr>
            <w:r w:rsidRPr="001A28D2">
              <w:rPr>
                <w:b/>
                <w:bCs/>
                <w:sz w:val="16"/>
                <w:szCs w:val="16"/>
              </w:rPr>
              <w:t>14</w:t>
            </w:r>
          </w:p>
        </w:tc>
        <w:tc>
          <w:tcPr>
            <w:tcW w:w="993" w:type="dxa"/>
            <w:tcBorders>
              <w:top w:val="nil"/>
              <w:left w:val="nil"/>
              <w:bottom w:val="single" w:sz="4" w:space="0" w:color="auto"/>
              <w:right w:val="single" w:sz="4" w:space="0" w:color="auto"/>
            </w:tcBorders>
            <w:shd w:val="clear" w:color="auto" w:fill="FFFFFF"/>
            <w:hideMark/>
          </w:tcPr>
          <w:p w14:paraId="60781E7E" w14:textId="77777777" w:rsidR="00DC5BD7" w:rsidRPr="001A28D2" w:rsidRDefault="00DC5BD7" w:rsidP="00F47317">
            <w:pPr>
              <w:jc w:val="center"/>
              <w:rPr>
                <w:b/>
                <w:bCs/>
                <w:sz w:val="16"/>
                <w:szCs w:val="16"/>
              </w:rPr>
            </w:pPr>
            <w:r w:rsidRPr="001A28D2">
              <w:rPr>
                <w:b/>
                <w:bCs/>
                <w:sz w:val="16"/>
                <w:szCs w:val="16"/>
              </w:rPr>
              <w:t>15</w:t>
            </w:r>
          </w:p>
        </w:tc>
        <w:tc>
          <w:tcPr>
            <w:tcW w:w="992" w:type="dxa"/>
            <w:tcBorders>
              <w:top w:val="nil"/>
              <w:left w:val="nil"/>
              <w:bottom w:val="single" w:sz="4" w:space="0" w:color="auto"/>
              <w:right w:val="single" w:sz="4" w:space="0" w:color="auto"/>
            </w:tcBorders>
            <w:shd w:val="clear" w:color="auto" w:fill="FFFFFF"/>
            <w:hideMark/>
          </w:tcPr>
          <w:p w14:paraId="7B36BFCE" w14:textId="77777777" w:rsidR="00DC5BD7" w:rsidRPr="001A28D2" w:rsidRDefault="00DC5BD7" w:rsidP="00F47317">
            <w:pPr>
              <w:jc w:val="center"/>
              <w:rPr>
                <w:b/>
                <w:bCs/>
                <w:sz w:val="16"/>
                <w:szCs w:val="16"/>
              </w:rPr>
            </w:pPr>
            <w:r w:rsidRPr="001A28D2">
              <w:rPr>
                <w:b/>
                <w:bCs/>
                <w:sz w:val="16"/>
                <w:szCs w:val="16"/>
              </w:rPr>
              <w:t>16</w:t>
            </w:r>
          </w:p>
        </w:tc>
        <w:tc>
          <w:tcPr>
            <w:tcW w:w="992" w:type="dxa"/>
            <w:tcBorders>
              <w:top w:val="nil"/>
              <w:left w:val="nil"/>
              <w:bottom w:val="single" w:sz="4" w:space="0" w:color="auto"/>
              <w:right w:val="single" w:sz="4" w:space="0" w:color="auto"/>
            </w:tcBorders>
            <w:shd w:val="clear" w:color="auto" w:fill="FFFFFF"/>
            <w:hideMark/>
          </w:tcPr>
          <w:p w14:paraId="7E694196" w14:textId="77777777" w:rsidR="00DC5BD7" w:rsidRPr="001A28D2" w:rsidRDefault="00DC5BD7" w:rsidP="00F47317">
            <w:pPr>
              <w:jc w:val="center"/>
              <w:rPr>
                <w:b/>
                <w:bCs/>
                <w:sz w:val="16"/>
                <w:szCs w:val="16"/>
              </w:rPr>
            </w:pPr>
            <w:r w:rsidRPr="001A28D2">
              <w:rPr>
                <w:b/>
                <w:bCs/>
                <w:sz w:val="16"/>
                <w:szCs w:val="16"/>
              </w:rPr>
              <w:t>17</w:t>
            </w:r>
          </w:p>
        </w:tc>
        <w:tc>
          <w:tcPr>
            <w:tcW w:w="721" w:type="dxa"/>
            <w:tcBorders>
              <w:top w:val="nil"/>
              <w:left w:val="nil"/>
              <w:bottom w:val="single" w:sz="4" w:space="0" w:color="auto"/>
              <w:right w:val="single" w:sz="4" w:space="0" w:color="auto"/>
            </w:tcBorders>
            <w:shd w:val="clear" w:color="auto" w:fill="FFFFFF"/>
            <w:hideMark/>
          </w:tcPr>
          <w:p w14:paraId="27060C28" w14:textId="77777777" w:rsidR="00DC5BD7" w:rsidRPr="001A28D2" w:rsidRDefault="00DC5BD7" w:rsidP="00F47317">
            <w:pPr>
              <w:jc w:val="center"/>
              <w:rPr>
                <w:b/>
                <w:bCs/>
                <w:sz w:val="16"/>
                <w:szCs w:val="16"/>
              </w:rPr>
            </w:pPr>
            <w:r w:rsidRPr="001A28D2">
              <w:rPr>
                <w:b/>
                <w:bCs/>
                <w:sz w:val="16"/>
                <w:szCs w:val="16"/>
              </w:rPr>
              <w:t>18</w:t>
            </w:r>
          </w:p>
        </w:tc>
        <w:tc>
          <w:tcPr>
            <w:tcW w:w="843" w:type="dxa"/>
            <w:tcBorders>
              <w:top w:val="nil"/>
              <w:left w:val="nil"/>
              <w:bottom w:val="single" w:sz="4" w:space="0" w:color="auto"/>
              <w:right w:val="single" w:sz="4" w:space="0" w:color="auto"/>
            </w:tcBorders>
            <w:shd w:val="clear" w:color="auto" w:fill="FFFFFF"/>
            <w:hideMark/>
          </w:tcPr>
          <w:p w14:paraId="2E0D2D54" w14:textId="77777777" w:rsidR="00DC5BD7" w:rsidRPr="001A28D2" w:rsidRDefault="00DC5BD7" w:rsidP="00F47317">
            <w:pPr>
              <w:jc w:val="center"/>
              <w:rPr>
                <w:b/>
                <w:bCs/>
                <w:sz w:val="16"/>
                <w:szCs w:val="16"/>
              </w:rPr>
            </w:pPr>
            <w:r w:rsidRPr="001A28D2">
              <w:rPr>
                <w:b/>
                <w:bCs/>
                <w:sz w:val="16"/>
                <w:szCs w:val="16"/>
              </w:rPr>
              <w:t>19</w:t>
            </w:r>
          </w:p>
        </w:tc>
      </w:tr>
      <w:tr w:rsidR="00DC5BD7" w:rsidRPr="001A28D2" w14:paraId="22FA7553" w14:textId="77777777" w:rsidTr="00F47317">
        <w:trPr>
          <w:trHeight w:val="225"/>
          <w:jc w:val="center"/>
        </w:trPr>
        <w:tc>
          <w:tcPr>
            <w:tcW w:w="704" w:type="dxa"/>
            <w:tcBorders>
              <w:top w:val="nil"/>
              <w:left w:val="single" w:sz="4" w:space="0" w:color="auto"/>
              <w:bottom w:val="single" w:sz="4" w:space="0" w:color="auto"/>
              <w:right w:val="single" w:sz="4" w:space="0" w:color="auto"/>
            </w:tcBorders>
            <w:noWrap/>
            <w:hideMark/>
          </w:tcPr>
          <w:p w14:paraId="2DE2ECBE" w14:textId="77777777" w:rsidR="00DC5BD7" w:rsidRPr="001A28D2" w:rsidRDefault="00DC5BD7" w:rsidP="00F47317">
            <w:pPr>
              <w:rPr>
                <w:color w:val="000000"/>
                <w:sz w:val="16"/>
                <w:szCs w:val="16"/>
              </w:rPr>
            </w:pPr>
            <w:r w:rsidRPr="001A28D2">
              <w:rPr>
                <w:color w:val="000000"/>
                <w:sz w:val="16"/>
                <w:szCs w:val="16"/>
              </w:rPr>
              <w:t>2015 г.</w:t>
            </w:r>
          </w:p>
        </w:tc>
        <w:tc>
          <w:tcPr>
            <w:tcW w:w="851" w:type="dxa"/>
            <w:tcBorders>
              <w:top w:val="nil"/>
              <w:left w:val="nil"/>
              <w:bottom w:val="single" w:sz="4" w:space="0" w:color="auto"/>
              <w:right w:val="single" w:sz="4" w:space="0" w:color="auto"/>
            </w:tcBorders>
            <w:noWrap/>
            <w:hideMark/>
          </w:tcPr>
          <w:p w14:paraId="75A10665" w14:textId="762E8BF1" w:rsidR="00DC5BD7" w:rsidRPr="001A28D2" w:rsidRDefault="00DC5BD7" w:rsidP="00B0648E">
            <w:pPr>
              <w:jc w:val="right"/>
              <w:rPr>
                <w:color w:val="000000"/>
                <w:sz w:val="16"/>
                <w:szCs w:val="16"/>
              </w:rPr>
            </w:pPr>
            <w:r w:rsidRPr="001A28D2">
              <w:rPr>
                <w:color w:val="000000"/>
                <w:sz w:val="16"/>
                <w:szCs w:val="16"/>
              </w:rPr>
              <w:t xml:space="preserve">716 </w:t>
            </w:r>
            <w:r w:rsidR="00B0648E" w:rsidRPr="001A28D2">
              <w:rPr>
                <w:color w:val="000000"/>
                <w:sz w:val="16"/>
                <w:szCs w:val="16"/>
              </w:rPr>
              <w:t>644</w:t>
            </w:r>
            <w:r w:rsidRPr="001A28D2">
              <w:rPr>
                <w:color w:val="000000"/>
                <w:sz w:val="16"/>
                <w:szCs w:val="16"/>
              </w:rPr>
              <w:t>,</w:t>
            </w:r>
            <w:r w:rsidR="00B0648E" w:rsidRPr="001A28D2">
              <w:rPr>
                <w:color w:val="000000"/>
                <w:sz w:val="16"/>
                <w:szCs w:val="16"/>
              </w:rPr>
              <w:t>7</w:t>
            </w:r>
          </w:p>
        </w:tc>
        <w:tc>
          <w:tcPr>
            <w:tcW w:w="850" w:type="dxa"/>
            <w:tcBorders>
              <w:top w:val="nil"/>
              <w:left w:val="nil"/>
              <w:bottom w:val="single" w:sz="4" w:space="0" w:color="auto"/>
              <w:right w:val="single" w:sz="4" w:space="0" w:color="auto"/>
            </w:tcBorders>
            <w:noWrap/>
            <w:hideMark/>
          </w:tcPr>
          <w:p w14:paraId="3D7F3492" w14:textId="77777777" w:rsidR="00DC5BD7" w:rsidRPr="001A28D2" w:rsidRDefault="00DC5BD7" w:rsidP="00F47317">
            <w:pPr>
              <w:jc w:val="right"/>
              <w:rPr>
                <w:color w:val="000000"/>
                <w:sz w:val="16"/>
                <w:szCs w:val="16"/>
              </w:rPr>
            </w:pPr>
            <w:r w:rsidRPr="001A28D2">
              <w:rPr>
                <w:color w:val="000000"/>
                <w:sz w:val="16"/>
                <w:szCs w:val="16"/>
              </w:rPr>
              <w:t>111 223,0</w:t>
            </w:r>
          </w:p>
        </w:tc>
        <w:tc>
          <w:tcPr>
            <w:tcW w:w="709" w:type="dxa"/>
            <w:tcBorders>
              <w:top w:val="nil"/>
              <w:left w:val="nil"/>
              <w:bottom w:val="single" w:sz="4" w:space="0" w:color="auto"/>
              <w:right w:val="single" w:sz="4" w:space="0" w:color="auto"/>
            </w:tcBorders>
            <w:noWrap/>
            <w:hideMark/>
          </w:tcPr>
          <w:p w14:paraId="5410A3D3" w14:textId="77777777" w:rsidR="00DC5BD7" w:rsidRPr="001A28D2" w:rsidRDefault="00DC5BD7" w:rsidP="00F47317">
            <w:pPr>
              <w:jc w:val="right"/>
              <w:rPr>
                <w:color w:val="000000"/>
                <w:sz w:val="16"/>
                <w:szCs w:val="16"/>
              </w:rPr>
            </w:pPr>
            <w:r w:rsidRPr="001A28D2">
              <w:rPr>
                <w:color w:val="000000"/>
                <w:sz w:val="16"/>
                <w:szCs w:val="16"/>
              </w:rPr>
              <w:t>43 984,3</w:t>
            </w:r>
          </w:p>
        </w:tc>
        <w:tc>
          <w:tcPr>
            <w:tcW w:w="709" w:type="dxa"/>
            <w:tcBorders>
              <w:top w:val="nil"/>
              <w:left w:val="nil"/>
              <w:bottom w:val="single" w:sz="4" w:space="0" w:color="auto"/>
              <w:right w:val="single" w:sz="4" w:space="0" w:color="auto"/>
            </w:tcBorders>
            <w:noWrap/>
            <w:hideMark/>
          </w:tcPr>
          <w:p w14:paraId="1D69A6E1" w14:textId="77777777" w:rsidR="00DC5BD7" w:rsidRPr="001A28D2" w:rsidRDefault="00DC5BD7" w:rsidP="00F47317">
            <w:pPr>
              <w:jc w:val="right"/>
              <w:rPr>
                <w:color w:val="000000"/>
                <w:sz w:val="16"/>
                <w:szCs w:val="16"/>
              </w:rPr>
            </w:pPr>
            <w:r w:rsidRPr="001A28D2">
              <w:rPr>
                <w:color w:val="000000"/>
                <w:sz w:val="16"/>
                <w:szCs w:val="16"/>
              </w:rPr>
              <w:t>83 835,5</w:t>
            </w:r>
          </w:p>
        </w:tc>
        <w:tc>
          <w:tcPr>
            <w:tcW w:w="708" w:type="dxa"/>
            <w:tcBorders>
              <w:top w:val="nil"/>
              <w:left w:val="nil"/>
              <w:bottom w:val="single" w:sz="4" w:space="0" w:color="auto"/>
              <w:right w:val="single" w:sz="4" w:space="0" w:color="auto"/>
            </w:tcBorders>
            <w:noWrap/>
            <w:hideMark/>
          </w:tcPr>
          <w:p w14:paraId="7933B551" w14:textId="77777777" w:rsidR="00DC5BD7" w:rsidRPr="001A28D2" w:rsidRDefault="00DC5BD7" w:rsidP="00F47317">
            <w:pPr>
              <w:jc w:val="right"/>
              <w:rPr>
                <w:color w:val="000000"/>
                <w:sz w:val="16"/>
                <w:szCs w:val="16"/>
              </w:rPr>
            </w:pPr>
            <w:r w:rsidRPr="001A28D2">
              <w:rPr>
                <w:color w:val="000000"/>
                <w:sz w:val="16"/>
                <w:szCs w:val="16"/>
              </w:rPr>
              <w:t>6 013,6</w:t>
            </w:r>
          </w:p>
        </w:tc>
        <w:tc>
          <w:tcPr>
            <w:tcW w:w="993" w:type="dxa"/>
            <w:tcBorders>
              <w:top w:val="nil"/>
              <w:left w:val="nil"/>
              <w:bottom w:val="single" w:sz="4" w:space="0" w:color="auto"/>
              <w:right w:val="single" w:sz="4" w:space="0" w:color="auto"/>
            </w:tcBorders>
            <w:noWrap/>
            <w:hideMark/>
          </w:tcPr>
          <w:p w14:paraId="4FBFCB60" w14:textId="77777777" w:rsidR="00DC5BD7" w:rsidRPr="001A28D2" w:rsidRDefault="00DC5BD7" w:rsidP="00F47317">
            <w:pPr>
              <w:jc w:val="right"/>
              <w:rPr>
                <w:color w:val="000000"/>
                <w:sz w:val="16"/>
                <w:szCs w:val="16"/>
              </w:rPr>
            </w:pPr>
            <w:r w:rsidRPr="001A28D2">
              <w:rPr>
                <w:color w:val="000000"/>
                <w:sz w:val="16"/>
                <w:szCs w:val="16"/>
              </w:rPr>
              <w:t>201 812,2</w:t>
            </w:r>
          </w:p>
        </w:tc>
        <w:tc>
          <w:tcPr>
            <w:tcW w:w="992" w:type="dxa"/>
            <w:tcBorders>
              <w:top w:val="nil"/>
              <w:left w:val="nil"/>
              <w:bottom w:val="single" w:sz="4" w:space="0" w:color="auto"/>
              <w:right w:val="single" w:sz="4" w:space="0" w:color="auto"/>
            </w:tcBorders>
            <w:noWrap/>
            <w:hideMark/>
          </w:tcPr>
          <w:p w14:paraId="0BEA11E5" w14:textId="1CEA63E7" w:rsidR="00DC5BD7" w:rsidRPr="001A28D2" w:rsidRDefault="00DC5BD7" w:rsidP="00187AC7">
            <w:pPr>
              <w:jc w:val="right"/>
              <w:rPr>
                <w:color w:val="000000"/>
                <w:sz w:val="16"/>
                <w:szCs w:val="16"/>
              </w:rPr>
            </w:pPr>
            <w:r w:rsidRPr="001A28D2">
              <w:rPr>
                <w:color w:val="000000"/>
                <w:sz w:val="16"/>
                <w:szCs w:val="16"/>
              </w:rPr>
              <w:t>3 10</w:t>
            </w:r>
            <w:r w:rsidR="00187AC7" w:rsidRPr="001A28D2">
              <w:rPr>
                <w:color w:val="000000"/>
                <w:sz w:val="16"/>
                <w:szCs w:val="16"/>
              </w:rPr>
              <w:t>4</w:t>
            </w:r>
            <w:r w:rsidRPr="001A28D2">
              <w:rPr>
                <w:color w:val="000000"/>
                <w:sz w:val="16"/>
                <w:szCs w:val="16"/>
              </w:rPr>
              <w:t xml:space="preserve"> </w:t>
            </w:r>
            <w:r w:rsidR="00187AC7" w:rsidRPr="001A28D2">
              <w:rPr>
                <w:color w:val="000000"/>
                <w:sz w:val="16"/>
                <w:szCs w:val="16"/>
              </w:rPr>
              <w:t>063</w:t>
            </w:r>
            <w:r w:rsidRPr="001A28D2">
              <w:rPr>
                <w:color w:val="000000"/>
                <w:sz w:val="16"/>
                <w:szCs w:val="16"/>
              </w:rPr>
              <w:t>,</w:t>
            </w:r>
            <w:r w:rsidR="00187AC7" w:rsidRPr="001A28D2">
              <w:rPr>
                <w:color w:val="000000"/>
                <w:sz w:val="16"/>
                <w:szCs w:val="16"/>
              </w:rPr>
              <w:t>2</w:t>
            </w:r>
          </w:p>
        </w:tc>
        <w:tc>
          <w:tcPr>
            <w:tcW w:w="992" w:type="dxa"/>
            <w:tcBorders>
              <w:top w:val="nil"/>
              <w:left w:val="nil"/>
              <w:bottom w:val="single" w:sz="4" w:space="0" w:color="auto"/>
              <w:right w:val="single" w:sz="4" w:space="0" w:color="auto"/>
            </w:tcBorders>
            <w:noWrap/>
            <w:hideMark/>
          </w:tcPr>
          <w:p w14:paraId="2DBD46E0" w14:textId="6C14C6B6" w:rsidR="00DC5BD7" w:rsidRPr="001A28D2" w:rsidRDefault="00DC5BD7" w:rsidP="00521908">
            <w:pPr>
              <w:jc w:val="right"/>
              <w:rPr>
                <w:color w:val="000000"/>
                <w:sz w:val="16"/>
                <w:szCs w:val="16"/>
              </w:rPr>
            </w:pPr>
            <w:r w:rsidRPr="001A28D2">
              <w:rPr>
                <w:color w:val="000000"/>
                <w:sz w:val="16"/>
                <w:szCs w:val="16"/>
              </w:rPr>
              <w:t>3 2</w:t>
            </w:r>
            <w:r w:rsidR="00521908" w:rsidRPr="001A28D2">
              <w:rPr>
                <w:color w:val="000000"/>
                <w:sz w:val="16"/>
                <w:szCs w:val="16"/>
              </w:rPr>
              <w:t>70</w:t>
            </w:r>
            <w:r w:rsidRPr="001A28D2">
              <w:rPr>
                <w:color w:val="000000"/>
                <w:sz w:val="16"/>
                <w:szCs w:val="16"/>
              </w:rPr>
              <w:t xml:space="preserve"> </w:t>
            </w:r>
            <w:r w:rsidR="00521908" w:rsidRPr="001A28D2">
              <w:rPr>
                <w:color w:val="000000"/>
                <w:sz w:val="16"/>
                <w:szCs w:val="16"/>
              </w:rPr>
              <w:t>854</w:t>
            </w:r>
            <w:r w:rsidRPr="001A28D2">
              <w:rPr>
                <w:color w:val="000000"/>
                <w:sz w:val="16"/>
                <w:szCs w:val="16"/>
              </w:rPr>
              <w:t>,</w:t>
            </w:r>
            <w:r w:rsidR="00521908" w:rsidRPr="001A28D2">
              <w:rPr>
                <w:color w:val="000000"/>
                <w:sz w:val="16"/>
                <w:szCs w:val="16"/>
              </w:rPr>
              <w:t>2</w:t>
            </w:r>
          </w:p>
        </w:tc>
        <w:tc>
          <w:tcPr>
            <w:tcW w:w="721" w:type="dxa"/>
            <w:tcBorders>
              <w:top w:val="nil"/>
              <w:left w:val="nil"/>
              <w:bottom w:val="single" w:sz="4" w:space="0" w:color="auto"/>
              <w:right w:val="single" w:sz="4" w:space="0" w:color="auto"/>
            </w:tcBorders>
            <w:noWrap/>
            <w:hideMark/>
          </w:tcPr>
          <w:p w14:paraId="5154BA31" w14:textId="0FA4C474" w:rsidR="00DC5BD7" w:rsidRPr="001A28D2" w:rsidRDefault="00DC5BD7" w:rsidP="00305ED5">
            <w:pPr>
              <w:jc w:val="right"/>
              <w:rPr>
                <w:color w:val="000000"/>
                <w:sz w:val="16"/>
                <w:szCs w:val="16"/>
              </w:rPr>
            </w:pPr>
            <w:r w:rsidRPr="001A28D2">
              <w:rPr>
                <w:color w:val="000000"/>
                <w:sz w:val="16"/>
                <w:szCs w:val="16"/>
              </w:rPr>
              <w:t>6</w:t>
            </w:r>
            <w:r w:rsidR="00305ED5" w:rsidRPr="001A28D2">
              <w:rPr>
                <w:color w:val="000000"/>
                <w:sz w:val="16"/>
                <w:szCs w:val="16"/>
              </w:rPr>
              <w:t>7</w:t>
            </w:r>
            <w:r w:rsidRPr="001A28D2">
              <w:rPr>
                <w:color w:val="000000"/>
                <w:sz w:val="16"/>
                <w:szCs w:val="16"/>
              </w:rPr>
              <w:t xml:space="preserve"> </w:t>
            </w:r>
            <w:r w:rsidR="00305ED5" w:rsidRPr="001A28D2">
              <w:rPr>
                <w:color w:val="000000"/>
                <w:sz w:val="16"/>
                <w:szCs w:val="16"/>
              </w:rPr>
              <w:t>304</w:t>
            </w:r>
            <w:r w:rsidRPr="001A28D2">
              <w:rPr>
                <w:color w:val="000000"/>
                <w:sz w:val="16"/>
                <w:szCs w:val="16"/>
              </w:rPr>
              <w:t>,</w:t>
            </w:r>
            <w:r w:rsidR="00305ED5" w:rsidRPr="001A28D2">
              <w:rPr>
                <w:color w:val="000000"/>
                <w:sz w:val="16"/>
                <w:szCs w:val="16"/>
              </w:rPr>
              <w:t>3</w:t>
            </w:r>
          </w:p>
        </w:tc>
        <w:tc>
          <w:tcPr>
            <w:tcW w:w="843" w:type="dxa"/>
            <w:tcBorders>
              <w:top w:val="nil"/>
              <w:left w:val="nil"/>
              <w:bottom w:val="single" w:sz="4" w:space="0" w:color="auto"/>
              <w:right w:val="single" w:sz="4" w:space="0" w:color="auto"/>
            </w:tcBorders>
            <w:noWrap/>
            <w:hideMark/>
          </w:tcPr>
          <w:p w14:paraId="3A77DA32" w14:textId="77777777" w:rsidR="00DC5BD7" w:rsidRPr="001A28D2" w:rsidRDefault="00DC5BD7" w:rsidP="00F47317">
            <w:pPr>
              <w:jc w:val="right"/>
              <w:rPr>
                <w:color w:val="000000"/>
                <w:sz w:val="16"/>
                <w:szCs w:val="16"/>
              </w:rPr>
            </w:pPr>
            <w:r w:rsidRPr="001A28D2">
              <w:rPr>
                <w:color w:val="000000"/>
                <w:sz w:val="16"/>
                <w:szCs w:val="16"/>
              </w:rPr>
              <w:t>493,8</w:t>
            </w:r>
          </w:p>
        </w:tc>
      </w:tr>
      <w:tr w:rsidR="00DC5BD7" w:rsidRPr="001A28D2" w14:paraId="4A822E9F" w14:textId="77777777" w:rsidTr="00F47317">
        <w:trPr>
          <w:trHeight w:val="225"/>
          <w:jc w:val="center"/>
        </w:trPr>
        <w:tc>
          <w:tcPr>
            <w:tcW w:w="704" w:type="dxa"/>
            <w:tcBorders>
              <w:top w:val="nil"/>
              <w:left w:val="single" w:sz="4" w:space="0" w:color="auto"/>
              <w:bottom w:val="single" w:sz="4" w:space="0" w:color="auto"/>
              <w:right w:val="single" w:sz="4" w:space="0" w:color="auto"/>
            </w:tcBorders>
            <w:noWrap/>
            <w:hideMark/>
          </w:tcPr>
          <w:p w14:paraId="7D73BDBA" w14:textId="77777777" w:rsidR="00DC5BD7" w:rsidRPr="001A28D2" w:rsidRDefault="00DC5BD7" w:rsidP="00F47317">
            <w:pPr>
              <w:rPr>
                <w:color w:val="000000"/>
                <w:sz w:val="16"/>
                <w:szCs w:val="16"/>
              </w:rPr>
            </w:pPr>
            <w:r w:rsidRPr="001A28D2">
              <w:rPr>
                <w:color w:val="000000"/>
                <w:sz w:val="16"/>
                <w:szCs w:val="16"/>
              </w:rPr>
              <w:t>2016 г.</w:t>
            </w:r>
          </w:p>
        </w:tc>
        <w:tc>
          <w:tcPr>
            <w:tcW w:w="851" w:type="dxa"/>
            <w:tcBorders>
              <w:top w:val="nil"/>
              <w:left w:val="nil"/>
              <w:bottom w:val="single" w:sz="4" w:space="0" w:color="auto"/>
              <w:right w:val="single" w:sz="4" w:space="0" w:color="auto"/>
            </w:tcBorders>
            <w:noWrap/>
            <w:hideMark/>
          </w:tcPr>
          <w:p w14:paraId="5C427AD6" w14:textId="5BEAB028" w:rsidR="00DC5BD7" w:rsidRPr="001A28D2" w:rsidRDefault="00D74E10" w:rsidP="00F47317">
            <w:pPr>
              <w:jc w:val="right"/>
              <w:rPr>
                <w:color w:val="000000"/>
                <w:sz w:val="16"/>
                <w:szCs w:val="16"/>
              </w:rPr>
            </w:pPr>
            <w:r w:rsidRPr="001A28D2">
              <w:rPr>
                <w:color w:val="000000"/>
                <w:sz w:val="16"/>
                <w:szCs w:val="16"/>
              </w:rPr>
              <w:t>728 897,1</w:t>
            </w:r>
          </w:p>
        </w:tc>
        <w:tc>
          <w:tcPr>
            <w:tcW w:w="850" w:type="dxa"/>
            <w:tcBorders>
              <w:top w:val="nil"/>
              <w:left w:val="nil"/>
              <w:bottom w:val="single" w:sz="4" w:space="0" w:color="auto"/>
              <w:right w:val="single" w:sz="4" w:space="0" w:color="auto"/>
            </w:tcBorders>
            <w:noWrap/>
            <w:hideMark/>
          </w:tcPr>
          <w:p w14:paraId="7D6F3DBA" w14:textId="77777777" w:rsidR="00DC5BD7" w:rsidRPr="001A28D2" w:rsidRDefault="00DC5BD7" w:rsidP="00F47317">
            <w:pPr>
              <w:jc w:val="right"/>
              <w:rPr>
                <w:color w:val="000000"/>
                <w:sz w:val="16"/>
                <w:szCs w:val="16"/>
              </w:rPr>
            </w:pPr>
            <w:r w:rsidRPr="001A28D2">
              <w:rPr>
                <w:color w:val="000000"/>
                <w:sz w:val="16"/>
                <w:szCs w:val="16"/>
              </w:rPr>
              <w:t>105 813,0</w:t>
            </w:r>
          </w:p>
        </w:tc>
        <w:tc>
          <w:tcPr>
            <w:tcW w:w="709" w:type="dxa"/>
            <w:tcBorders>
              <w:top w:val="nil"/>
              <w:left w:val="nil"/>
              <w:bottom w:val="single" w:sz="4" w:space="0" w:color="auto"/>
              <w:right w:val="single" w:sz="4" w:space="0" w:color="auto"/>
            </w:tcBorders>
            <w:noWrap/>
            <w:hideMark/>
          </w:tcPr>
          <w:p w14:paraId="2FA00E8B" w14:textId="77777777" w:rsidR="00DC5BD7" w:rsidRPr="001A28D2" w:rsidRDefault="00DC5BD7" w:rsidP="00F47317">
            <w:pPr>
              <w:jc w:val="right"/>
              <w:rPr>
                <w:color w:val="000000"/>
                <w:sz w:val="16"/>
                <w:szCs w:val="16"/>
              </w:rPr>
            </w:pPr>
            <w:r w:rsidRPr="001A28D2">
              <w:rPr>
                <w:color w:val="000000"/>
                <w:sz w:val="16"/>
                <w:szCs w:val="16"/>
              </w:rPr>
              <w:t>43 838,6</w:t>
            </w:r>
          </w:p>
        </w:tc>
        <w:tc>
          <w:tcPr>
            <w:tcW w:w="709" w:type="dxa"/>
            <w:tcBorders>
              <w:top w:val="nil"/>
              <w:left w:val="nil"/>
              <w:bottom w:val="single" w:sz="4" w:space="0" w:color="auto"/>
              <w:right w:val="single" w:sz="4" w:space="0" w:color="auto"/>
            </w:tcBorders>
            <w:noWrap/>
            <w:hideMark/>
          </w:tcPr>
          <w:p w14:paraId="2A5ABBA5" w14:textId="77777777" w:rsidR="00DC5BD7" w:rsidRPr="001A28D2" w:rsidRDefault="00DC5BD7" w:rsidP="00F47317">
            <w:pPr>
              <w:jc w:val="right"/>
              <w:rPr>
                <w:color w:val="000000"/>
                <w:sz w:val="16"/>
                <w:szCs w:val="16"/>
              </w:rPr>
            </w:pPr>
            <w:r w:rsidRPr="001A28D2">
              <w:rPr>
                <w:color w:val="000000"/>
                <w:sz w:val="16"/>
                <w:szCs w:val="16"/>
              </w:rPr>
              <w:t>78 722,4</w:t>
            </w:r>
          </w:p>
        </w:tc>
        <w:tc>
          <w:tcPr>
            <w:tcW w:w="708" w:type="dxa"/>
            <w:tcBorders>
              <w:top w:val="nil"/>
              <w:left w:val="nil"/>
              <w:bottom w:val="single" w:sz="4" w:space="0" w:color="auto"/>
              <w:right w:val="single" w:sz="4" w:space="0" w:color="auto"/>
            </w:tcBorders>
            <w:noWrap/>
            <w:hideMark/>
          </w:tcPr>
          <w:p w14:paraId="75DD77EA" w14:textId="77777777" w:rsidR="00DC5BD7" w:rsidRPr="001A28D2" w:rsidRDefault="00DC5BD7" w:rsidP="00F47317">
            <w:pPr>
              <w:jc w:val="right"/>
              <w:rPr>
                <w:color w:val="000000"/>
                <w:sz w:val="16"/>
                <w:szCs w:val="16"/>
              </w:rPr>
            </w:pPr>
            <w:r w:rsidRPr="001A28D2">
              <w:rPr>
                <w:color w:val="000000"/>
                <w:sz w:val="16"/>
                <w:szCs w:val="16"/>
              </w:rPr>
              <w:t>6 002,7</w:t>
            </w:r>
          </w:p>
        </w:tc>
        <w:tc>
          <w:tcPr>
            <w:tcW w:w="993" w:type="dxa"/>
            <w:tcBorders>
              <w:top w:val="nil"/>
              <w:left w:val="nil"/>
              <w:bottom w:val="single" w:sz="4" w:space="0" w:color="auto"/>
              <w:right w:val="single" w:sz="4" w:space="0" w:color="auto"/>
            </w:tcBorders>
            <w:noWrap/>
            <w:hideMark/>
          </w:tcPr>
          <w:p w14:paraId="4C4E3714" w14:textId="77777777" w:rsidR="00DC5BD7" w:rsidRPr="001A28D2" w:rsidRDefault="00DC5BD7" w:rsidP="00F47317">
            <w:pPr>
              <w:jc w:val="right"/>
              <w:rPr>
                <w:color w:val="000000"/>
                <w:sz w:val="16"/>
                <w:szCs w:val="16"/>
              </w:rPr>
            </w:pPr>
            <w:r w:rsidRPr="001A28D2">
              <w:rPr>
                <w:color w:val="000000"/>
                <w:sz w:val="16"/>
                <w:szCs w:val="16"/>
              </w:rPr>
              <w:t>316 102,2</w:t>
            </w:r>
          </w:p>
        </w:tc>
        <w:tc>
          <w:tcPr>
            <w:tcW w:w="992" w:type="dxa"/>
            <w:tcBorders>
              <w:top w:val="nil"/>
              <w:left w:val="nil"/>
              <w:bottom w:val="single" w:sz="4" w:space="0" w:color="auto"/>
              <w:right w:val="single" w:sz="4" w:space="0" w:color="auto"/>
            </w:tcBorders>
            <w:noWrap/>
            <w:hideMark/>
          </w:tcPr>
          <w:p w14:paraId="6FA3E9D5" w14:textId="1BB22007" w:rsidR="00DC5BD7" w:rsidRPr="001A28D2" w:rsidRDefault="00DC5BD7" w:rsidP="000501B3">
            <w:pPr>
              <w:jc w:val="right"/>
              <w:rPr>
                <w:color w:val="000000"/>
                <w:sz w:val="16"/>
                <w:szCs w:val="16"/>
              </w:rPr>
            </w:pPr>
            <w:r w:rsidRPr="001A28D2">
              <w:rPr>
                <w:color w:val="000000"/>
                <w:sz w:val="16"/>
                <w:szCs w:val="16"/>
              </w:rPr>
              <w:t>1 2</w:t>
            </w:r>
            <w:r w:rsidR="000501B3" w:rsidRPr="001A28D2">
              <w:rPr>
                <w:color w:val="000000"/>
                <w:sz w:val="16"/>
                <w:szCs w:val="16"/>
              </w:rPr>
              <w:t>2</w:t>
            </w:r>
            <w:r w:rsidRPr="001A28D2">
              <w:rPr>
                <w:color w:val="000000"/>
                <w:sz w:val="16"/>
                <w:szCs w:val="16"/>
              </w:rPr>
              <w:t xml:space="preserve">7 </w:t>
            </w:r>
            <w:r w:rsidR="000501B3" w:rsidRPr="001A28D2">
              <w:rPr>
                <w:color w:val="000000"/>
                <w:sz w:val="16"/>
                <w:szCs w:val="16"/>
              </w:rPr>
              <w:t>9</w:t>
            </w:r>
            <w:r w:rsidRPr="001A28D2">
              <w:rPr>
                <w:color w:val="000000"/>
                <w:sz w:val="16"/>
                <w:szCs w:val="16"/>
              </w:rPr>
              <w:t>2</w:t>
            </w:r>
            <w:r w:rsidR="000501B3" w:rsidRPr="001A28D2">
              <w:rPr>
                <w:color w:val="000000"/>
                <w:sz w:val="16"/>
                <w:szCs w:val="16"/>
              </w:rPr>
              <w:t>6</w:t>
            </w:r>
            <w:r w:rsidRPr="001A28D2">
              <w:rPr>
                <w:color w:val="000000"/>
                <w:sz w:val="16"/>
                <w:szCs w:val="16"/>
              </w:rPr>
              <w:t>,</w:t>
            </w:r>
            <w:r w:rsidR="000501B3" w:rsidRPr="001A28D2">
              <w:rPr>
                <w:color w:val="000000"/>
                <w:sz w:val="16"/>
                <w:szCs w:val="16"/>
              </w:rPr>
              <w:t>9</w:t>
            </w:r>
          </w:p>
        </w:tc>
        <w:tc>
          <w:tcPr>
            <w:tcW w:w="992" w:type="dxa"/>
            <w:tcBorders>
              <w:top w:val="nil"/>
              <w:left w:val="nil"/>
              <w:bottom w:val="single" w:sz="4" w:space="0" w:color="auto"/>
              <w:right w:val="single" w:sz="4" w:space="0" w:color="auto"/>
            </w:tcBorders>
            <w:noWrap/>
            <w:hideMark/>
          </w:tcPr>
          <w:p w14:paraId="7E4E7BF9" w14:textId="224659D3" w:rsidR="00DC5BD7" w:rsidRPr="001A28D2" w:rsidRDefault="0094056E" w:rsidP="00F47317">
            <w:pPr>
              <w:jc w:val="right"/>
              <w:rPr>
                <w:color w:val="000000"/>
                <w:sz w:val="16"/>
                <w:szCs w:val="16"/>
              </w:rPr>
            </w:pPr>
            <w:r w:rsidRPr="001A28D2">
              <w:rPr>
                <w:color w:val="000000"/>
                <w:sz w:val="16"/>
                <w:szCs w:val="16"/>
              </w:rPr>
              <w:t>318 872,5</w:t>
            </w:r>
          </w:p>
        </w:tc>
        <w:tc>
          <w:tcPr>
            <w:tcW w:w="721" w:type="dxa"/>
            <w:tcBorders>
              <w:top w:val="nil"/>
              <w:left w:val="nil"/>
              <w:bottom w:val="single" w:sz="4" w:space="0" w:color="auto"/>
              <w:right w:val="single" w:sz="4" w:space="0" w:color="auto"/>
            </w:tcBorders>
            <w:noWrap/>
            <w:hideMark/>
          </w:tcPr>
          <w:p w14:paraId="23F6F95E" w14:textId="0ECCFE3A" w:rsidR="00DC5BD7" w:rsidRPr="001A28D2" w:rsidRDefault="00DC5BD7" w:rsidP="00A241B3">
            <w:pPr>
              <w:jc w:val="right"/>
              <w:rPr>
                <w:color w:val="000000"/>
                <w:sz w:val="16"/>
                <w:szCs w:val="16"/>
              </w:rPr>
            </w:pPr>
            <w:r w:rsidRPr="001A28D2">
              <w:rPr>
                <w:color w:val="000000"/>
                <w:sz w:val="16"/>
                <w:szCs w:val="16"/>
              </w:rPr>
              <w:t>9</w:t>
            </w:r>
            <w:r w:rsidR="00A241B3" w:rsidRPr="001A28D2">
              <w:rPr>
                <w:color w:val="000000"/>
                <w:sz w:val="16"/>
                <w:szCs w:val="16"/>
              </w:rPr>
              <w:t>9</w:t>
            </w:r>
            <w:r w:rsidRPr="001A28D2">
              <w:rPr>
                <w:color w:val="000000"/>
                <w:sz w:val="16"/>
                <w:szCs w:val="16"/>
              </w:rPr>
              <w:t xml:space="preserve"> </w:t>
            </w:r>
            <w:r w:rsidR="00A241B3" w:rsidRPr="001A28D2">
              <w:rPr>
                <w:color w:val="000000"/>
                <w:sz w:val="16"/>
                <w:szCs w:val="16"/>
              </w:rPr>
              <w:t>307</w:t>
            </w:r>
            <w:r w:rsidRPr="001A28D2">
              <w:rPr>
                <w:color w:val="000000"/>
                <w:sz w:val="16"/>
                <w:szCs w:val="16"/>
              </w:rPr>
              <w:t>,</w:t>
            </w:r>
            <w:r w:rsidR="00A241B3" w:rsidRPr="001A28D2">
              <w:rPr>
                <w:color w:val="000000"/>
                <w:sz w:val="16"/>
                <w:szCs w:val="16"/>
              </w:rPr>
              <w:t>5</w:t>
            </w:r>
          </w:p>
        </w:tc>
        <w:tc>
          <w:tcPr>
            <w:tcW w:w="843" w:type="dxa"/>
            <w:tcBorders>
              <w:top w:val="nil"/>
              <w:left w:val="nil"/>
              <w:bottom w:val="single" w:sz="4" w:space="0" w:color="auto"/>
              <w:right w:val="single" w:sz="4" w:space="0" w:color="auto"/>
            </w:tcBorders>
            <w:noWrap/>
            <w:hideMark/>
          </w:tcPr>
          <w:p w14:paraId="54C95301" w14:textId="77777777" w:rsidR="00DC5BD7" w:rsidRPr="001A28D2" w:rsidRDefault="00DC5BD7" w:rsidP="00F47317">
            <w:pPr>
              <w:jc w:val="right"/>
              <w:rPr>
                <w:color w:val="000000"/>
                <w:sz w:val="16"/>
                <w:szCs w:val="16"/>
              </w:rPr>
            </w:pPr>
            <w:r w:rsidRPr="001A28D2">
              <w:rPr>
                <w:color w:val="000000"/>
                <w:sz w:val="16"/>
                <w:szCs w:val="16"/>
              </w:rPr>
              <w:t>460,9</w:t>
            </w:r>
          </w:p>
        </w:tc>
      </w:tr>
      <w:tr w:rsidR="00DC5BD7" w:rsidRPr="001A28D2" w14:paraId="01BEAEC8" w14:textId="77777777" w:rsidTr="00F47317">
        <w:trPr>
          <w:trHeight w:val="225"/>
          <w:jc w:val="center"/>
        </w:trPr>
        <w:tc>
          <w:tcPr>
            <w:tcW w:w="704" w:type="dxa"/>
            <w:tcBorders>
              <w:top w:val="nil"/>
              <w:left w:val="single" w:sz="4" w:space="0" w:color="auto"/>
              <w:bottom w:val="single" w:sz="4" w:space="0" w:color="auto"/>
              <w:right w:val="single" w:sz="4" w:space="0" w:color="auto"/>
            </w:tcBorders>
            <w:noWrap/>
            <w:hideMark/>
          </w:tcPr>
          <w:p w14:paraId="7F435AC1" w14:textId="77777777" w:rsidR="00DC5BD7" w:rsidRPr="001A28D2" w:rsidRDefault="00DC5BD7" w:rsidP="00F47317">
            <w:pPr>
              <w:rPr>
                <w:color w:val="000000"/>
                <w:sz w:val="16"/>
                <w:szCs w:val="16"/>
              </w:rPr>
            </w:pPr>
            <w:r w:rsidRPr="001A28D2">
              <w:rPr>
                <w:color w:val="000000"/>
                <w:sz w:val="16"/>
                <w:szCs w:val="16"/>
              </w:rPr>
              <w:t>Разлика</w:t>
            </w:r>
          </w:p>
        </w:tc>
        <w:tc>
          <w:tcPr>
            <w:tcW w:w="851" w:type="dxa"/>
            <w:tcBorders>
              <w:top w:val="nil"/>
              <w:left w:val="nil"/>
              <w:bottom w:val="single" w:sz="4" w:space="0" w:color="auto"/>
              <w:right w:val="single" w:sz="4" w:space="0" w:color="auto"/>
            </w:tcBorders>
            <w:noWrap/>
            <w:hideMark/>
          </w:tcPr>
          <w:p w14:paraId="55FDABE0" w14:textId="39AC44FA" w:rsidR="00DC5BD7" w:rsidRPr="001A28D2" w:rsidRDefault="00DC5BD7" w:rsidP="0094056E">
            <w:pPr>
              <w:jc w:val="right"/>
              <w:rPr>
                <w:color w:val="000000"/>
                <w:sz w:val="16"/>
                <w:szCs w:val="16"/>
              </w:rPr>
            </w:pPr>
            <w:r w:rsidRPr="001A28D2">
              <w:rPr>
                <w:color w:val="000000"/>
                <w:sz w:val="16"/>
                <w:szCs w:val="16"/>
              </w:rPr>
              <w:t>1</w:t>
            </w:r>
            <w:r w:rsidR="00B0648E" w:rsidRPr="001A28D2">
              <w:rPr>
                <w:color w:val="000000"/>
                <w:sz w:val="16"/>
                <w:szCs w:val="16"/>
              </w:rPr>
              <w:t>2</w:t>
            </w:r>
            <w:r w:rsidR="0094056E" w:rsidRPr="001A28D2">
              <w:rPr>
                <w:color w:val="000000"/>
                <w:sz w:val="16"/>
                <w:szCs w:val="16"/>
              </w:rPr>
              <w:t> 252,4</w:t>
            </w:r>
          </w:p>
        </w:tc>
        <w:tc>
          <w:tcPr>
            <w:tcW w:w="850" w:type="dxa"/>
            <w:tcBorders>
              <w:top w:val="nil"/>
              <w:left w:val="nil"/>
              <w:bottom w:val="single" w:sz="4" w:space="0" w:color="auto"/>
              <w:right w:val="single" w:sz="4" w:space="0" w:color="auto"/>
            </w:tcBorders>
            <w:noWrap/>
            <w:hideMark/>
          </w:tcPr>
          <w:p w14:paraId="7FB7A3B0" w14:textId="77777777" w:rsidR="00DC5BD7" w:rsidRPr="001A28D2" w:rsidRDefault="00DC5BD7" w:rsidP="00F47317">
            <w:pPr>
              <w:jc w:val="right"/>
              <w:rPr>
                <w:color w:val="000000"/>
                <w:sz w:val="16"/>
                <w:szCs w:val="16"/>
              </w:rPr>
            </w:pPr>
            <w:r w:rsidRPr="001A28D2">
              <w:rPr>
                <w:color w:val="000000"/>
                <w:sz w:val="16"/>
                <w:szCs w:val="16"/>
              </w:rPr>
              <w:t>-5 410,0</w:t>
            </w:r>
          </w:p>
        </w:tc>
        <w:tc>
          <w:tcPr>
            <w:tcW w:w="709" w:type="dxa"/>
            <w:tcBorders>
              <w:top w:val="nil"/>
              <w:left w:val="nil"/>
              <w:bottom w:val="single" w:sz="4" w:space="0" w:color="auto"/>
              <w:right w:val="single" w:sz="4" w:space="0" w:color="auto"/>
            </w:tcBorders>
            <w:noWrap/>
            <w:hideMark/>
          </w:tcPr>
          <w:p w14:paraId="430F85AF" w14:textId="77777777" w:rsidR="00DC5BD7" w:rsidRPr="001A28D2" w:rsidRDefault="00DC5BD7" w:rsidP="00F47317">
            <w:pPr>
              <w:jc w:val="right"/>
              <w:rPr>
                <w:color w:val="000000"/>
                <w:sz w:val="16"/>
                <w:szCs w:val="16"/>
              </w:rPr>
            </w:pPr>
            <w:r w:rsidRPr="001A28D2">
              <w:rPr>
                <w:color w:val="000000"/>
                <w:sz w:val="16"/>
                <w:szCs w:val="16"/>
              </w:rPr>
              <w:t>-145,7</w:t>
            </w:r>
          </w:p>
        </w:tc>
        <w:tc>
          <w:tcPr>
            <w:tcW w:w="709" w:type="dxa"/>
            <w:tcBorders>
              <w:top w:val="nil"/>
              <w:left w:val="nil"/>
              <w:bottom w:val="single" w:sz="4" w:space="0" w:color="auto"/>
              <w:right w:val="single" w:sz="4" w:space="0" w:color="auto"/>
            </w:tcBorders>
            <w:noWrap/>
            <w:hideMark/>
          </w:tcPr>
          <w:p w14:paraId="45885008" w14:textId="77777777" w:rsidR="00DC5BD7" w:rsidRPr="001A28D2" w:rsidRDefault="00DC5BD7" w:rsidP="00F47317">
            <w:pPr>
              <w:jc w:val="right"/>
              <w:rPr>
                <w:color w:val="000000"/>
                <w:sz w:val="16"/>
                <w:szCs w:val="16"/>
              </w:rPr>
            </w:pPr>
            <w:r w:rsidRPr="001A28D2">
              <w:rPr>
                <w:color w:val="000000"/>
                <w:sz w:val="16"/>
                <w:szCs w:val="16"/>
              </w:rPr>
              <w:t>-5 113,1</w:t>
            </w:r>
          </w:p>
        </w:tc>
        <w:tc>
          <w:tcPr>
            <w:tcW w:w="708" w:type="dxa"/>
            <w:tcBorders>
              <w:top w:val="nil"/>
              <w:left w:val="nil"/>
              <w:bottom w:val="single" w:sz="4" w:space="0" w:color="auto"/>
              <w:right w:val="single" w:sz="4" w:space="0" w:color="auto"/>
            </w:tcBorders>
            <w:noWrap/>
            <w:hideMark/>
          </w:tcPr>
          <w:p w14:paraId="19732B5C" w14:textId="77777777" w:rsidR="00DC5BD7" w:rsidRPr="001A28D2" w:rsidRDefault="00DC5BD7" w:rsidP="00F47317">
            <w:pPr>
              <w:jc w:val="right"/>
              <w:rPr>
                <w:color w:val="000000"/>
                <w:sz w:val="16"/>
                <w:szCs w:val="16"/>
              </w:rPr>
            </w:pPr>
            <w:r w:rsidRPr="001A28D2">
              <w:rPr>
                <w:color w:val="000000"/>
                <w:sz w:val="16"/>
                <w:szCs w:val="16"/>
              </w:rPr>
              <w:t>-10,9</w:t>
            </w:r>
          </w:p>
        </w:tc>
        <w:tc>
          <w:tcPr>
            <w:tcW w:w="993" w:type="dxa"/>
            <w:tcBorders>
              <w:top w:val="nil"/>
              <w:left w:val="nil"/>
              <w:bottom w:val="single" w:sz="4" w:space="0" w:color="auto"/>
              <w:right w:val="single" w:sz="4" w:space="0" w:color="auto"/>
            </w:tcBorders>
            <w:noWrap/>
            <w:hideMark/>
          </w:tcPr>
          <w:p w14:paraId="725323D6" w14:textId="77777777" w:rsidR="00DC5BD7" w:rsidRPr="001A28D2" w:rsidRDefault="00DC5BD7" w:rsidP="00F47317">
            <w:pPr>
              <w:jc w:val="right"/>
              <w:rPr>
                <w:color w:val="000000"/>
                <w:sz w:val="16"/>
                <w:szCs w:val="16"/>
              </w:rPr>
            </w:pPr>
            <w:r w:rsidRPr="001A28D2">
              <w:rPr>
                <w:color w:val="000000"/>
                <w:sz w:val="16"/>
                <w:szCs w:val="16"/>
              </w:rPr>
              <w:t>114 290,0</w:t>
            </w:r>
          </w:p>
        </w:tc>
        <w:tc>
          <w:tcPr>
            <w:tcW w:w="992" w:type="dxa"/>
            <w:tcBorders>
              <w:top w:val="nil"/>
              <w:left w:val="nil"/>
              <w:bottom w:val="single" w:sz="4" w:space="0" w:color="auto"/>
              <w:right w:val="single" w:sz="4" w:space="0" w:color="auto"/>
            </w:tcBorders>
            <w:noWrap/>
            <w:hideMark/>
          </w:tcPr>
          <w:p w14:paraId="7A92CA84" w14:textId="47E3AE9E" w:rsidR="00DC5BD7" w:rsidRPr="001A28D2" w:rsidRDefault="00DC5BD7" w:rsidP="000501B3">
            <w:pPr>
              <w:jc w:val="right"/>
              <w:rPr>
                <w:color w:val="000000"/>
                <w:sz w:val="16"/>
                <w:szCs w:val="16"/>
              </w:rPr>
            </w:pPr>
            <w:r w:rsidRPr="001A28D2">
              <w:rPr>
                <w:color w:val="000000"/>
                <w:sz w:val="16"/>
                <w:szCs w:val="16"/>
              </w:rPr>
              <w:t>-1 8</w:t>
            </w:r>
            <w:r w:rsidR="000501B3" w:rsidRPr="001A28D2">
              <w:rPr>
                <w:color w:val="000000"/>
                <w:sz w:val="16"/>
                <w:szCs w:val="16"/>
              </w:rPr>
              <w:t>7</w:t>
            </w:r>
            <w:r w:rsidR="00187AC7" w:rsidRPr="001A28D2">
              <w:rPr>
                <w:color w:val="000000"/>
                <w:sz w:val="16"/>
                <w:szCs w:val="16"/>
              </w:rPr>
              <w:t>6</w:t>
            </w:r>
            <w:r w:rsidRPr="001A28D2">
              <w:rPr>
                <w:color w:val="000000"/>
                <w:sz w:val="16"/>
                <w:szCs w:val="16"/>
              </w:rPr>
              <w:t xml:space="preserve"> </w:t>
            </w:r>
            <w:r w:rsidR="000501B3" w:rsidRPr="001A28D2">
              <w:rPr>
                <w:color w:val="000000"/>
                <w:sz w:val="16"/>
                <w:szCs w:val="16"/>
              </w:rPr>
              <w:t>136</w:t>
            </w:r>
            <w:r w:rsidRPr="001A28D2">
              <w:rPr>
                <w:color w:val="000000"/>
                <w:sz w:val="16"/>
                <w:szCs w:val="16"/>
              </w:rPr>
              <w:t>,</w:t>
            </w:r>
            <w:r w:rsidR="000501B3" w:rsidRPr="001A28D2">
              <w:rPr>
                <w:color w:val="000000"/>
                <w:sz w:val="16"/>
                <w:szCs w:val="16"/>
              </w:rPr>
              <w:t>3</w:t>
            </w:r>
          </w:p>
        </w:tc>
        <w:tc>
          <w:tcPr>
            <w:tcW w:w="992" w:type="dxa"/>
            <w:tcBorders>
              <w:top w:val="nil"/>
              <w:left w:val="nil"/>
              <w:bottom w:val="single" w:sz="4" w:space="0" w:color="auto"/>
              <w:right w:val="single" w:sz="4" w:space="0" w:color="auto"/>
            </w:tcBorders>
            <w:noWrap/>
            <w:hideMark/>
          </w:tcPr>
          <w:p w14:paraId="6C701ADE" w14:textId="7DAE5F74" w:rsidR="00DC5BD7" w:rsidRPr="001A28D2" w:rsidRDefault="00DC5BD7" w:rsidP="0094056E">
            <w:pPr>
              <w:jc w:val="right"/>
              <w:rPr>
                <w:color w:val="000000"/>
                <w:sz w:val="16"/>
                <w:szCs w:val="16"/>
              </w:rPr>
            </w:pPr>
            <w:r w:rsidRPr="001A28D2">
              <w:rPr>
                <w:color w:val="000000"/>
                <w:sz w:val="16"/>
                <w:szCs w:val="16"/>
              </w:rPr>
              <w:t>-2 9</w:t>
            </w:r>
            <w:r w:rsidR="00521908" w:rsidRPr="001A28D2">
              <w:rPr>
                <w:color w:val="000000"/>
                <w:sz w:val="16"/>
                <w:szCs w:val="16"/>
              </w:rPr>
              <w:t>51</w:t>
            </w:r>
            <w:r w:rsidR="0094056E" w:rsidRPr="001A28D2">
              <w:rPr>
                <w:color w:val="000000"/>
                <w:sz w:val="16"/>
                <w:szCs w:val="16"/>
              </w:rPr>
              <w:t> 981,7</w:t>
            </w:r>
          </w:p>
        </w:tc>
        <w:tc>
          <w:tcPr>
            <w:tcW w:w="721" w:type="dxa"/>
            <w:tcBorders>
              <w:top w:val="nil"/>
              <w:left w:val="nil"/>
              <w:bottom w:val="single" w:sz="4" w:space="0" w:color="auto"/>
              <w:right w:val="single" w:sz="4" w:space="0" w:color="auto"/>
            </w:tcBorders>
            <w:noWrap/>
            <w:hideMark/>
          </w:tcPr>
          <w:p w14:paraId="23C3ACAA" w14:textId="14E6A557" w:rsidR="00DC5BD7" w:rsidRPr="001A28D2" w:rsidRDefault="00A241B3" w:rsidP="00A241B3">
            <w:pPr>
              <w:jc w:val="right"/>
              <w:rPr>
                <w:color w:val="000000"/>
                <w:sz w:val="16"/>
                <w:szCs w:val="16"/>
              </w:rPr>
            </w:pPr>
            <w:r w:rsidRPr="001A28D2">
              <w:rPr>
                <w:color w:val="000000"/>
                <w:sz w:val="16"/>
                <w:szCs w:val="16"/>
              </w:rPr>
              <w:t>32</w:t>
            </w:r>
            <w:r w:rsidR="00DC5BD7" w:rsidRPr="001A28D2">
              <w:rPr>
                <w:color w:val="000000"/>
                <w:sz w:val="16"/>
                <w:szCs w:val="16"/>
              </w:rPr>
              <w:t xml:space="preserve"> </w:t>
            </w:r>
            <w:r w:rsidRPr="001A28D2">
              <w:rPr>
                <w:color w:val="000000"/>
                <w:sz w:val="16"/>
                <w:szCs w:val="16"/>
              </w:rPr>
              <w:t>00</w:t>
            </w:r>
            <w:r w:rsidR="00DC5BD7" w:rsidRPr="001A28D2">
              <w:rPr>
                <w:color w:val="000000"/>
                <w:sz w:val="16"/>
                <w:szCs w:val="16"/>
              </w:rPr>
              <w:t>3,</w:t>
            </w:r>
            <w:r w:rsidRPr="001A28D2">
              <w:rPr>
                <w:color w:val="000000"/>
                <w:sz w:val="16"/>
                <w:szCs w:val="16"/>
              </w:rPr>
              <w:t>3</w:t>
            </w:r>
          </w:p>
        </w:tc>
        <w:tc>
          <w:tcPr>
            <w:tcW w:w="843" w:type="dxa"/>
            <w:tcBorders>
              <w:top w:val="nil"/>
              <w:left w:val="nil"/>
              <w:bottom w:val="single" w:sz="4" w:space="0" w:color="auto"/>
              <w:right w:val="single" w:sz="4" w:space="0" w:color="auto"/>
            </w:tcBorders>
            <w:noWrap/>
            <w:hideMark/>
          </w:tcPr>
          <w:p w14:paraId="24C3AC88" w14:textId="77777777" w:rsidR="00DC5BD7" w:rsidRPr="001A28D2" w:rsidRDefault="00DC5BD7" w:rsidP="00F47317">
            <w:pPr>
              <w:jc w:val="right"/>
              <w:rPr>
                <w:color w:val="000000"/>
                <w:sz w:val="16"/>
                <w:szCs w:val="16"/>
              </w:rPr>
            </w:pPr>
            <w:r w:rsidRPr="001A28D2">
              <w:rPr>
                <w:color w:val="000000"/>
                <w:sz w:val="16"/>
                <w:szCs w:val="16"/>
              </w:rPr>
              <w:t>-32,9</w:t>
            </w:r>
          </w:p>
        </w:tc>
      </w:tr>
      <w:tr w:rsidR="00DC5BD7" w:rsidRPr="001A28D2" w14:paraId="7286DEFE" w14:textId="77777777" w:rsidTr="00F47317">
        <w:trPr>
          <w:trHeight w:val="225"/>
          <w:jc w:val="center"/>
        </w:trPr>
        <w:tc>
          <w:tcPr>
            <w:tcW w:w="704" w:type="dxa"/>
            <w:tcBorders>
              <w:top w:val="nil"/>
              <w:left w:val="single" w:sz="4" w:space="0" w:color="auto"/>
              <w:bottom w:val="single" w:sz="4" w:space="0" w:color="auto"/>
              <w:right w:val="single" w:sz="4" w:space="0" w:color="auto"/>
            </w:tcBorders>
            <w:noWrap/>
            <w:hideMark/>
          </w:tcPr>
          <w:p w14:paraId="0B43EC2D" w14:textId="77777777" w:rsidR="00DC5BD7" w:rsidRPr="001A28D2" w:rsidRDefault="00DC5BD7" w:rsidP="00F47317">
            <w:pPr>
              <w:rPr>
                <w:color w:val="000000"/>
                <w:sz w:val="16"/>
                <w:szCs w:val="16"/>
              </w:rPr>
            </w:pPr>
            <w:r w:rsidRPr="001A28D2">
              <w:rPr>
                <w:color w:val="000000"/>
                <w:sz w:val="16"/>
                <w:szCs w:val="16"/>
              </w:rPr>
              <w:t>%</w:t>
            </w:r>
          </w:p>
        </w:tc>
        <w:tc>
          <w:tcPr>
            <w:tcW w:w="851" w:type="dxa"/>
            <w:tcBorders>
              <w:top w:val="nil"/>
              <w:left w:val="nil"/>
              <w:bottom w:val="single" w:sz="4" w:space="0" w:color="auto"/>
              <w:right w:val="single" w:sz="4" w:space="0" w:color="auto"/>
            </w:tcBorders>
            <w:noWrap/>
            <w:hideMark/>
          </w:tcPr>
          <w:p w14:paraId="47C832B2" w14:textId="7483FBF9" w:rsidR="00DC5BD7" w:rsidRPr="001A28D2" w:rsidRDefault="00DC5BD7" w:rsidP="00B0648E">
            <w:pPr>
              <w:jc w:val="right"/>
              <w:rPr>
                <w:color w:val="000000"/>
                <w:sz w:val="16"/>
                <w:szCs w:val="16"/>
              </w:rPr>
            </w:pPr>
            <w:r w:rsidRPr="001A28D2">
              <w:rPr>
                <w:color w:val="000000"/>
                <w:sz w:val="16"/>
                <w:szCs w:val="16"/>
              </w:rPr>
              <w:t>1,</w:t>
            </w:r>
            <w:r w:rsidR="00B0648E" w:rsidRPr="001A28D2">
              <w:rPr>
                <w:color w:val="000000"/>
                <w:sz w:val="16"/>
                <w:szCs w:val="16"/>
              </w:rPr>
              <w:t>7</w:t>
            </w:r>
          </w:p>
        </w:tc>
        <w:tc>
          <w:tcPr>
            <w:tcW w:w="850" w:type="dxa"/>
            <w:tcBorders>
              <w:top w:val="nil"/>
              <w:left w:val="nil"/>
              <w:bottom w:val="single" w:sz="4" w:space="0" w:color="auto"/>
              <w:right w:val="single" w:sz="4" w:space="0" w:color="auto"/>
            </w:tcBorders>
            <w:noWrap/>
            <w:hideMark/>
          </w:tcPr>
          <w:p w14:paraId="664DB7E9" w14:textId="77777777" w:rsidR="00DC5BD7" w:rsidRPr="001A28D2" w:rsidRDefault="00DC5BD7" w:rsidP="00F47317">
            <w:pPr>
              <w:jc w:val="right"/>
              <w:rPr>
                <w:color w:val="000000"/>
                <w:sz w:val="16"/>
                <w:szCs w:val="16"/>
              </w:rPr>
            </w:pPr>
            <w:r w:rsidRPr="001A28D2">
              <w:rPr>
                <w:color w:val="000000"/>
                <w:sz w:val="16"/>
                <w:szCs w:val="16"/>
              </w:rPr>
              <w:t>-4,9</w:t>
            </w:r>
          </w:p>
        </w:tc>
        <w:tc>
          <w:tcPr>
            <w:tcW w:w="709" w:type="dxa"/>
            <w:tcBorders>
              <w:top w:val="nil"/>
              <w:left w:val="nil"/>
              <w:bottom w:val="single" w:sz="4" w:space="0" w:color="auto"/>
              <w:right w:val="single" w:sz="4" w:space="0" w:color="auto"/>
            </w:tcBorders>
            <w:noWrap/>
            <w:hideMark/>
          </w:tcPr>
          <w:p w14:paraId="4E954DB8" w14:textId="77777777" w:rsidR="00DC5BD7" w:rsidRPr="001A28D2" w:rsidRDefault="00DC5BD7" w:rsidP="00F47317">
            <w:pPr>
              <w:jc w:val="right"/>
              <w:rPr>
                <w:color w:val="000000"/>
                <w:sz w:val="16"/>
                <w:szCs w:val="16"/>
              </w:rPr>
            </w:pPr>
            <w:r w:rsidRPr="001A28D2">
              <w:rPr>
                <w:color w:val="000000"/>
                <w:sz w:val="16"/>
                <w:szCs w:val="16"/>
              </w:rPr>
              <w:t>-0,3</w:t>
            </w:r>
          </w:p>
        </w:tc>
        <w:tc>
          <w:tcPr>
            <w:tcW w:w="709" w:type="dxa"/>
            <w:tcBorders>
              <w:top w:val="nil"/>
              <w:left w:val="nil"/>
              <w:bottom w:val="single" w:sz="4" w:space="0" w:color="auto"/>
              <w:right w:val="single" w:sz="4" w:space="0" w:color="auto"/>
            </w:tcBorders>
            <w:noWrap/>
            <w:hideMark/>
          </w:tcPr>
          <w:p w14:paraId="50D37125" w14:textId="77777777" w:rsidR="00DC5BD7" w:rsidRPr="001A28D2" w:rsidRDefault="00DC5BD7" w:rsidP="00F47317">
            <w:pPr>
              <w:jc w:val="right"/>
              <w:rPr>
                <w:color w:val="000000"/>
                <w:sz w:val="16"/>
                <w:szCs w:val="16"/>
              </w:rPr>
            </w:pPr>
            <w:r w:rsidRPr="001A28D2">
              <w:rPr>
                <w:color w:val="000000"/>
                <w:sz w:val="16"/>
                <w:szCs w:val="16"/>
              </w:rPr>
              <w:t>-6,1</w:t>
            </w:r>
          </w:p>
        </w:tc>
        <w:tc>
          <w:tcPr>
            <w:tcW w:w="708" w:type="dxa"/>
            <w:tcBorders>
              <w:top w:val="nil"/>
              <w:left w:val="nil"/>
              <w:bottom w:val="single" w:sz="4" w:space="0" w:color="auto"/>
              <w:right w:val="single" w:sz="4" w:space="0" w:color="auto"/>
            </w:tcBorders>
            <w:noWrap/>
            <w:hideMark/>
          </w:tcPr>
          <w:p w14:paraId="5AA88875" w14:textId="77777777" w:rsidR="00DC5BD7" w:rsidRPr="001A28D2" w:rsidRDefault="00DC5BD7" w:rsidP="00F47317">
            <w:pPr>
              <w:jc w:val="right"/>
              <w:rPr>
                <w:color w:val="000000"/>
                <w:sz w:val="16"/>
                <w:szCs w:val="16"/>
              </w:rPr>
            </w:pPr>
            <w:r w:rsidRPr="001A28D2">
              <w:rPr>
                <w:color w:val="000000"/>
                <w:sz w:val="16"/>
                <w:szCs w:val="16"/>
              </w:rPr>
              <w:t>-0,2</w:t>
            </w:r>
          </w:p>
        </w:tc>
        <w:tc>
          <w:tcPr>
            <w:tcW w:w="993" w:type="dxa"/>
            <w:tcBorders>
              <w:top w:val="nil"/>
              <w:left w:val="nil"/>
              <w:bottom w:val="single" w:sz="4" w:space="0" w:color="auto"/>
              <w:right w:val="single" w:sz="4" w:space="0" w:color="auto"/>
            </w:tcBorders>
            <w:noWrap/>
            <w:hideMark/>
          </w:tcPr>
          <w:p w14:paraId="0E87DF8D" w14:textId="77777777" w:rsidR="00DC5BD7" w:rsidRPr="001A28D2" w:rsidRDefault="00DC5BD7" w:rsidP="00F47317">
            <w:pPr>
              <w:jc w:val="right"/>
              <w:rPr>
                <w:color w:val="000000"/>
                <w:sz w:val="16"/>
                <w:szCs w:val="16"/>
              </w:rPr>
            </w:pPr>
            <w:r w:rsidRPr="001A28D2">
              <w:rPr>
                <w:color w:val="000000"/>
                <w:sz w:val="16"/>
                <w:szCs w:val="16"/>
              </w:rPr>
              <w:t>56,6</w:t>
            </w:r>
          </w:p>
        </w:tc>
        <w:tc>
          <w:tcPr>
            <w:tcW w:w="992" w:type="dxa"/>
            <w:tcBorders>
              <w:top w:val="nil"/>
              <w:left w:val="nil"/>
              <w:bottom w:val="single" w:sz="4" w:space="0" w:color="auto"/>
              <w:right w:val="single" w:sz="4" w:space="0" w:color="auto"/>
            </w:tcBorders>
            <w:noWrap/>
            <w:hideMark/>
          </w:tcPr>
          <w:p w14:paraId="0D97DF0B" w14:textId="4E4392E7" w:rsidR="00DC5BD7" w:rsidRPr="001A28D2" w:rsidRDefault="00DC5BD7" w:rsidP="000501B3">
            <w:pPr>
              <w:jc w:val="right"/>
              <w:rPr>
                <w:color w:val="000000"/>
                <w:sz w:val="16"/>
                <w:szCs w:val="16"/>
              </w:rPr>
            </w:pPr>
            <w:r w:rsidRPr="001A28D2">
              <w:rPr>
                <w:color w:val="000000"/>
                <w:sz w:val="16"/>
                <w:szCs w:val="16"/>
              </w:rPr>
              <w:t>-60,</w:t>
            </w:r>
            <w:r w:rsidR="000501B3" w:rsidRPr="001A28D2">
              <w:rPr>
                <w:color w:val="000000"/>
                <w:sz w:val="16"/>
                <w:szCs w:val="16"/>
              </w:rPr>
              <w:t>4</w:t>
            </w:r>
          </w:p>
        </w:tc>
        <w:tc>
          <w:tcPr>
            <w:tcW w:w="992" w:type="dxa"/>
            <w:tcBorders>
              <w:top w:val="nil"/>
              <w:left w:val="nil"/>
              <w:bottom w:val="single" w:sz="4" w:space="0" w:color="auto"/>
              <w:right w:val="single" w:sz="4" w:space="0" w:color="auto"/>
            </w:tcBorders>
            <w:noWrap/>
            <w:hideMark/>
          </w:tcPr>
          <w:p w14:paraId="16547307" w14:textId="2871399A" w:rsidR="00DC5BD7" w:rsidRPr="001A28D2" w:rsidRDefault="00DC5BD7" w:rsidP="00521908">
            <w:pPr>
              <w:jc w:val="right"/>
              <w:rPr>
                <w:color w:val="000000"/>
                <w:sz w:val="16"/>
                <w:szCs w:val="16"/>
              </w:rPr>
            </w:pPr>
            <w:r w:rsidRPr="001A28D2">
              <w:rPr>
                <w:color w:val="000000"/>
                <w:sz w:val="16"/>
                <w:szCs w:val="16"/>
              </w:rPr>
              <w:t>-90,</w:t>
            </w:r>
            <w:r w:rsidR="00521908" w:rsidRPr="001A28D2">
              <w:rPr>
                <w:color w:val="000000"/>
                <w:sz w:val="16"/>
                <w:szCs w:val="16"/>
              </w:rPr>
              <w:t>3</w:t>
            </w:r>
          </w:p>
        </w:tc>
        <w:tc>
          <w:tcPr>
            <w:tcW w:w="721" w:type="dxa"/>
            <w:tcBorders>
              <w:top w:val="nil"/>
              <w:left w:val="nil"/>
              <w:bottom w:val="single" w:sz="4" w:space="0" w:color="auto"/>
              <w:right w:val="single" w:sz="4" w:space="0" w:color="auto"/>
            </w:tcBorders>
            <w:noWrap/>
            <w:hideMark/>
          </w:tcPr>
          <w:p w14:paraId="40CD98B4" w14:textId="2D1B53AE" w:rsidR="00DC5BD7" w:rsidRPr="001A28D2" w:rsidRDefault="00DC5BD7" w:rsidP="00A241B3">
            <w:pPr>
              <w:jc w:val="right"/>
              <w:rPr>
                <w:color w:val="000000"/>
                <w:sz w:val="16"/>
                <w:szCs w:val="16"/>
              </w:rPr>
            </w:pPr>
            <w:r w:rsidRPr="001A28D2">
              <w:rPr>
                <w:color w:val="000000"/>
                <w:sz w:val="16"/>
                <w:szCs w:val="16"/>
              </w:rPr>
              <w:t>4</w:t>
            </w:r>
            <w:r w:rsidR="00A241B3" w:rsidRPr="001A28D2">
              <w:rPr>
                <w:color w:val="000000"/>
                <w:sz w:val="16"/>
                <w:szCs w:val="16"/>
              </w:rPr>
              <w:t>7</w:t>
            </w:r>
            <w:r w:rsidRPr="001A28D2">
              <w:rPr>
                <w:color w:val="000000"/>
                <w:sz w:val="16"/>
                <w:szCs w:val="16"/>
              </w:rPr>
              <w:t>,</w:t>
            </w:r>
            <w:r w:rsidR="00A241B3" w:rsidRPr="001A28D2">
              <w:rPr>
                <w:color w:val="000000"/>
                <w:sz w:val="16"/>
                <w:szCs w:val="16"/>
              </w:rPr>
              <w:t>6</w:t>
            </w:r>
          </w:p>
        </w:tc>
        <w:tc>
          <w:tcPr>
            <w:tcW w:w="843" w:type="dxa"/>
            <w:tcBorders>
              <w:top w:val="nil"/>
              <w:left w:val="nil"/>
              <w:bottom w:val="single" w:sz="4" w:space="0" w:color="auto"/>
              <w:right w:val="single" w:sz="4" w:space="0" w:color="auto"/>
            </w:tcBorders>
            <w:noWrap/>
            <w:hideMark/>
          </w:tcPr>
          <w:p w14:paraId="2A67FDF8" w14:textId="77777777" w:rsidR="00DC5BD7" w:rsidRPr="001A28D2" w:rsidRDefault="00DC5BD7" w:rsidP="00F47317">
            <w:pPr>
              <w:jc w:val="right"/>
              <w:rPr>
                <w:color w:val="000000"/>
                <w:sz w:val="16"/>
                <w:szCs w:val="16"/>
              </w:rPr>
            </w:pPr>
            <w:r w:rsidRPr="001A28D2">
              <w:rPr>
                <w:color w:val="000000"/>
                <w:sz w:val="16"/>
                <w:szCs w:val="16"/>
              </w:rPr>
              <w:t>-6,7</w:t>
            </w:r>
          </w:p>
        </w:tc>
      </w:tr>
    </w:tbl>
    <w:p w14:paraId="3B25B68D" w14:textId="77777777" w:rsidR="00DC5BD7" w:rsidRPr="001A28D2" w:rsidRDefault="00DC5BD7" w:rsidP="00DC5BD7">
      <w:pPr>
        <w:ind w:firstLine="1134"/>
        <w:jc w:val="both"/>
        <w:rPr>
          <w:rFonts w:ascii="Times New Roman CYR" w:hAnsi="Times New Roman CYR" w:cs="Times New Roman CYR"/>
          <w:bCs/>
        </w:rPr>
      </w:pPr>
    </w:p>
    <w:p w14:paraId="30D917DD" w14:textId="4CB01EA9" w:rsidR="00DC5BD7" w:rsidRPr="001A28D2" w:rsidRDefault="00DC5BD7" w:rsidP="007E77CC">
      <w:pPr>
        <w:ind w:firstLine="709"/>
        <w:jc w:val="both"/>
        <w:rPr>
          <w:rFonts w:ascii="Times New Roman CYR" w:hAnsi="Times New Roman CYR" w:cs="Times New Roman CYR"/>
          <w:bCs/>
          <w:color w:val="000000" w:themeColor="text1"/>
        </w:rPr>
      </w:pPr>
      <w:r w:rsidRPr="001A28D2">
        <w:rPr>
          <w:rFonts w:ascii="Times New Roman CYR" w:hAnsi="Times New Roman CYR" w:cs="Times New Roman CYR"/>
          <w:bCs/>
          <w:color w:val="000000" w:themeColor="text1"/>
        </w:rPr>
        <w:t xml:space="preserve">В пет от функциите по Консолидираната фискална програма се наблюдава намаление на отчетените разходи в сравнение с миналата година – „Отбрана и сигурност“, „Жилищно строителство и благоустройство, комунално стопанство и опазване на околната среда“, „Почивно дело, култура, религиозни дейности“, „Разходи, некласифицирани в другите функции“ и „Икономически дейности и услуги“, като за </w:t>
      </w:r>
      <w:r w:rsidRPr="001A28D2">
        <w:rPr>
          <w:rFonts w:ascii="Times New Roman CYR" w:hAnsi="Times New Roman CYR" w:cs="Times New Roman CYR"/>
          <w:bCs/>
          <w:color w:val="000000" w:themeColor="text1"/>
        </w:rPr>
        <w:lastRenderedPageBreak/>
        <w:t>последната намалението на разходите възлиза на 1 83</w:t>
      </w:r>
      <w:r w:rsidR="008C69A7" w:rsidRPr="001A28D2">
        <w:rPr>
          <w:rFonts w:ascii="Times New Roman CYR" w:hAnsi="Times New Roman CYR" w:cs="Times New Roman CYR"/>
          <w:bCs/>
          <w:color w:val="000000" w:themeColor="text1"/>
        </w:rPr>
        <w:t>6</w:t>
      </w:r>
      <w:r w:rsidRPr="001A28D2">
        <w:rPr>
          <w:rFonts w:ascii="Times New Roman CYR" w:hAnsi="Times New Roman CYR" w:cs="Times New Roman CYR"/>
          <w:bCs/>
          <w:color w:val="000000" w:themeColor="text1"/>
        </w:rPr>
        <w:t> </w:t>
      </w:r>
      <w:r w:rsidR="008C69A7" w:rsidRPr="001A28D2">
        <w:rPr>
          <w:rFonts w:ascii="Times New Roman CYR" w:hAnsi="Times New Roman CYR" w:cs="Times New Roman CYR"/>
          <w:bCs/>
          <w:color w:val="000000" w:themeColor="text1"/>
        </w:rPr>
        <w:t>015</w:t>
      </w:r>
      <w:r w:rsidRPr="001A28D2">
        <w:rPr>
          <w:rFonts w:ascii="Times New Roman CYR" w:hAnsi="Times New Roman CYR" w:cs="Times New Roman CYR"/>
          <w:bCs/>
          <w:color w:val="000000" w:themeColor="text1"/>
        </w:rPr>
        <w:t>,</w:t>
      </w:r>
      <w:r w:rsidR="008C69A7" w:rsidRPr="001A28D2">
        <w:rPr>
          <w:rFonts w:ascii="Times New Roman CYR" w:hAnsi="Times New Roman CYR" w:cs="Times New Roman CYR"/>
          <w:bCs/>
          <w:color w:val="000000" w:themeColor="text1"/>
        </w:rPr>
        <w:t>9</w:t>
      </w:r>
      <w:r w:rsidRPr="001A28D2">
        <w:rPr>
          <w:rFonts w:ascii="Times New Roman CYR" w:hAnsi="Times New Roman CYR" w:cs="Times New Roman CYR"/>
          <w:bCs/>
          <w:color w:val="000000" w:themeColor="text1"/>
        </w:rPr>
        <w:t xml:space="preserve"> хил. лв. На второ място е „Жилищно строителство и благоустройство, комунално стопанство и опазване на околната среда“ с </w:t>
      </w:r>
      <w:r w:rsidR="00F627B1" w:rsidRPr="001A28D2">
        <w:rPr>
          <w:rFonts w:ascii="Times New Roman CYR" w:hAnsi="Times New Roman CYR" w:cs="Times New Roman CYR"/>
          <w:bCs/>
          <w:color w:val="000000" w:themeColor="text1"/>
        </w:rPr>
        <w:t>673 132,8 </w:t>
      </w:r>
      <w:r w:rsidRPr="001A28D2">
        <w:rPr>
          <w:rFonts w:ascii="Times New Roman CYR" w:hAnsi="Times New Roman CYR" w:cs="Times New Roman CYR"/>
          <w:bCs/>
          <w:color w:val="000000" w:themeColor="text1"/>
        </w:rPr>
        <w:t>хил. лв. намаление в разходите спрямо предходния период.</w:t>
      </w:r>
    </w:p>
    <w:p w14:paraId="13754E8E" w14:textId="00FF7526" w:rsidR="00DC5BD7" w:rsidRPr="001A28D2" w:rsidRDefault="00DC5BD7" w:rsidP="007E77CC">
      <w:pPr>
        <w:ind w:firstLine="709"/>
        <w:jc w:val="both"/>
      </w:pPr>
      <w:r w:rsidRPr="001A28D2">
        <w:rPr>
          <w:rFonts w:ascii="Times New Roman CYR" w:hAnsi="Times New Roman CYR" w:cs="Times New Roman CYR"/>
          <w:bCs/>
        </w:rPr>
        <w:t>Делът на разходите по отделните функции спрямо общия размер на разходите по КФП през 2016</w:t>
      </w:r>
      <w:r w:rsidR="00D01607" w:rsidRPr="001A28D2">
        <w:rPr>
          <w:rFonts w:ascii="Times New Roman CYR" w:hAnsi="Times New Roman CYR" w:cs="Times New Roman CYR"/>
          <w:bCs/>
        </w:rPr>
        <w:t> </w:t>
      </w:r>
      <w:r w:rsidRPr="001A28D2">
        <w:rPr>
          <w:rFonts w:ascii="Times New Roman CYR" w:hAnsi="Times New Roman CYR" w:cs="Times New Roman CYR"/>
          <w:bCs/>
        </w:rPr>
        <w:t>г. бележи увеличение при 6 от тях: „</w:t>
      </w:r>
      <w:r w:rsidRPr="001A28D2">
        <w:rPr>
          <w:rFonts w:ascii="Times New Roman CYR" w:hAnsi="Times New Roman CYR" w:cs="Times New Roman CYR"/>
        </w:rPr>
        <w:t>Общи държавни служби“, „</w:t>
      </w:r>
      <w:r w:rsidRPr="001A28D2">
        <w:t>Отбрана и сигурност“, „Образование“, „</w:t>
      </w:r>
      <w:r w:rsidRPr="001A28D2">
        <w:rPr>
          <w:rFonts w:ascii="Times New Roman CYR" w:hAnsi="Times New Roman CYR" w:cs="Times New Roman CYR"/>
        </w:rPr>
        <w:t>Здравеопазване“, „</w:t>
      </w:r>
      <w:r w:rsidRPr="001A28D2">
        <w:t>Социално осигуряване, подпомагане и грижи“</w:t>
      </w:r>
      <w:r w:rsidRPr="001A28D2">
        <w:rPr>
          <w:rFonts w:ascii="Times New Roman CYR" w:hAnsi="Times New Roman CYR" w:cs="Times New Roman CYR"/>
        </w:rPr>
        <w:t xml:space="preserve"> и „</w:t>
      </w:r>
      <w:r w:rsidRPr="001A28D2">
        <w:t>Разходи, некласифицирани в другите функции“, като най-голям дял заема „Социално осигуряване, подпомагане и грижи“ с 37,1 на сто от общите разходи, следвана от функция „Здравеопазване“ с 12,</w:t>
      </w:r>
      <w:r w:rsidR="00F627B1" w:rsidRPr="001A28D2">
        <w:t>6</w:t>
      </w:r>
      <w:r w:rsidRPr="001A28D2">
        <w:t xml:space="preserve"> на сто. За миналата година този дял е бил съответно 33,6 на сто и 11,5 на сто. При останалите 3 функции е установено намаление. </w:t>
      </w:r>
    </w:p>
    <w:p w14:paraId="16536C30" w14:textId="77777777" w:rsidR="00DC5BD7" w:rsidRPr="001A28D2" w:rsidRDefault="00DC5BD7" w:rsidP="007E77CC">
      <w:pPr>
        <w:spacing w:line="256" w:lineRule="auto"/>
        <w:ind w:firstLine="709"/>
        <w:jc w:val="both"/>
        <w:rPr>
          <w:rFonts w:eastAsia="Calibri"/>
          <w:i/>
          <w:szCs w:val="22"/>
          <w:lang w:eastAsia="en-US"/>
        </w:rPr>
      </w:pPr>
    </w:p>
    <w:p w14:paraId="196A35AC" w14:textId="0AC31668" w:rsidR="00DC5BD7" w:rsidRPr="001A28D2" w:rsidRDefault="00DC5BD7" w:rsidP="007E77CC">
      <w:pPr>
        <w:ind w:firstLine="709"/>
        <w:jc w:val="both"/>
        <w:rPr>
          <w:rFonts w:eastAsia="Calibri"/>
          <w:i/>
          <w:szCs w:val="22"/>
          <w:lang w:eastAsia="en-US"/>
        </w:rPr>
      </w:pPr>
      <w:r w:rsidRPr="001A28D2">
        <w:rPr>
          <w:rFonts w:eastAsia="Calibri"/>
          <w:i/>
          <w:szCs w:val="22"/>
          <w:lang w:eastAsia="en-US"/>
        </w:rPr>
        <w:t xml:space="preserve">Реализиран е излишък по </w:t>
      </w:r>
      <w:r w:rsidR="002B1D02" w:rsidRPr="001A28D2">
        <w:rPr>
          <w:rFonts w:eastAsia="Calibri"/>
          <w:i/>
          <w:szCs w:val="22"/>
          <w:lang w:eastAsia="en-US"/>
        </w:rPr>
        <w:t>КФП</w:t>
      </w:r>
      <w:r w:rsidRPr="001A28D2">
        <w:rPr>
          <w:rFonts w:eastAsia="Calibri"/>
          <w:i/>
          <w:szCs w:val="22"/>
          <w:lang w:eastAsia="en-US"/>
        </w:rPr>
        <w:t xml:space="preserve"> за 2016 г. в размер на </w:t>
      </w:r>
      <w:r w:rsidR="00F627B1" w:rsidRPr="001A28D2">
        <w:rPr>
          <w:rFonts w:eastAsia="Calibri"/>
          <w:i/>
          <w:szCs w:val="22"/>
          <w:lang w:eastAsia="en-US"/>
        </w:rPr>
        <w:t>1 468 081,8 </w:t>
      </w:r>
      <w:r w:rsidRPr="001A28D2">
        <w:rPr>
          <w:rFonts w:eastAsia="Calibri"/>
          <w:i/>
          <w:szCs w:val="22"/>
          <w:lang w:eastAsia="en-US"/>
        </w:rPr>
        <w:t>хил. лв., което се дължи основно на отчетените с 5,</w:t>
      </w:r>
      <w:proofErr w:type="spellStart"/>
      <w:r w:rsidRPr="001A28D2">
        <w:rPr>
          <w:rFonts w:eastAsia="Calibri"/>
          <w:i/>
          <w:szCs w:val="22"/>
          <w:lang w:eastAsia="en-US"/>
        </w:rPr>
        <w:t>5</w:t>
      </w:r>
      <w:proofErr w:type="spellEnd"/>
      <w:r w:rsidRPr="001A28D2">
        <w:rPr>
          <w:rFonts w:eastAsia="Calibri"/>
          <w:i/>
          <w:szCs w:val="22"/>
          <w:lang w:eastAsia="en-US"/>
        </w:rPr>
        <w:t xml:space="preserve"> на сто повече приходи и 6,3 на сто по-малко разходи спрямо предходната година. </w:t>
      </w:r>
    </w:p>
    <w:p w14:paraId="1A99BEDC" w14:textId="74250683" w:rsidR="00DC5BD7" w:rsidRPr="001A28D2" w:rsidRDefault="00DC5BD7" w:rsidP="007E77CC">
      <w:pPr>
        <w:ind w:firstLine="709"/>
        <w:jc w:val="both"/>
        <w:rPr>
          <w:rFonts w:eastAsia="Calibri"/>
          <w:i/>
          <w:szCs w:val="22"/>
          <w:lang w:eastAsia="en-US"/>
        </w:rPr>
      </w:pPr>
      <w:r w:rsidRPr="001A28D2">
        <w:rPr>
          <w:rFonts w:eastAsia="Calibri"/>
          <w:i/>
          <w:szCs w:val="22"/>
          <w:lang w:eastAsia="en-US"/>
        </w:rPr>
        <w:t xml:space="preserve">Не са изпълнени приходите от държавни такси по централния бюджет. Причината е в приетия (след внасяне в </w:t>
      </w:r>
      <w:r w:rsidR="002B1D02" w:rsidRPr="001A28D2">
        <w:rPr>
          <w:rFonts w:eastAsia="Calibri"/>
          <w:i/>
          <w:szCs w:val="22"/>
          <w:lang w:eastAsia="en-US"/>
        </w:rPr>
        <w:t>НС</w:t>
      </w:r>
      <w:r w:rsidRPr="001A28D2">
        <w:rPr>
          <w:rFonts w:eastAsia="Calibri"/>
          <w:i/>
          <w:szCs w:val="22"/>
          <w:lang w:eastAsia="en-US"/>
        </w:rPr>
        <w:t xml:space="preserve"> на проекта на ЗДБРБ за 2016</w:t>
      </w:r>
      <w:r w:rsidR="00D01607" w:rsidRPr="001A28D2">
        <w:rPr>
          <w:rFonts w:eastAsia="Calibri"/>
          <w:i/>
          <w:szCs w:val="22"/>
          <w:lang w:eastAsia="en-US"/>
        </w:rPr>
        <w:t> </w:t>
      </w:r>
      <w:r w:rsidRPr="001A28D2">
        <w:rPr>
          <w:rFonts w:eastAsia="Calibri"/>
          <w:i/>
          <w:szCs w:val="22"/>
          <w:lang w:eastAsia="en-US"/>
        </w:rPr>
        <w:t xml:space="preserve">г.) вариант за цената на годишната винетка за леки автомобили с увеличение от 30 лв., вместо първоначално предложеното увеличение от 78 лв., на база на което е извършено разработването на проектобюджета за 2016 г. </w:t>
      </w:r>
    </w:p>
    <w:p w14:paraId="173BBA51" w14:textId="77777777" w:rsidR="00DC5BD7" w:rsidRPr="001A28D2" w:rsidRDefault="00DC5BD7" w:rsidP="007E77CC">
      <w:pPr>
        <w:ind w:firstLine="709"/>
        <w:jc w:val="both"/>
        <w:rPr>
          <w:rFonts w:eastAsia="Calibri"/>
          <w:i/>
          <w:szCs w:val="22"/>
          <w:lang w:eastAsia="en-US"/>
        </w:rPr>
      </w:pPr>
      <w:r w:rsidRPr="001A28D2">
        <w:rPr>
          <w:rFonts w:eastAsia="Calibri"/>
          <w:i/>
          <w:szCs w:val="22"/>
          <w:lang w:eastAsia="en-US"/>
        </w:rPr>
        <w:t>Не е установена трайна тенденция на увеличение или намаление на относителния дял на приходите от държавни такси спрямо общите приходи по държавния бюджет за последните три години.</w:t>
      </w:r>
    </w:p>
    <w:p w14:paraId="69677856" w14:textId="77777777" w:rsidR="00DC5BD7" w:rsidRPr="001A28D2" w:rsidRDefault="00DC5BD7" w:rsidP="007E77CC">
      <w:pPr>
        <w:ind w:firstLine="709"/>
        <w:contextualSpacing/>
        <w:jc w:val="both"/>
        <w:rPr>
          <w:b/>
          <w:bCs/>
          <w:color w:val="000000"/>
        </w:rPr>
      </w:pPr>
    </w:p>
    <w:p w14:paraId="41805CF3" w14:textId="77777777" w:rsidR="00AA2171" w:rsidRPr="001A28D2" w:rsidRDefault="00FD4FC0" w:rsidP="007E77CC">
      <w:pPr>
        <w:ind w:firstLine="709"/>
        <w:contextualSpacing/>
        <w:jc w:val="both"/>
        <w:rPr>
          <w:b/>
          <w:bCs/>
          <w:color w:val="000000"/>
        </w:rPr>
      </w:pPr>
      <w:r w:rsidRPr="001A28D2">
        <w:rPr>
          <w:b/>
          <w:bCs/>
          <w:color w:val="000000"/>
        </w:rPr>
        <w:t>I</w:t>
      </w:r>
      <w:r w:rsidR="00E13A4C" w:rsidRPr="001A28D2">
        <w:rPr>
          <w:b/>
          <w:bCs/>
          <w:color w:val="000000"/>
        </w:rPr>
        <w:t>I</w:t>
      </w:r>
      <w:r w:rsidR="00DC0D21" w:rsidRPr="001A28D2">
        <w:rPr>
          <w:b/>
          <w:bCs/>
          <w:color w:val="000000"/>
        </w:rPr>
        <w:t xml:space="preserve">I. </w:t>
      </w:r>
      <w:r w:rsidR="005C75C8" w:rsidRPr="001A28D2">
        <w:rPr>
          <w:b/>
          <w:bCs/>
          <w:color w:val="000000"/>
        </w:rPr>
        <w:t>Съответствие на изпълнението на държавния бюджет за 201</w:t>
      </w:r>
      <w:r w:rsidR="00604B48" w:rsidRPr="001A28D2">
        <w:rPr>
          <w:b/>
          <w:bCs/>
          <w:color w:val="000000"/>
        </w:rPr>
        <w:t>6</w:t>
      </w:r>
      <w:r w:rsidR="005C75C8" w:rsidRPr="001A28D2">
        <w:rPr>
          <w:b/>
          <w:bCs/>
          <w:color w:val="000000"/>
        </w:rPr>
        <w:t xml:space="preserve"> г. с основните принципи, правила и показатели, заложени в ЗПФ и мониторинг на процесите, </w:t>
      </w:r>
      <w:proofErr w:type="spellStart"/>
      <w:r w:rsidR="005C75C8" w:rsidRPr="001A28D2">
        <w:rPr>
          <w:b/>
          <w:bCs/>
          <w:color w:val="000000"/>
        </w:rPr>
        <w:t>относими</w:t>
      </w:r>
      <w:proofErr w:type="spellEnd"/>
      <w:r w:rsidR="005C75C8" w:rsidRPr="001A28D2">
        <w:rPr>
          <w:b/>
          <w:bCs/>
          <w:color w:val="000000"/>
        </w:rPr>
        <w:t xml:space="preserve"> към изпълнението на бюджета</w:t>
      </w:r>
    </w:p>
    <w:p w14:paraId="747AAAB8" w14:textId="77777777" w:rsidR="00227112" w:rsidRPr="001A28D2" w:rsidRDefault="00227112" w:rsidP="007E77CC">
      <w:pPr>
        <w:ind w:firstLine="709"/>
        <w:contextualSpacing/>
        <w:jc w:val="both"/>
        <w:rPr>
          <w:b/>
        </w:rPr>
      </w:pPr>
    </w:p>
    <w:p w14:paraId="20F449E2" w14:textId="50E79FF3" w:rsidR="009F23F9" w:rsidRPr="001A28D2" w:rsidRDefault="009F23F9" w:rsidP="007E77CC">
      <w:pPr>
        <w:ind w:firstLine="709"/>
        <w:jc w:val="both"/>
        <w:textAlignment w:val="center"/>
        <w:rPr>
          <w:color w:val="000000"/>
        </w:rPr>
      </w:pPr>
      <w:r w:rsidRPr="001A28D2">
        <w:rPr>
          <w:bCs/>
          <w:color w:val="000000"/>
        </w:rPr>
        <w:t xml:space="preserve">Със </w:t>
      </w:r>
      <w:r w:rsidR="00FC7787" w:rsidRPr="001A28D2">
        <w:rPr>
          <w:bCs/>
          <w:color w:val="000000"/>
        </w:rPr>
        <w:t>ЗПФ</w:t>
      </w:r>
      <w:r w:rsidRPr="001A28D2">
        <w:rPr>
          <w:bCs/>
          <w:color w:val="000000"/>
        </w:rPr>
        <w:t xml:space="preserve"> са</w:t>
      </w:r>
      <w:r w:rsidRPr="001A28D2">
        <w:rPr>
          <w:color w:val="000000"/>
        </w:rPr>
        <w:t xml:space="preserve"> уредени бюджетната рамка, общото устройство и структурата на публичните финанси и в него с</w:t>
      </w:r>
      <w:r w:rsidR="00A45F34" w:rsidRPr="001A28D2">
        <w:rPr>
          <w:color w:val="000000"/>
        </w:rPr>
        <w:t>а</w:t>
      </w:r>
      <w:r w:rsidRPr="001A28D2">
        <w:rPr>
          <w:color w:val="000000"/>
        </w:rPr>
        <w:t xml:space="preserve"> включени: обхвата на публичните финанси;</w:t>
      </w:r>
      <w:r w:rsidR="00F76244" w:rsidRPr="001A28D2">
        <w:rPr>
          <w:color w:val="000000"/>
        </w:rPr>
        <w:t xml:space="preserve"> </w:t>
      </w:r>
      <w:r w:rsidRPr="001A28D2">
        <w:rPr>
          <w:color w:val="000000"/>
        </w:rPr>
        <w:t xml:space="preserve">обхвата, структурата и основните показатели на </w:t>
      </w:r>
      <w:r w:rsidR="00255347" w:rsidRPr="001A28D2">
        <w:rPr>
          <w:color w:val="000000"/>
        </w:rPr>
        <w:t>КФП</w:t>
      </w:r>
      <w:r w:rsidRPr="001A28D2">
        <w:rPr>
          <w:color w:val="000000"/>
        </w:rPr>
        <w:t xml:space="preserve">; фискалните правила и ограничения; съставянето, приемането, изпълнението и отчитането на </w:t>
      </w:r>
      <w:r w:rsidR="00255347" w:rsidRPr="001A28D2">
        <w:rPr>
          <w:color w:val="000000"/>
        </w:rPr>
        <w:t>ДБ</w:t>
      </w:r>
      <w:r w:rsidRPr="001A28D2">
        <w:rPr>
          <w:color w:val="000000"/>
        </w:rPr>
        <w:t xml:space="preserve">, на общинските бюджети и на други бюджети, попадащи в обхвата на консолидираната фискална програма; режима на сметките за средствата от </w:t>
      </w:r>
      <w:r w:rsidR="00255347" w:rsidRPr="001A28D2">
        <w:rPr>
          <w:color w:val="000000"/>
        </w:rPr>
        <w:t>ЕС</w:t>
      </w:r>
      <w:r w:rsidRPr="001A28D2">
        <w:rPr>
          <w:color w:val="000000"/>
        </w:rPr>
        <w:t xml:space="preserve"> и за чужди средства; финансовите взаимоотношения с общия бюджет на </w:t>
      </w:r>
      <w:r w:rsidR="00255347" w:rsidRPr="001A28D2">
        <w:rPr>
          <w:color w:val="000000"/>
        </w:rPr>
        <w:t>ЕС</w:t>
      </w:r>
      <w:r w:rsidRPr="001A28D2">
        <w:rPr>
          <w:color w:val="000000"/>
        </w:rPr>
        <w:t xml:space="preserve"> и с други международни програми и договори; банковото обслужване на бюджетните организации и системата на единната сметка; централизираното разплащане на осигурителните вноски и на данъците и отчетността на бюджетните организации.</w:t>
      </w:r>
    </w:p>
    <w:p w14:paraId="19734D55" w14:textId="77777777" w:rsidR="00D030CA" w:rsidRPr="001A28D2" w:rsidRDefault="00D030CA" w:rsidP="007E77CC">
      <w:pPr>
        <w:ind w:firstLine="709"/>
        <w:jc w:val="both"/>
        <w:textAlignment w:val="center"/>
        <w:rPr>
          <w:color w:val="000000"/>
          <w:highlight w:val="yellow"/>
        </w:rPr>
      </w:pPr>
    </w:p>
    <w:p w14:paraId="776A6A67" w14:textId="77777777" w:rsidR="009F23F9" w:rsidRPr="001A28D2" w:rsidRDefault="009F23F9" w:rsidP="001C6402">
      <w:pPr>
        <w:pStyle w:val="ListParagraph"/>
        <w:widowControl w:val="0"/>
        <w:numPr>
          <w:ilvl w:val="0"/>
          <w:numId w:val="17"/>
        </w:numPr>
        <w:tabs>
          <w:tab w:val="left" w:pos="993"/>
        </w:tabs>
        <w:autoSpaceDE w:val="0"/>
        <w:autoSpaceDN w:val="0"/>
        <w:adjustRightInd w:val="0"/>
        <w:ind w:left="0" w:firstLine="709"/>
        <w:jc w:val="both"/>
        <w:rPr>
          <w:rFonts w:ascii="Times New Roman" w:eastAsiaTheme="minorHAnsi" w:hAnsi="Times New Roman" w:cs="Times New Roman"/>
          <w:b/>
          <w:lang w:val="bg-BG" w:eastAsia="en-US"/>
        </w:rPr>
      </w:pPr>
      <w:r w:rsidRPr="001A28D2">
        <w:rPr>
          <w:rFonts w:ascii="Times New Roman" w:eastAsiaTheme="minorHAnsi" w:hAnsi="Times New Roman" w:cs="Times New Roman"/>
          <w:b/>
          <w:lang w:val="bg-BG" w:eastAsia="en-US"/>
        </w:rPr>
        <w:t>Общи изисквания по ЗПФ</w:t>
      </w:r>
    </w:p>
    <w:p w14:paraId="23BD25C6" w14:textId="729ABB55" w:rsidR="00235A43" w:rsidRPr="001A28D2" w:rsidRDefault="009F23F9" w:rsidP="00235A43">
      <w:pPr>
        <w:autoSpaceDE w:val="0"/>
        <w:autoSpaceDN w:val="0"/>
        <w:adjustRightInd w:val="0"/>
        <w:ind w:firstLine="709"/>
        <w:jc w:val="both"/>
        <w:rPr>
          <w:color w:val="000000"/>
        </w:rPr>
      </w:pPr>
      <w:r w:rsidRPr="001A28D2">
        <w:t>1.</w:t>
      </w:r>
      <w:proofErr w:type="spellStart"/>
      <w:r w:rsidRPr="001A28D2">
        <w:t>1</w:t>
      </w:r>
      <w:proofErr w:type="spellEnd"/>
      <w:r w:rsidRPr="001A28D2">
        <w:t xml:space="preserve">. Съгласно ЗПФ, </w:t>
      </w:r>
      <w:r w:rsidR="00FC7787" w:rsidRPr="001A28D2">
        <w:t>МФ</w:t>
      </w:r>
      <w:r w:rsidRPr="001A28D2">
        <w:t xml:space="preserve"> следва да изготвя информация относно въздействието на данъчните разходи върху бюджетните приходи, която да се публикува на неговата интернет страница.</w:t>
      </w:r>
      <w:r w:rsidRPr="001A28D2">
        <w:rPr>
          <w:rFonts w:eastAsiaTheme="minorHAnsi"/>
          <w:vertAlign w:val="superscript"/>
          <w:lang w:eastAsia="en-US"/>
        </w:rPr>
        <w:footnoteReference w:id="78"/>
      </w:r>
      <w:r w:rsidRPr="001A28D2">
        <w:rPr>
          <w:rFonts w:eastAsiaTheme="minorHAnsi"/>
          <w:lang w:eastAsia="en-US"/>
        </w:rPr>
        <w:t xml:space="preserve"> Целта на изготвяните доклади е увеличаване на прозрачността и информираността на обществото. По отношение на това изискване е изготвен и публикуван на официалната страница на МФ „Доклад за данъчните разходи за 201</w:t>
      </w:r>
      <w:r w:rsidR="00491148" w:rsidRPr="001A28D2">
        <w:rPr>
          <w:rFonts w:eastAsiaTheme="minorHAnsi"/>
          <w:lang w:eastAsia="en-US"/>
        </w:rPr>
        <w:t>5</w:t>
      </w:r>
      <w:r w:rsidRPr="001A28D2">
        <w:rPr>
          <w:rFonts w:eastAsiaTheme="minorHAnsi"/>
          <w:lang w:eastAsia="en-US"/>
        </w:rPr>
        <w:t> г.“</w:t>
      </w:r>
      <w:r w:rsidRPr="001A28D2">
        <w:rPr>
          <w:rFonts w:eastAsiaTheme="minorHAnsi"/>
          <w:vertAlign w:val="superscript"/>
          <w:lang w:eastAsia="en-US"/>
        </w:rPr>
        <w:footnoteReference w:id="79"/>
      </w:r>
      <w:r w:rsidRPr="001A28D2">
        <w:rPr>
          <w:rFonts w:eastAsiaTheme="minorHAnsi"/>
          <w:lang w:eastAsia="en-US"/>
        </w:rPr>
        <w:t xml:space="preserve"> </w:t>
      </w:r>
      <w:r w:rsidRPr="001A28D2">
        <w:rPr>
          <w:rFonts w:eastAsiaTheme="minorHAnsi"/>
          <w:lang w:eastAsia="en-US"/>
        </w:rPr>
        <w:lastRenderedPageBreak/>
        <w:t>Докладът за 201</w:t>
      </w:r>
      <w:r w:rsidR="00491148" w:rsidRPr="001A28D2">
        <w:rPr>
          <w:rFonts w:eastAsiaTheme="minorHAnsi"/>
          <w:lang w:eastAsia="en-US"/>
        </w:rPr>
        <w:t>6</w:t>
      </w:r>
      <w:r w:rsidRPr="001A28D2">
        <w:rPr>
          <w:rFonts w:eastAsiaTheme="minorHAnsi"/>
          <w:lang w:eastAsia="en-US"/>
        </w:rPr>
        <w:t> г. не е изг</w:t>
      </w:r>
      <w:r w:rsidR="00491148" w:rsidRPr="001A28D2">
        <w:rPr>
          <w:rFonts w:eastAsiaTheme="minorHAnsi"/>
          <w:lang w:eastAsia="en-US"/>
        </w:rPr>
        <w:t xml:space="preserve">отвен до приключването на одита. </w:t>
      </w:r>
      <w:r w:rsidR="00491148" w:rsidRPr="001A28D2">
        <w:rPr>
          <w:color w:val="000000"/>
        </w:rPr>
        <w:t xml:space="preserve">Информация относно въздействието на данъчните разходи върху бюджетните приходи се представя в годишен доклад, който се изготвя в срок до 31 октомври на следващата година и се публикува на интернет страницата на </w:t>
      </w:r>
      <w:r w:rsidR="0049396E" w:rsidRPr="001A28D2">
        <w:rPr>
          <w:color w:val="000000"/>
        </w:rPr>
        <w:t>МФ</w:t>
      </w:r>
      <w:r w:rsidR="00491148" w:rsidRPr="001A28D2">
        <w:rPr>
          <w:color w:val="000000"/>
        </w:rPr>
        <w:t>.</w:t>
      </w:r>
      <w:r w:rsidR="00491148" w:rsidRPr="001A28D2">
        <w:rPr>
          <w:color w:val="000000"/>
          <w:vertAlign w:val="superscript"/>
        </w:rPr>
        <w:footnoteReference w:id="80"/>
      </w:r>
      <w:r w:rsidR="00491148" w:rsidRPr="001A28D2">
        <w:rPr>
          <w:color w:val="000000"/>
        </w:rPr>
        <w:t xml:space="preserve"> Доклад за данъчните разходи за 2015 г. е публикуван на </w:t>
      </w:r>
      <w:r w:rsidR="00491148" w:rsidRPr="001A28D2">
        <w:rPr>
          <w:rFonts w:eastAsiaTheme="minorHAnsi"/>
          <w:color w:val="000000"/>
          <w:lang w:eastAsia="en-US"/>
        </w:rPr>
        <w:t>официалната</w:t>
      </w:r>
      <w:r w:rsidR="00491148" w:rsidRPr="001A28D2">
        <w:rPr>
          <w:color w:val="000000"/>
        </w:rPr>
        <w:t xml:space="preserve"> интернет страница на МФ</w:t>
      </w:r>
      <w:r w:rsidR="00235A43" w:rsidRPr="001A28D2">
        <w:rPr>
          <w:color w:val="000000"/>
        </w:rPr>
        <w:t>,</w:t>
      </w:r>
      <w:r w:rsidR="00235A43" w:rsidRPr="001A28D2">
        <w:rPr>
          <w:rFonts w:eastAsiaTheme="minorHAnsi"/>
          <w:lang w:eastAsia="en-US"/>
        </w:rPr>
        <w:t xml:space="preserve"> в изпълнение на разпоредбата на чл. 16, ал. 4 от ЗПФ.</w:t>
      </w:r>
    </w:p>
    <w:p w14:paraId="4880D7EB" w14:textId="60F01115" w:rsidR="00491148" w:rsidRPr="001A28D2" w:rsidRDefault="00491148" w:rsidP="007E77CC">
      <w:pPr>
        <w:autoSpaceDE w:val="0"/>
        <w:autoSpaceDN w:val="0"/>
        <w:adjustRightInd w:val="0"/>
        <w:ind w:firstLine="709"/>
        <w:jc w:val="both"/>
        <w:rPr>
          <w:color w:val="000000"/>
        </w:rPr>
      </w:pPr>
    </w:p>
    <w:p w14:paraId="3CAFFAF1" w14:textId="77777777" w:rsidR="000B49E4" w:rsidRPr="001A28D2" w:rsidRDefault="009F23F9" w:rsidP="00552DFB">
      <w:pPr>
        <w:pStyle w:val="ListParagraph"/>
        <w:numPr>
          <w:ilvl w:val="1"/>
          <w:numId w:val="17"/>
        </w:numPr>
        <w:tabs>
          <w:tab w:val="left" w:pos="1276"/>
        </w:tabs>
        <w:ind w:left="0" w:firstLine="709"/>
        <w:jc w:val="both"/>
        <w:textAlignment w:val="center"/>
        <w:rPr>
          <w:rFonts w:ascii="Times New Roman" w:hAnsi="Times New Roman" w:cs="Times New Roman"/>
          <w:color w:val="000000"/>
          <w:lang w:val="bg-BG"/>
        </w:rPr>
      </w:pPr>
      <w:r w:rsidRPr="001A28D2">
        <w:rPr>
          <w:rFonts w:ascii="Times New Roman" w:hAnsi="Times New Roman" w:cs="Times New Roman"/>
          <w:color w:val="000000"/>
          <w:lang w:val="bg-BG"/>
        </w:rPr>
        <w:t xml:space="preserve">Разходите по бюджетите на </w:t>
      </w:r>
      <w:r w:rsidR="00930DA6" w:rsidRPr="001A28D2">
        <w:rPr>
          <w:rFonts w:ascii="Times New Roman" w:hAnsi="Times New Roman" w:cs="Times New Roman"/>
          <w:color w:val="000000"/>
          <w:lang w:val="bg-BG"/>
        </w:rPr>
        <w:t>ПРБ</w:t>
      </w:r>
      <w:r w:rsidRPr="001A28D2">
        <w:rPr>
          <w:rFonts w:ascii="Times New Roman" w:hAnsi="Times New Roman" w:cs="Times New Roman"/>
          <w:color w:val="000000"/>
          <w:lang w:val="bg-BG"/>
        </w:rPr>
        <w:t xml:space="preserve">, които прилагат програмен формат на бюджет, се класифицират и по области на политики/функционални области и бюджетни програми от компетентността и отговорността на съответния </w:t>
      </w:r>
      <w:r w:rsidR="00930DA6" w:rsidRPr="001A28D2">
        <w:rPr>
          <w:rFonts w:ascii="Times New Roman" w:hAnsi="Times New Roman" w:cs="Times New Roman"/>
          <w:color w:val="000000"/>
          <w:lang w:val="bg-BG"/>
        </w:rPr>
        <w:t>ПРБ</w:t>
      </w:r>
      <w:r w:rsidRPr="001A28D2">
        <w:rPr>
          <w:rFonts w:ascii="Times New Roman" w:hAnsi="Times New Roman" w:cs="Times New Roman"/>
          <w:color w:val="000000"/>
          <w:lang w:val="bg-BG"/>
        </w:rPr>
        <w:t>.</w:t>
      </w:r>
      <w:r w:rsidRPr="001A28D2">
        <w:rPr>
          <w:rFonts w:ascii="Times New Roman" w:eastAsiaTheme="minorHAnsi" w:hAnsi="Times New Roman" w:cs="Times New Roman"/>
          <w:vertAlign w:val="superscript"/>
          <w:lang w:val="bg-BG" w:eastAsia="en-US"/>
        </w:rPr>
        <w:footnoteReference w:id="81"/>
      </w:r>
      <w:r w:rsidRPr="001A28D2">
        <w:rPr>
          <w:rFonts w:ascii="Times New Roman" w:hAnsi="Times New Roman" w:cs="Times New Roman"/>
          <w:color w:val="000000"/>
          <w:lang w:val="bg-BG"/>
        </w:rPr>
        <w:t xml:space="preserve"> </w:t>
      </w:r>
    </w:p>
    <w:p w14:paraId="463AC44B" w14:textId="6522B798" w:rsidR="009F23F9" w:rsidRPr="001A28D2" w:rsidRDefault="000B49E4" w:rsidP="007E77CC">
      <w:pPr>
        <w:tabs>
          <w:tab w:val="left" w:pos="1560"/>
        </w:tabs>
        <w:autoSpaceDE w:val="0"/>
        <w:autoSpaceDN w:val="0"/>
        <w:adjustRightInd w:val="0"/>
        <w:ind w:firstLine="709"/>
        <w:jc w:val="both"/>
        <w:rPr>
          <w:rFonts w:eastAsiaTheme="minorHAnsi"/>
          <w:color w:val="000000"/>
          <w:lang w:eastAsia="en-US"/>
        </w:rPr>
      </w:pPr>
      <w:r w:rsidRPr="001A28D2">
        <w:rPr>
          <w:color w:val="000000"/>
        </w:rPr>
        <w:t xml:space="preserve">В изпълнение на тази разпоредба от ЗПФ, е издадено </w:t>
      </w:r>
      <w:hyperlink r:id="rId13" w:history="1">
        <w:r w:rsidRPr="001A28D2">
          <w:t>РМС № 468 от 25.06.2015 г. за утвърждаване на класификация на разходите по области на политики и бюджетни програми от компетентността и отговорността на съответния първостепенен разпоредител с бюджет по бюджетите на М</w:t>
        </w:r>
        <w:r w:rsidR="00235A43" w:rsidRPr="001A28D2">
          <w:t>С</w:t>
        </w:r>
        <w:r w:rsidRPr="001A28D2">
          <w:t>, на министерствата, на държавните агенции и на Държавен фонд „Земеделие“</w:t>
        </w:r>
        <w:r w:rsidR="00975202" w:rsidRPr="001A28D2">
          <w:t xml:space="preserve"> (</w:t>
        </w:r>
        <w:r w:rsidR="00235A43" w:rsidRPr="001A28D2">
          <w:t>ДФЗ</w:t>
        </w:r>
        <w:r w:rsidR="00975202" w:rsidRPr="001A28D2">
          <w:t>)</w:t>
        </w:r>
        <w:r w:rsidRPr="001A28D2">
          <w:t xml:space="preserve"> за периода 2016</w:t>
        </w:r>
        <w:r w:rsidR="002A1B71" w:rsidRPr="001A28D2">
          <w:t xml:space="preserve"> г.</w:t>
        </w:r>
        <w:r w:rsidR="00882246" w:rsidRPr="001A28D2">
          <w:t xml:space="preserve"> </w:t>
        </w:r>
        <w:r w:rsidRPr="001A28D2">
          <w:t>-</w:t>
        </w:r>
        <w:r w:rsidR="00882246" w:rsidRPr="001A28D2">
          <w:t xml:space="preserve"> </w:t>
        </w:r>
        <w:r w:rsidRPr="001A28D2">
          <w:t>2018 г.</w:t>
        </w:r>
      </w:hyperlink>
      <w:r w:rsidRPr="001A28D2">
        <w:t xml:space="preserve"> Издадено е и РМС</w:t>
      </w:r>
      <w:r w:rsidR="00584582" w:rsidRPr="001A28D2">
        <w:t> № </w:t>
      </w:r>
      <w:r w:rsidRPr="001A28D2">
        <w:t xml:space="preserve">961 от 07.12.2015 г. за изменение на </w:t>
      </w:r>
      <w:r w:rsidR="002A1B71" w:rsidRPr="001A28D2">
        <w:t xml:space="preserve">РМС </w:t>
      </w:r>
      <w:r w:rsidRPr="001A28D2">
        <w:t>№</w:t>
      </w:r>
      <w:r w:rsidR="00584582" w:rsidRPr="001A28D2">
        <w:t xml:space="preserve"> 468 </w:t>
      </w:r>
      <w:r w:rsidRPr="001A28D2">
        <w:t>от 2015</w:t>
      </w:r>
      <w:r w:rsidR="00584582" w:rsidRPr="001A28D2">
        <w:t> </w:t>
      </w:r>
      <w:r w:rsidRPr="001A28D2">
        <w:t xml:space="preserve">г. за утвърждаване на класификация на разходите по области на политики и бюджетни програми от компетентността и отговорността на съответния първостепенен разпоредител с бюджет по бюджетите на министерския съвет, на министерствата, на държавните агенции и на ДФЗ за периода 2016-2018 г. </w:t>
      </w:r>
      <w:r w:rsidR="009F23F9" w:rsidRPr="001A28D2">
        <w:rPr>
          <w:rFonts w:eastAsiaTheme="minorHAnsi"/>
          <w:color w:val="000000"/>
          <w:lang w:eastAsia="en-US"/>
        </w:rPr>
        <w:t>Със ЗДБРБ за 201</w:t>
      </w:r>
      <w:r w:rsidR="00584582" w:rsidRPr="001A28D2">
        <w:rPr>
          <w:rFonts w:eastAsiaTheme="minorHAnsi"/>
          <w:color w:val="000000"/>
          <w:lang w:eastAsia="en-US"/>
        </w:rPr>
        <w:t>6</w:t>
      </w:r>
      <w:r w:rsidR="009F23F9" w:rsidRPr="001A28D2">
        <w:rPr>
          <w:rFonts w:eastAsiaTheme="minorHAnsi"/>
          <w:color w:val="000000"/>
          <w:lang w:eastAsia="en-US"/>
        </w:rPr>
        <w:t> г. е утвърдено разпределение на разходите по области на политики и бюджетни програми за всички ПРБ, които прилагат програмен формат на бюджета и в ПМС № </w:t>
      </w:r>
      <w:r w:rsidRPr="001A28D2">
        <w:rPr>
          <w:rFonts w:eastAsiaTheme="minorHAnsi"/>
          <w:color w:val="000000"/>
          <w:lang w:eastAsia="en-US"/>
        </w:rPr>
        <w:t>380</w:t>
      </w:r>
      <w:r w:rsidR="009F23F9" w:rsidRPr="001A28D2">
        <w:rPr>
          <w:rFonts w:eastAsiaTheme="minorHAnsi"/>
          <w:color w:val="000000"/>
          <w:lang w:eastAsia="en-US"/>
        </w:rPr>
        <w:t xml:space="preserve"> </w:t>
      </w:r>
      <w:r w:rsidR="00B72777" w:rsidRPr="001A28D2">
        <w:rPr>
          <w:rFonts w:eastAsiaTheme="minorHAnsi"/>
          <w:color w:val="000000"/>
          <w:lang w:eastAsia="en-US"/>
        </w:rPr>
        <w:t xml:space="preserve">от </w:t>
      </w:r>
      <w:r w:rsidRPr="001A28D2">
        <w:t>29</w:t>
      </w:r>
      <w:r w:rsidR="00B72777" w:rsidRPr="001A28D2">
        <w:t>.12.</w:t>
      </w:r>
      <w:r w:rsidRPr="001A28D2">
        <w:rPr>
          <w:iCs/>
        </w:rPr>
        <w:t>2015</w:t>
      </w:r>
      <w:r w:rsidR="00584582" w:rsidRPr="001A28D2">
        <w:rPr>
          <w:iCs/>
        </w:rPr>
        <w:t> </w:t>
      </w:r>
      <w:r w:rsidR="00B72777" w:rsidRPr="001A28D2">
        <w:t>г</w:t>
      </w:r>
      <w:r w:rsidRPr="001A28D2">
        <w:t>.</w:t>
      </w:r>
      <w:r w:rsidR="009F23F9" w:rsidRPr="001A28D2">
        <w:rPr>
          <w:rFonts w:eastAsiaTheme="minorHAnsi"/>
          <w:color w:val="000000"/>
          <w:lang w:eastAsia="en-US"/>
        </w:rPr>
        <w:t xml:space="preserve"> е утвърдено приложение с п</w:t>
      </w:r>
      <w:r w:rsidR="009F23F9" w:rsidRPr="001A28D2">
        <w:rPr>
          <w:bCs/>
          <w:color w:val="000000"/>
          <w:szCs w:val="22"/>
        </w:rPr>
        <w:t xml:space="preserve">оказатели по отделните бюджетни програми по бюджетите на бюджетните организации, част от </w:t>
      </w:r>
      <w:r w:rsidR="002A1B71" w:rsidRPr="001A28D2">
        <w:rPr>
          <w:bCs/>
          <w:color w:val="000000"/>
          <w:szCs w:val="22"/>
        </w:rPr>
        <w:t>ДБ</w:t>
      </w:r>
      <w:r w:rsidR="009F23F9" w:rsidRPr="001A28D2">
        <w:rPr>
          <w:bCs/>
          <w:color w:val="000000"/>
          <w:szCs w:val="22"/>
        </w:rPr>
        <w:t>, които прилагат програмен формат на бюджет.</w:t>
      </w:r>
    </w:p>
    <w:p w14:paraId="57895BCB" w14:textId="77777777" w:rsidR="009F23F9" w:rsidRPr="001A28D2" w:rsidRDefault="009F23F9" w:rsidP="007E77CC">
      <w:pPr>
        <w:ind w:firstLine="709"/>
        <w:jc w:val="both"/>
        <w:textAlignment w:val="center"/>
        <w:rPr>
          <w:rFonts w:eastAsiaTheme="minorHAnsi"/>
          <w:i/>
          <w:color w:val="000000"/>
          <w:lang w:eastAsia="en-US"/>
        </w:rPr>
      </w:pPr>
      <w:r w:rsidRPr="001A28D2">
        <w:rPr>
          <w:rFonts w:eastAsiaTheme="minorHAnsi"/>
          <w:i/>
          <w:color w:val="000000"/>
          <w:lang w:eastAsia="en-US"/>
        </w:rPr>
        <w:t>Изпълнена е разпоредбата на чл. 18, ал. </w:t>
      </w:r>
      <w:r w:rsidR="00831F56" w:rsidRPr="001A28D2">
        <w:rPr>
          <w:rFonts w:eastAsiaTheme="minorHAnsi"/>
          <w:i/>
          <w:color w:val="000000"/>
          <w:lang w:eastAsia="en-US"/>
        </w:rPr>
        <w:t>3</w:t>
      </w:r>
      <w:r w:rsidRPr="001A28D2">
        <w:rPr>
          <w:rFonts w:eastAsiaTheme="minorHAnsi"/>
          <w:i/>
          <w:color w:val="000000"/>
          <w:lang w:eastAsia="en-US"/>
        </w:rPr>
        <w:t xml:space="preserve"> от ЗПФ.</w:t>
      </w:r>
    </w:p>
    <w:p w14:paraId="4B935FD3" w14:textId="77777777" w:rsidR="009F23F9" w:rsidRPr="001A28D2" w:rsidRDefault="009F23F9" w:rsidP="007E77CC">
      <w:pPr>
        <w:ind w:left="34" w:firstLine="709"/>
        <w:jc w:val="both"/>
        <w:textAlignment w:val="center"/>
        <w:rPr>
          <w:rFonts w:eastAsiaTheme="minorHAnsi"/>
          <w:color w:val="000000"/>
          <w:highlight w:val="yellow"/>
          <w:lang w:eastAsia="en-US"/>
        </w:rPr>
      </w:pPr>
    </w:p>
    <w:p w14:paraId="6FCFFCC3" w14:textId="77777777" w:rsidR="009F23F9" w:rsidRPr="001A28D2" w:rsidRDefault="009F23F9" w:rsidP="007E77CC">
      <w:pPr>
        <w:widowControl w:val="0"/>
        <w:autoSpaceDE w:val="0"/>
        <w:autoSpaceDN w:val="0"/>
        <w:adjustRightInd w:val="0"/>
        <w:ind w:firstLine="709"/>
        <w:contextualSpacing/>
        <w:jc w:val="both"/>
        <w:rPr>
          <w:b/>
        </w:rPr>
      </w:pPr>
      <w:r w:rsidRPr="001A28D2">
        <w:rPr>
          <w:b/>
        </w:rPr>
        <w:t>2. Изисквания във връзка с фискалните правила, регламентирани в ЗПФ</w:t>
      </w:r>
    </w:p>
    <w:p w14:paraId="1920C040" w14:textId="656300E8" w:rsidR="009F23F9" w:rsidRPr="001A28D2" w:rsidRDefault="009F23F9" w:rsidP="007E77CC">
      <w:pPr>
        <w:ind w:firstLine="709"/>
        <w:jc w:val="both"/>
        <w:textAlignment w:val="center"/>
        <w:rPr>
          <w:color w:val="000000"/>
        </w:rPr>
      </w:pPr>
      <w:r w:rsidRPr="001A28D2">
        <w:rPr>
          <w:color w:val="000000"/>
        </w:rPr>
        <w:t>2.1.</w:t>
      </w:r>
      <w:r w:rsidR="00880C3E" w:rsidRPr="001A28D2">
        <w:rPr>
          <w:color w:val="000000"/>
        </w:rPr>
        <w:t xml:space="preserve"> Според дефинираното в чл. 23 на ЗПФ</w:t>
      </w:r>
      <w:r w:rsidRPr="001A28D2">
        <w:rPr>
          <w:color w:val="000000"/>
        </w:rPr>
        <w:t xml:space="preserve"> правил</w:t>
      </w:r>
      <w:r w:rsidR="00880C3E" w:rsidRPr="001A28D2">
        <w:rPr>
          <w:color w:val="000000"/>
        </w:rPr>
        <w:t>о</w:t>
      </w:r>
      <w:r w:rsidRPr="001A28D2">
        <w:rPr>
          <w:color w:val="000000"/>
        </w:rPr>
        <w:t xml:space="preserve"> средносрочната бюджетна цел за структурния дефицит на сектор „Държавно управление“ на годишна основа не следва да надвишава 0,5 на сто от брутния вътрешен продукт</w:t>
      </w:r>
      <w:r w:rsidR="00930DA6" w:rsidRPr="001A28D2">
        <w:rPr>
          <w:color w:val="000000"/>
        </w:rPr>
        <w:t xml:space="preserve"> (БВП)</w:t>
      </w:r>
      <w:r w:rsidR="00880C3E" w:rsidRPr="001A28D2">
        <w:rPr>
          <w:color w:val="000000"/>
        </w:rPr>
        <w:t>, и съответно дефицит от 1 на сто от БВП при ниво на държавния дълг под 40</w:t>
      </w:r>
      <w:r w:rsidR="00BE2FC0" w:rsidRPr="001A28D2">
        <w:rPr>
          <w:color w:val="000000"/>
        </w:rPr>
        <w:t> на сто</w:t>
      </w:r>
      <w:r w:rsidR="00880C3E" w:rsidRPr="001A28D2">
        <w:rPr>
          <w:color w:val="000000"/>
        </w:rPr>
        <w:t xml:space="preserve"> от БВП и нисък риск пред дългосрочната устойчивост на публичните финанси. На база на това към настоящия момент</w:t>
      </w:r>
      <w:r w:rsidRPr="001A28D2">
        <w:rPr>
          <w:color w:val="000000"/>
        </w:rPr>
        <w:t xml:space="preserve"> </w:t>
      </w:r>
      <w:r w:rsidR="00880C3E" w:rsidRPr="001A28D2">
        <w:rPr>
          <w:color w:val="000000"/>
        </w:rPr>
        <w:t>с</w:t>
      </w:r>
      <w:r w:rsidRPr="001A28D2">
        <w:rPr>
          <w:color w:val="000000"/>
        </w:rPr>
        <w:t xml:space="preserve">редносрочната бюджетна цел </w:t>
      </w:r>
      <w:r w:rsidR="00880C3E" w:rsidRPr="001A28D2">
        <w:rPr>
          <w:color w:val="000000"/>
        </w:rPr>
        <w:t xml:space="preserve">за структурния баланс е в размер на </w:t>
      </w:r>
      <w:r w:rsidR="002C32D7" w:rsidRPr="001A28D2">
        <w:rPr>
          <w:color w:val="000000"/>
        </w:rPr>
        <w:t>(</w:t>
      </w:r>
      <w:r w:rsidR="00880C3E" w:rsidRPr="001A28D2">
        <w:rPr>
          <w:color w:val="000000"/>
        </w:rPr>
        <w:t>-1</w:t>
      </w:r>
      <w:r w:rsidR="002C32D7" w:rsidRPr="001A28D2">
        <w:rPr>
          <w:color w:val="000000"/>
        </w:rPr>
        <w:t xml:space="preserve">) на сто </w:t>
      </w:r>
      <w:r w:rsidR="00880C3E" w:rsidRPr="001A28D2">
        <w:rPr>
          <w:color w:val="000000"/>
        </w:rPr>
        <w:t xml:space="preserve">от БВП и е определена в </w:t>
      </w:r>
      <w:proofErr w:type="spellStart"/>
      <w:r w:rsidR="00880C3E" w:rsidRPr="001A28D2">
        <w:rPr>
          <w:color w:val="000000"/>
        </w:rPr>
        <w:t>Конвергентната</w:t>
      </w:r>
      <w:proofErr w:type="spellEnd"/>
      <w:r w:rsidR="00880C3E" w:rsidRPr="001A28D2">
        <w:rPr>
          <w:color w:val="000000"/>
        </w:rPr>
        <w:t xml:space="preserve"> програма на Република България.</w:t>
      </w:r>
      <w:r w:rsidR="00791846" w:rsidRPr="001A28D2">
        <w:rPr>
          <w:rStyle w:val="FootnoteReference"/>
          <w:color w:val="000000"/>
        </w:rPr>
        <w:footnoteReference w:id="82"/>
      </w:r>
      <w:r w:rsidR="00880C3E" w:rsidRPr="001A28D2">
        <w:rPr>
          <w:color w:val="000000"/>
        </w:rPr>
        <w:t xml:space="preserve"> </w:t>
      </w:r>
    </w:p>
    <w:p w14:paraId="187C1106" w14:textId="261E3012" w:rsidR="0004139B" w:rsidRPr="001A28D2" w:rsidRDefault="0004139B" w:rsidP="007E77CC">
      <w:pPr>
        <w:ind w:left="34" w:firstLine="709"/>
        <w:jc w:val="both"/>
        <w:textAlignment w:val="center"/>
        <w:rPr>
          <w:rFonts w:eastAsiaTheme="minorHAnsi"/>
          <w:szCs w:val="22"/>
          <w:lang w:eastAsia="en-US"/>
        </w:rPr>
      </w:pPr>
      <w:r w:rsidRPr="001A28D2">
        <w:rPr>
          <w:rFonts w:eastAsiaTheme="minorHAnsi"/>
          <w:szCs w:val="22"/>
          <w:lang w:eastAsia="en-US"/>
        </w:rPr>
        <w:t xml:space="preserve">Структурният бюджетен баланс към края на 2016 г. възлиза на 0,1 на сто от БВП. Реализирана е корекция от </w:t>
      </w:r>
      <w:r w:rsidR="00011B13" w:rsidRPr="001A28D2">
        <w:rPr>
          <w:rFonts w:eastAsiaTheme="minorHAnsi"/>
          <w:szCs w:val="22"/>
          <w:lang w:eastAsia="en-US"/>
        </w:rPr>
        <w:t xml:space="preserve">около </w:t>
      </w:r>
      <w:r w:rsidRPr="001A28D2">
        <w:rPr>
          <w:rFonts w:eastAsiaTheme="minorHAnsi"/>
          <w:szCs w:val="22"/>
          <w:lang w:eastAsia="en-US"/>
        </w:rPr>
        <w:t xml:space="preserve">1,6 пр. п. спрямо предходната година, което надхвърля </w:t>
      </w:r>
      <w:r w:rsidR="00011B13" w:rsidRPr="001A28D2">
        <w:rPr>
          <w:rFonts w:eastAsiaTheme="minorHAnsi"/>
          <w:szCs w:val="22"/>
          <w:lang w:eastAsia="en-US"/>
        </w:rPr>
        <w:t xml:space="preserve">изискуемото структурно усилие от </w:t>
      </w:r>
      <w:r w:rsidRPr="001A28D2">
        <w:rPr>
          <w:rFonts w:eastAsiaTheme="minorHAnsi"/>
          <w:szCs w:val="22"/>
          <w:lang w:eastAsia="en-US"/>
        </w:rPr>
        <w:t>0,5 на сто от БВП</w:t>
      </w:r>
      <w:r w:rsidR="00EA22C8" w:rsidRPr="001A28D2">
        <w:rPr>
          <w:rFonts w:eastAsiaTheme="minorHAnsi"/>
          <w:szCs w:val="22"/>
          <w:lang w:eastAsia="en-US"/>
        </w:rPr>
        <w:t xml:space="preserve"> до достигането на средносрочната бюджетна цел</w:t>
      </w:r>
      <w:r w:rsidRPr="001A28D2">
        <w:rPr>
          <w:rFonts w:eastAsiaTheme="minorHAnsi"/>
          <w:szCs w:val="22"/>
          <w:lang w:eastAsia="en-US"/>
        </w:rPr>
        <w:t xml:space="preserve">. По този начин </w:t>
      </w:r>
      <w:r w:rsidR="00EA22C8" w:rsidRPr="001A28D2">
        <w:rPr>
          <w:rFonts w:eastAsiaTheme="minorHAnsi"/>
          <w:szCs w:val="22"/>
          <w:lang w:eastAsia="en-US"/>
        </w:rPr>
        <w:t xml:space="preserve">още в края на 2016 г. </w:t>
      </w:r>
      <w:r w:rsidRPr="001A28D2">
        <w:rPr>
          <w:rFonts w:eastAsiaTheme="minorHAnsi"/>
          <w:szCs w:val="22"/>
          <w:lang w:eastAsia="en-US"/>
        </w:rPr>
        <w:t xml:space="preserve">е постигната </w:t>
      </w:r>
      <w:r w:rsidR="00EA22C8" w:rsidRPr="001A28D2">
        <w:rPr>
          <w:rFonts w:eastAsiaTheme="minorHAnsi"/>
          <w:szCs w:val="22"/>
          <w:lang w:eastAsia="en-US"/>
        </w:rPr>
        <w:t xml:space="preserve">и надхвърлена </w:t>
      </w:r>
      <w:r w:rsidRPr="001A28D2">
        <w:rPr>
          <w:rFonts w:eastAsiaTheme="minorHAnsi"/>
          <w:szCs w:val="22"/>
          <w:lang w:eastAsia="en-US"/>
        </w:rPr>
        <w:t xml:space="preserve">средносрочната бюджетна цел от </w:t>
      </w:r>
      <w:r w:rsidR="00CA27E1" w:rsidRPr="001A28D2">
        <w:rPr>
          <w:rFonts w:eastAsiaTheme="minorHAnsi"/>
          <w:szCs w:val="22"/>
          <w:lang w:eastAsia="en-US"/>
        </w:rPr>
        <w:t>(</w:t>
      </w:r>
      <w:r w:rsidR="00EA22C8" w:rsidRPr="001A28D2">
        <w:rPr>
          <w:rFonts w:eastAsiaTheme="minorHAnsi"/>
          <w:szCs w:val="22"/>
          <w:lang w:eastAsia="en-US"/>
        </w:rPr>
        <w:t>-</w:t>
      </w:r>
      <w:r w:rsidRPr="001A28D2">
        <w:rPr>
          <w:rFonts w:eastAsiaTheme="minorHAnsi"/>
          <w:szCs w:val="22"/>
          <w:lang w:eastAsia="en-US"/>
        </w:rPr>
        <w:t>1</w:t>
      </w:r>
      <w:r w:rsidR="00CA27E1" w:rsidRPr="001A28D2">
        <w:rPr>
          <w:rFonts w:eastAsiaTheme="minorHAnsi"/>
          <w:szCs w:val="22"/>
          <w:lang w:eastAsia="en-US"/>
        </w:rPr>
        <w:t>)</w:t>
      </w:r>
      <w:r w:rsidRPr="001A28D2">
        <w:rPr>
          <w:rFonts w:eastAsiaTheme="minorHAnsi"/>
          <w:szCs w:val="22"/>
          <w:lang w:eastAsia="en-US"/>
        </w:rPr>
        <w:t> на сто от БВП</w:t>
      </w:r>
      <w:r w:rsidR="00E30842" w:rsidRPr="001A28D2">
        <w:rPr>
          <w:rFonts w:eastAsiaTheme="minorHAnsi"/>
          <w:szCs w:val="22"/>
          <w:lang w:eastAsia="en-US"/>
        </w:rPr>
        <w:t>.</w:t>
      </w:r>
      <w:r w:rsidR="00E30842" w:rsidRPr="001A28D2">
        <w:rPr>
          <w:rStyle w:val="FootnoteReference"/>
          <w:rFonts w:eastAsiaTheme="minorHAnsi"/>
          <w:szCs w:val="22"/>
          <w:lang w:eastAsia="en-US"/>
        </w:rPr>
        <w:footnoteReference w:id="83"/>
      </w:r>
      <w:r w:rsidR="00E30842" w:rsidRPr="001A28D2">
        <w:rPr>
          <w:rFonts w:eastAsiaTheme="minorHAnsi"/>
          <w:szCs w:val="22"/>
          <w:lang w:eastAsia="en-US"/>
        </w:rPr>
        <w:t xml:space="preserve"> </w:t>
      </w:r>
    </w:p>
    <w:p w14:paraId="750509BA" w14:textId="4768408A" w:rsidR="008A1780" w:rsidRPr="001A28D2" w:rsidRDefault="00A95443" w:rsidP="007E77CC">
      <w:pPr>
        <w:ind w:left="34" w:firstLine="709"/>
        <w:jc w:val="both"/>
        <w:textAlignment w:val="center"/>
        <w:rPr>
          <w:rFonts w:eastAsiaTheme="minorHAnsi"/>
          <w:szCs w:val="22"/>
          <w:lang w:eastAsia="en-US"/>
        </w:rPr>
      </w:pPr>
      <w:r w:rsidRPr="001A28D2">
        <w:rPr>
          <w:color w:val="000000"/>
        </w:rPr>
        <w:lastRenderedPageBreak/>
        <w:t>По предварителни</w:t>
      </w:r>
      <w:r w:rsidR="0050527C" w:rsidRPr="001A28D2">
        <w:rPr>
          <w:color w:val="000000"/>
        </w:rPr>
        <w:t xml:space="preserve"> годишни</w:t>
      </w:r>
      <w:r w:rsidRPr="001A28D2">
        <w:rPr>
          <w:color w:val="000000"/>
        </w:rPr>
        <w:t xml:space="preserve"> данни п</w:t>
      </w:r>
      <w:r w:rsidR="008A1780" w:rsidRPr="001A28D2">
        <w:rPr>
          <w:color w:val="000000"/>
        </w:rPr>
        <w:t>рез 2016 г.</w:t>
      </w:r>
      <w:r w:rsidRPr="001A28D2">
        <w:rPr>
          <w:rStyle w:val="FootnoteReference"/>
          <w:color w:val="000000"/>
        </w:rPr>
        <w:footnoteReference w:id="84"/>
      </w:r>
      <w:r w:rsidR="008A1780" w:rsidRPr="001A28D2">
        <w:rPr>
          <w:color w:val="000000"/>
        </w:rPr>
        <w:t xml:space="preserve"> размерът на консолидирания дълг на сектор „Държавно управление“ е 27 321 млн. лв. или 29,5 на сто от брутния вътрешен продукт по текущи цени - 92 635 млн</w:t>
      </w:r>
      <w:r w:rsidR="008A1780" w:rsidRPr="001A28D2">
        <w:rPr>
          <w:rFonts w:eastAsiaTheme="minorHAnsi"/>
          <w:szCs w:val="22"/>
          <w:lang w:eastAsia="en-US"/>
        </w:rPr>
        <w:t>. лв.</w:t>
      </w:r>
      <w:r w:rsidR="008A1780" w:rsidRPr="001A28D2">
        <w:rPr>
          <w:rStyle w:val="FootnoteReference"/>
          <w:rFonts w:eastAsiaTheme="minorHAnsi"/>
          <w:szCs w:val="22"/>
          <w:lang w:eastAsia="en-US"/>
        </w:rPr>
        <w:footnoteReference w:id="85"/>
      </w:r>
    </w:p>
    <w:p w14:paraId="5D531244" w14:textId="157447CF" w:rsidR="000455DF" w:rsidRPr="001A28D2" w:rsidRDefault="009F23F9" w:rsidP="007E77CC">
      <w:pPr>
        <w:ind w:left="34" w:firstLine="709"/>
        <w:jc w:val="both"/>
        <w:textAlignment w:val="center"/>
        <w:rPr>
          <w:rFonts w:eastAsiaTheme="minorHAnsi"/>
          <w:lang w:eastAsia="en-US"/>
        </w:rPr>
      </w:pPr>
      <w:r w:rsidRPr="001A28D2">
        <w:rPr>
          <w:rFonts w:eastAsia="Calibri"/>
          <w:color w:val="000000"/>
          <w:lang w:eastAsia="en-US"/>
        </w:rPr>
        <w:t xml:space="preserve">Целта за салдото на сектор </w:t>
      </w:r>
      <w:r w:rsidR="00882469" w:rsidRPr="001A28D2">
        <w:rPr>
          <w:rFonts w:eastAsia="Calibri"/>
          <w:color w:val="000000"/>
          <w:lang w:eastAsia="en-US"/>
        </w:rPr>
        <w:t>„</w:t>
      </w:r>
      <w:r w:rsidRPr="001A28D2">
        <w:rPr>
          <w:rFonts w:eastAsia="Calibri"/>
          <w:color w:val="000000"/>
          <w:lang w:eastAsia="en-US"/>
        </w:rPr>
        <w:t>Държавно управление</w:t>
      </w:r>
      <w:r w:rsidR="00882469" w:rsidRPr="001A28D2">
        <w:rPr>
          <w:rFonts w:eastAsia="Calibri"/>
          <w:color w:val="000000"/>
          <w:lang w:eastAsia="en-US"/>
        </w:rPr>
        <w:t>“</w:t>
      </w:r>
      <w:r w:rsidRPr="001A28D2">
        <w:rPr>
          <w:rFonts w:eastAsia="Calibri"/>
          <w:color w:val="000000"/>
          <w:lang w:eastAsia="en-US"/>
        </w:rPr>
        <w:t xml:space="preserve"> е постигане и/или поддържане на нулево или положително салдо. Дефицитът на сектор </w:t>
      </w:r>
      <w:r w:rsidR="00882469" w:rsidRPr="001A28D2">
        <w:rPr>
          <w:rFonts w:eastAsia="Calibri"/>
          <w:color w:val="000000"/>
          <w:lang w:eastAsia="en-US"/>
        </w:rPr>
        <w:t>„</w:t>
      </w:r>
      <w:r w:rsidRPr="001A28D2">
        <w:rPr>
          <w:rFonts w:eastAsia="Calibri"/>
          <w:color w:val="000000"/>
          <w:lang w:eastAsia="en-US"/>
        </w:rPr>
        <w:t>Държавно управление</w:t>
      </w:r>
      <w:r w:rsidR="00882469" w:rsidRPr="001A28D2">
        <w:rPr>
          <w:rFonts w:eastAsia="Calibri"/>
          <w:color w:val="000000"/>
          <w:lang w:eastAsia="en-US"/>
        </w:rPr>
        <w:t>“</w:t>
      </w:r>
      <w:r w:rsidRPr="001A28D2">
        <w:rPr>
          <w:rFonts w:eastAsia="Calibri"/>
          <w:color w:val="000000"/>
          <w:lang w:eastAsia="en-US"/>
        </w:rPr>
        <w:t xml:space="preserve"> на годишна основа, изчислен въз основа на методологията на Европейската система от национални и регионални сметки на Общността, не може да надвишава 3 на сто от </w:t>
      </w:r>
      <w:r w:rsidR="00F24C80" w:rsidRPr="001A28D2">
        <w:rPr>
          <w:rFonts w:eastAsia="Calibri"/>
          <w:color w:val="000000"/>
          <w:lang w:eastAsia="en-US"/>
        </w:rPr>
        <w:t>БВП</w:t>
      </w:r>
      <w:r w:rsidR="000455DF" w:rsidRPr="001A28D2">
        <w:rPr>
          <w:rFonts w:eastAsia="Calibri"/>
          <w:color w:val="000000"/>
          <w:lang w:eastAsia="en-US"/>
        </w:rPr>
        <w:t>.</w:t>
      </w:r>
      <w:r w:rsidR="000455DF" w:rsidRPr="001A28D2">
        <w:rPr>
          <w:rStyle w:val="FootnoteReference"/>
          <w:rFonts w:eastAsia="Calibri"/>
          <w:color w:val="000000"/>
          <w:lang w:eastAsia="en-US"/>
        </w:rPr>
        <w:footnoteReference w:id="86"/>
      </w:r>
      <w:r w:rsidR="000455DF" w:rsidRPr="001A28D2">
        <w:rPr>
          <w:rFonts w:eastAsia="Calibri"/>
          <w:color w:val="000000"/>
          <w:lang w:eastAsia="en-US"/>
        </w:rPr>
        <w:t xml:space="preserve"> </w:t>
      </w:r>
      <w:r w:rsidR="000455DF" w:rsidRPr="001A28D2">
        <w:rPr>
          <w:rFonts w:eastAsiaTheme="minorHAnsi"/>
          <w:lang w:eastAsia="en-US"/>
        </w:rPr>
        <w:t>Салдото на сектор „Държавно управление“ за 2016</w:t>
      </w:r>
      <w:r w:rsidR="00C15100" w:rsidRPr="001A28D2">
        <w:rPr>
          <w:rFonts w:eastAsiaTheme="minorHAnsi"/>
          <w:lang w:eastAsia="en-US"/>
        </w:rPr>
        <w:t> </w:t>
      </w:r>
      <w:r w:rsidR="000455DF" w:rsidRPr="001A28D2">
        <w:rPr>
          <w:rFonts w:eastAsiaTheme="minorHAnsi"/>
          <w:lang w:eastAsia="en-US"/>
        </w:rPr>
        <w:t>г. е отчетено 0 на сто.</w:t>
      </w:r>
      <w:r w:rsidR="000455DF" w:rsidRPr="001A28D2">
        <w:rPr>
          <w:rFonts w:eastAsiaTheme="minorHAnsi"/>
          <w:vertAlign w:val="superscript"/>
          <w:lang w:eastAsia="en-US"/>
        </w:rPr>
        <w:footnoteReference w:id="87"/>
      </w:r>
      <w:r w:rsidR="000455DF" w:rsidRPr="001A28D2">
        <w:rPr>
          <w:rFonts w:eastAsiaTheme="minorHAnsi"/>
          <w:lang w:eastAsia="en-US"/>
        </w:rPr>
        <w:t xml:space="preserve"> По предварителни данни на НСИ сектор </w:t>
      </w:r>
      <w:r w:rsidR="00882469" w:rsidRPr="001A28D2">
        <w:rPr>
          <w:rFonts w:eastAsiaTheme="minorHAnsi"/>
          <w:lang w:eastAsia="en-US"/>
        </w:rPr>
        <w:t>„</w:t>
      </w:r>
      <w:r w:rsidR="000455DF" w:rsidRPr="001A28D2">
        <w:rPr>
          <w:rFonts w:eastAsiaTheme="minorHAnsi"/>
          <w:lang w:eastAsia="en-US"/>
        </w:rPr>
        <w:t>Държавно управление“ отчита бюджетен излишък от 30 млн. лв. или 0,03</w:t>
      </w:r>
      <w:r w:rsidR="008357D5" w:rsidRPr="001A28D2">
        <w:rPr>
          <w:rFonts w:eastAsiaTheme="minorHAnsi"/>
          <w:lang w:eastAsia="en-US"/>
        </w:rPr>
        <w:t xml:space="preserve"> на сто</w:t>
      </w:r>
      <w:r w:rsidR="000455DF" w:rsidRPr="001A28D2">
        <w:rPr>
          <w:rFonts w:eastAsiaTheme="minorHAnsi"/>
          <w:lang w:eastAsia="en-US"/>
        </w:rPr>
        <w:t xml:space="preserve"> от БВП.</w:t>
      </w:r>
      <w:r w:rsidR="000455DF" w:rsidRPr="001A28D2">
        <w:rPr>
          <w:rFonts w:eastAsiaTheme="minorHAnsi"/>
          <w:vertAlign w:val="superscript"/>
          <w:lang w:eastAsia="en-US"/>
        </w:rPr>
        <w:footnoteReference w:id="88"/>
      </w:r>
    </w:p>
    <w:p w14:paraId="56F0918B" w14:textId="28F37F7B" w:rsidR="001863F5" w:rsidRPr="001A28D2" w:rsidRDefault="009F23F9" w:rsidP="00A51967">
      <w:pPr>
        <w:ind w:left="34" w:firstLine="709"/>
        <w:jc w:val="both"/>
        <w:textAlignment w:val="center"/>
        <w:rPr>
          <w:rFonts w:eastAsiaTheme="minorHAnsi"/>
          <w:color w:val="000000"/>
          <w:lang w:eastAsia="en-US"/>
        </w:rPr>
      </w:pPr>
      <w:r w:rsidRPr="001A28D2">
        <w:rPr>
          <w:rFonts w:eastAsiaTheme="minorHAnsi"/>
          <w:color w:val="000000"/>
          <w:lang w:eastAsia="en-US"/>
        </w:rPr>
        <w:t xml:space="preserve">В случай на дефицит на сектор </w:t>
      </w:r>
      <w:r w:rsidR="00E00539" w:rsidRPr="001A28D2">
        <w:rPr>
          <w:rFonts w:eastAsiaTheme="minorHAnsi"/>
          <w:color w:val="000000"/>
          <w:lang w:eastAsia="en-US"/>
        </w:rPr>
        <w:t>„</w:t>
      </w:r>
      <w:r w:rsidRPr="001A28D2">
        <w:rPr>
          <w:rFonts w:eastAsiaTheme="minorHAnsi"/>
          <w:color w:val="000000"/>
          <w:lang w:eastAsia="en-US"/>
        </w:rPr>
        <w:t>Държавно управление</w:t>
      </w:r>
      <w:r w:rsidR="00E00539" w:rsidRPr="001A28D2">
        <w:rPr>
          <w:rFonts w:eastAsiaTheme="minorHAnsi"/>
          <w:color w:val="000000"/>
          <w:lang w:eastAsia="en-US"/>
        </w:rPr>
        <w:t>“</w:t>
      </w:r>
      <w:r w:rsidRPr="001A28D2">
        <w:rPr>
          <w:rFonts w:eastAsiaTheme="minorHAnsi"/>
          <w:color w:val="000000"/>
          <w:lang w:eastAsia="en-US"/>
        </w:rPr>
        <w:t xml:space="preserve"> на годишна основа М</w:t>
      </w:r>
      <w:r w:rsidR="00F24C80" w:rsidRPr="001A28D2">
        <w:rPr>
          <w:rFonts w:eastAsiaTheme="minorHAnsi"/>
          <w:color w:val="000000"/>
          <w:lang w:eastAsia="en-US"/>
        </w:rPr>
        <w:t>С</w:t>
      </w:r>
      <w:r w:rsidRPr="001A28D2">
        <w:rPr>
          <w:rFonts w:eastAsiaTheme="minorHAnsi"/>
          <w:color w:val="000000"/>
          <w:lang w:eastAsia="en-US"/>
        </w:rPr>
        <w:t xml:space="preserve"> със средносрочната бюджетна прогноза определя срока и стъпките за достигане на нулево или положително салдо.</w:t>
      </w:r>
      <w:r w:rsidRPr="001A28D2">
        <w:rPr>
          <w:rFonts w:eastAsia="Calibri"/>
          <w:color w:val="000000"/>
          <w:vertAlign w:val="superscript"/>
          <w:lang w:eastAsia="en-US"/>
        </w:rPr>
        <w:footnoteReference w:id="89"/>
      </w:r>
      <w:r w:rsidRPr="001A28D2">
        <w:rPr>
          <w:rFonts w:eastAsiaTheme="minorHAnsi"/>
          <w:color w:val="000000"/>
          <w:lang w:eastAsia="en-US"/>
        </w:rPr>
        <w:t xml:space="preserve"> </w:t>
      </w:r>
    </w:p>
    <w:p w14:paraId="06184163" w14:textId="77777777" w:rsidR="009F23F9" w:rsidRPr="001A28D2" w:rsidRDefault="001863F5" w:rsidP="00A51967">
      <w:pPr>
        <w:ind w:left="34" w:firstLine="709"/>
        <w:jc w:val="both"/>
        <w:textAlignment w:val="center"/>
        <w:rPr>
          <w:rFonts w:eastAsiaTheme="minorHAnsi"/>
          <w:i/>
          <w:color w:val="000000"/>
          <w:lang w:eastAsia="en-US"/>
        </w:rPr>
      </w:pPr>
      <w:r w:rsidRPr="001A28D2">
        <w:rPr>
          <w:rFonts w:eastAsiaTheme="minorHAnsi"/>
          <w:i/>
          <w:color w:val="000000"/>
          <w:lang w:eastAsia="en-US"/>
        </w:rPr>
        <w:t>С</w:t>
      </w:r>
      <w:r w:rsidRPr="001A28D2">
        <w:rPr>
          <w:rFonts w:eastAsiaTheme="minorHAnsi"/>
          <w:i/>
          <w:lang w:eastAsia="en-US"/>
        </w:rPr>
        <w:t>ектор „Държавно управление“ за 2016 г. отчита нулево салдо.</w:t>
      </w:r>
    </w:p>
    <w:p w14:paraId="3C3FDA6B" w14:textId="206E5CC4" w:rsidR="00D520CC" w:rsidRPr="001A28D2" w:rsidRDefault="00A51967" w:rsidP="00A51967">
      <w:pPr>
        <w:tabs>
          <w:tab w:val="left" w:pos="1701"/>
        </w:tabs>
        <w:ind w:left="34" w:firstLine="709"/>
        <w:jc w:val="both"/>
        <w:textAlignment w:val="center"/>
        <w:rPr>
          <w:rFonts w:eastAsiaTheme="minorHAnsi"/>
          <w:lang w:eastAsia="en-US"/>
        </w:rPr>
      </w:pPr>
      <w:r w:rsidRPr="001A28D2">
        <w:rPr>
          <w:rFonts w:eastAsiaTheme="minorHAnsi"/>
          <w:lang w:eastAsia="en-US"/>
        </w:rPr>
        <w:t>2.</w:t>
      </w:r>
      <w:proofErr w:type="spellStart"/>
      <w:r w:rsidRPr="001A28D2">
        <w:rPr>
          <w:rFonts w:eastAsiaTheme="minorHAnsi"/>
          <w:lang w:eastAsia="en-US"/>
        </w:rPr>
        <w:t>2</w:t>
      </w:r>
      <w:proofErr w:type="spellEnd"/>
      <w:r w:rsidRPr="001A28D2">
        <w:rPr>
          <w:rFonts w:eastAsiaTheme="minorHAnsi"/>
          <w:lang w:eastAsia="en-US"/>
        </w:rPr>
        <w:t xml:space="preserve">. </w:t>
      </w:r>
      <w:r w:rsidR="009F23F9" w:rsidRPr="001A28D2">
        <w:rPr>
          <w:rFonts w:eastAsiaTheme="minorHAnsi"/>
          <w:lang w:eastAsia="en-US"/>
        </w:rPr>
        <w:t xml:space="preserve">Целта за бюджетното салдо по КФП, изчислено на касова основа, е постигане и/или поддържане на нулево или положително салдо. При очаквано негативно отклонение от годишната цел за бюджетното салдо по </w:t>
      </w:r>
      <w:r w:rsidR="00F24C80" w:rsidRPr="001A28D2">
        <w:rPr>
          <w:rFonts w:eastAsiaTheme="minorHAnsi"/>
          <w:lang w:eastAsia="en-US"/>
        </w:rPr>
        <w:t>КФП</w:t>
      </w:r>
      <w:r w:rsidR="009F23F9" w:rsidRPr="001A28D2">
        <w:rPr>
          <w:rFonts w:eastAsiaTheme="minorHAnsi"/>
          <w:lang w:eastAsia="en-US"/>
        </w:rPr>
        <w:t xml:space="preserve"> министърът на финансите предлага на М</w:t>
      </w:r>
      <w:r w:rsidR="00FC7787" w:rsidRPr="001A28D2">
        <w:rPr>
          <w:rFonts w:eastAsiaTheme="minorHAnsi"/>
          <w:lang w:eastAsia="en-US"/>
        </w:rPr>
        <w:t>С</w:t>
      </w:r>
      <w:r w:rsidR="009F23F9" w:rsidRPr="001A28D2">
        <w:rPr>
          <w:rFonts w:eastAsiaTheme="minorHAnsi"/>
          <w:lang w:eastAsia="en-US"/>
        </w:rPr>
        <w:t xml:space="preserve"> да одобри компенсиращи мерки.</w:t>
      </w:r>
      <w:r w:rsidR="009F23F9" w:rsidRPr="001A28D2">
        <w:rPr>
          <w:rFonts w:eastAsiaTheme="minorHAnsi"/>
          <w:vertAlign w:val="superscript"/>
          <w:lang w:eastAsia="en-US"/>
        </w:rPr>
        <w:footnoteReference w:id="90"/>
      </w:r>
    </w:p>
    <w:p w14:paraId="78AB1981" w14:textId="296DEA54" w:rsidR="00D520CC" w:rsidRPr="001A28D2" w:rsidRDefault="00D520CC" w:rsidP="00A51967">
      <w:pPr>
        <w:ind w:left="34" w:firstLine="709"/>
        <w:jc w:val="both"/>
        <w:textAlignment w:val="center"/>
        <w:rPr>
          <w:rFonts w:eastAsiaTheme="minorHAnsi"/>
          <w:lang w:eastAsia="en-US"/>
        </w:rPr>
      </w:pPr>
      <w:r w:rsidRPr="001A28D2">
        <w:rPr>
          <w:rFonts w:eastAsiaTheme="minorHAnsi"/>
          <w:lang w:eastAsia="en-US"/>
        </w:rPr>
        <w:t xml:space="preserve">За 2016 г. по отчет бюджетно салдо по КФП е </w:t>
      </w:r>
      <w:r w:rsidR="00B119A5" w:rsidRPr="001A28D2">
        <w:rPr>
          <w:rFonts w:eastAsiaTheme="minorHAnsi"/>
          <w:lang w:eastAsia="en-US"/>
        </w:rPr>
        <w:t>положително и е в размер на</w:t>
      </w:r>
      <w:r w:rsidR="00376CE6" w:rsidRPr="001A28D2">
        <w:rPr>
          <w:rFonts w:eastAsiaTheme="minorHAnsi"/>
          <w:lang w:eastAsia="en-US"/>
        </w:rPr>
        <w:t xml:space="preserve"> </w:t>
      </w:r>
      <w:r w:rsidR="00BE2FC0" w:rsidRPr="001A28D2">
        <w:rPr>
          <w:rFonts w:eastAsiaTheme="minorHAnsi"/>
          <w:lang w:eastAsia="en-US"/>
        </w:rPr>
        <w:t>1 468 081,8 </w:t>
      </w:r>
      <w:r w:rsidRPr="001A28D2">
        <w:rPr>
          <w:rFonts w:eastAsiaTheme="minorHAnsi"/>
          <w:lang w:eastAsia="en-US"/>
        </w:rPr>
        <w:t>хил.</w:t>
      </w:r>
      <w:r w:rsidR="00840326" w:rsidRPr="001A28D2">
        <w:rPr>
          <w:rFonts w:eastAsiaTheme="minorHAnsi"/>
          <w:lang w:eastAsia="en-US"/>
        </w:rPr>
        <w:t> </w:t>
      </w:r>
      <w:r w:rsidRPr="001A28D2">
        <w:rPr>
          <w:rFonts w:eastAsiaTheme="minorHAnsi"/>
          <w:lang w:eastAsia="en-US"/>
        </w:rPr>
        <w:t>лв.</w:t>
      </w:r>
    </w:p>
    <w:p w14:paraId="56FE5383" w14:textId="77777777" w:rsidR="00D520CC" w:rsidRPr="001A28D2" w:rsidRDefault="00D520CC" w:rsidP="00A51967">
      <w:pPr>
        <w:ind w:left="34" w:firstLine="709"/>
        <w:jc w:val="both"/>
        <w:textAlignment w:val="center"/>
        <w:rPr>
          <w:rFonts w:eastAsiaTheme="minorHAnsi"/>
          <w:lang w:eastAsia="en-US"/>
        </w:rPr>
      </w:pPr>
    </w:p>
    <w:p w14:paraId="75D6A6EC" w14:textId="77777777" w:rsidR="00D520CC" w:rsidRPr="001A28D2" w:rsidRDefault="00D520CC" w:rsidP="00A51967">
      <w:pPr>
        <w:ind w:left="34" w:firstLine="709"/>
        <w:jc w:val="both"/>
        <w:textAlignment w:val="center"/>
        <w:rPr>
          <w:rFonts w:eastAsiaTheme="minorHAnsi"/>
          <w:i/>
          <w:lang w:eastAsia="en-US"/>
        </w:rPr>
      </w:pPr>
      <w:r w:rsidRPr="001A28D2">
        <w:rPr>
          <w:rFonts w:eastAsiaTheme="minorHAnsi"/>
          <w:i/>
          <w:lang w:eastAsia="en-US"/>
        </w:rPr>
        <w:t>Изпълнено е изискването на чл. 27 от ЗПФ.</w:t>
      </w:r>
    </w:p>
    <w:p w14:paraId="46CE9FE0" w14:textId="77777777" w:rsidR="00D520CC" w:rsidRPr="001A28D2" w:rsidRDefault="00D520CC" w:rsidP="00A51967">
      <w:pPr>
        <w:ind w:left="34" w:firstLine="709"/>
        <w:jc w:val="both"/>
        <w:textAlignment w:val="center"/>
        <w:rPr>
          <w:rFonts w:eastAsiaTheme="minorHAnsi"/>
          <w:lang w:eastAsia="en-US"/>
        </w:rPr>
      </w:pPr>
    </w:p>
    <w:p w14:paraId="7FD81CD4" w14:textId="0688E791" w:rsidR="00561244" w:rsidRPr="001A28D2" w:rsidRDefault="00A51967" w:rsidP="00A51967">
      <w:pPr>
        <w:tabs>
          <w:tab w:val="left" w:pos="1701"/>
        </w:tabs>
        <w:ind w:left="34" w:firstLine="709"/>
        <w:jc w:val="both"/>
        <w:textAlignment w:val="center"/>
        <w:rPr>
          <w:rFonts w:eastAsiaTheme="minorHAnsi"/>
          <w:lang w:eastAsia="en-US"/>
        </w:rPr>
      </w:pPr>
      <w:r w:rsidRPr="001A28D2">
        <w:rPr>
          <w:color w:val="000000"/>
        </w:rPr>
        <w:t xml:space="preserve">2.3. </w:t>
      </w:r>
      <w:r w:rsidR="009F23F9" w:rsidRPr="001A28D2">
        <w:rPr>
          <w:color w:val="000000"/>
        </w:rPr>
        <w:t xml:space="preserve">Номиналният размер на консолидирания дълг на сектор „Държавно управление“ към края на всяка година не може да надвишава 60 на сто от </w:t>
      </w:r>
      <w:r w:rsidR="00F24C80" w:rsidRPr="001A28D2">
        <w:rPr>
          <w:color w:val="000000"/>
        </w:rPr>
        <w:t>БВП</w:t>
      </w:r>
      <w:r w:rsidR="009F23F9" w:rsidRPr="001A28D2">
        <w:rPr>
          <w:color w:val="000000"/>
        </w:rPr>
        <w:t>.</w:t>
      </w:r>
      <w:r w:rsidR="009F23F9" w:rsidRPr="001A28D2">
        <w:rPr>
          <w:vertAlign w:val="superscript"/>
        </w:rPr>
        <w:footnoteReference w:id="91"/>
      </w:r>
      <w:r w:rsidR="009F23F9" w:rsidRPr="001A28D2">
        <w:rPr>
          <w:color w:val="000000"/>
        </w:rPr>
        <w:t xml:space="preserve"> </w:t>
      </w:r>
      <w:r w:rsidR="00561244" w:rsidRPr="001A28D2">
        <w:t xml:space="preserve">В случай на </w:t>
      </w:r>
      <w:proofErr w:type="spellStart"/>
      <w:r w:rsidR="00561244" w:rsidRPr="001A28D2">
        <w:t>превишение</w:t>
      </w:r>
      <w:proofErr w:type="spellEnd"/>
      <w:r w:rsidR="00561244" w:rsidRPr="001A28D2">
        <w:t xml:space="preserve"> на дълга над 60</w:t>
      </w:r>
      <w:r w:rsidR="0091021F" w:rsidRPr="001A28D2">
        <w:t> </w:t>
      </w:r>
      <w:r w:rsidR="00561244" w:rsidRPr="001A28D2">
        <w:t>на</w:t>
      </w:r>
      <w:r w:rsidR="0091021F" w:rsidRPr="001A28D2">
        <w:t> </w:t>
      </w:r>
      <w:r w:rsidR="00561244" w:rsidRPr="001A28D2">
        <w:t xml:space="preserve">сто от БВП в средносрочната бюджетна прогноза и в закона за държавния бюджет се предвиждат мерки за ежегодното му намаление в размер, не по-малко от 5 на сто от установеното </w:t>
      </w:r>
      <w:proofErr w:type="spellStart"/>
      <w:r w:rsidR="00561244" w:rsidRPr="001A28D2">
        <w:t>превишение</w:t>
      </w:r>
      <w:proofErr w:type="spellEnd"/>
      <w:r w:rsidR="00561244" w:rsidRPr="001A28D2">
        <w:t xml:space="preserve">, до постигане на предвиденото съотношение. Консолидираният дълг на сектор „Държавно управление“ към края на всяка година като съотношение спрямо </w:t>
      </w:r>
      <w:r w:rsidR="00F24C80" w:rsidRPr="001A28D2">
        <w:t>БВП</w:t>
      </w:r>
      <w:r w:rsidR="00561244" w:rsidRPr="001A28D2">
        <w:t xml:space="preserve"> не може да надвишава съотношението от предходната година, докато това съотношение е над 60 на сто.</w:t>
      </w:r>
      <w:r w:rsidR="00A95443" w:rsidRPr="001A28D2">
        <w:t xml:space="preserve"> По</w:t>
      </w:r>
      <w:r w:rsidR="00561244" w:rsidRPr="001A28D2">
        <w:t xml:space="preserve"> </w:t>
      </w:r>
      <w:r w:rsidR="00A95443" w:rsidRPr="001A28D2">
        <w:t xml:space="preserve">предварителни </w:t>
      </w:r>
      <w:r w:rsidR="0050527C" w:rsidRPr="001A28D2">
        <w:t xml:space="preserve">годишни </w:t>
      </w:r>
      <w:r w:rsidR="00A95443" w:rsidRPr="001A28D2">
        <w:t xml:space="preserve">данни </w:t>
      </w:r>
      <w:r w:rsidR="00561244" w:rsidRPr="001A28D2">
        <w:rPr>
          <w:rFonts w:eastAsiaTheme="minorHAnsi"/>
          <w:lang w:eastAsia="en-US"/>
        </w:rPr>
        <w:t>размер</w:t>
      </w:r>
      <w:r w:rsidR="00270A93" w:rsidRPr="001A28D2">
        <w:rPr>
          <w:rFonts w:eastAsiaTheme="minorHAnsi"/>
          <w:lang w:eastAsia="en-US"/>
        </w:rPr>
        <w:t>ът</w:t>
      </w:r>
      <w:r w:rsidR="00561244" w:rsidRPr="001A28D2">
        <w:rPr>
          <w:rFonts w:eastAsiaTheme="minorHAnsi"/>
          <w:lang w:eastAsia="en-US"/>
        </w:rPr>
        <w:t xml:space="preserve"> на консолидирания дълг на сектор „Държавно управление“</w:t>
      </w:r>
      <w:r w:rsidR="00A95443" w:rsidRPr="001A28D2">
        <w:rPr>
          <w:rFonts w:eastAsiaTheme="minorHAnsi"/>
          <w:lang w:eastAsia="en-US"/>
        </w:rPr>
        <w:t xml:space="preserve"> за 2016 г.</w:t>
      </w:r>
      <w:r w:rsidR="00561244" w:rsidRPr="001A28D2">
        <w:rPr>
          <w:rFonts w:eastAsiaTheme="minorHAnsi"/>
          <w:lang w:eastAsia="en-US"/>
        </w:rPr>
        <w:t xml:space="preserve"> е 27 321 млн. лв. или 29,5 на сто от брутния вътрешен продукт по текущи цени, </w:t>
      </w:r>
      <w:r w:rsidR="0091021F" w:rsidRPr="001A28D2">
        <w:rPr>
          <w:rFonts w:eastAsiaTheme="minorHAnsi"/>
          <w:lang w:eastAsia="en-US"/>
        </w:rPr>
        <w:t xml:space="preserve">който </w:t>
      </w:r>
      <w:r w:rsidR="00882246" w:rsidRPr="001A28D2">
        <w:rPr>
          <w:rFonts w:eastAsiaTheme="minorHAnsi"/>
          <w:lang w:eastAsia="en-US"/>
        </w:rPr>
        <w:t>по предварителни данни на НСИ</w:t>
      </w:r>
      <w:r w:rsidR="00561244" w:rsidRPr="001A28D2">
        <w:rPr>
          <w:rFonts w:eastAsiaTheme="minorHAnsi"/>
          <w:lang w:eastAsia="en-US"/>
        </w:rPr>
        <w:t xml:space="preserve"> за 2016</w:t>
      </w:r>
      <w:r w:rsidR="0091021F" w:rsidRPr="001A28D2">
        <w:rPr>
          <w:rFonts w:eastAsiaTheme="minorHAnsi"/>
          <w:lang w:eastAsia="en-US"/>
        </w:rPr>
        <w:t> </w:t>
      </w:r>
      <w:r w:rsidR="00561244" w:rsidRPr="001A28D2">
        <w:rPr>
          <w:rFonts w:eastAsiaTheme="minorHAnsi"/>
          <w:lang w:eastAsia="en-US"/>
        </w:rPr>
        <w:t>г. е 92 635 млн. лв.</w:t>
      </w:r>
      <w:r w:rsidR="00561244" w:rsidRPr="001A28D2">
        <w:rPr>
          <w:rFonts w:eastAsiaTheme="minorHAnsi"/>
          <w:vertAlign w:val="superscript"/>
          <w:lang w:eastAsia="en-US"/>
        </w:rPr>
        <w:footnoteReference w:id="92"/>
      </w:r>
    </w:p>
    <w:p w14:paraId="20D6E3A8" w14:textId="77777777" w:rsidR="009F23F9" w:rsidRPr="001A28D2" w:rsidRDefault="009F23F9" w:rsidP="007E77CC">
      <w:pPr>
        <w:pStyle w:val="ListParagraph"/>
        <w:widowControl w:val="0"/>
        <w:autoSpaceDE w:val="0"/>
        <w:autoSpaceDN w:val="0"/>
        <w:adjustRightInd w:val="0"/>
        <w:ind w:left="0" w:firstLine="709"/>
        <w:jc w:val="both"/>
        <w:textAlignment w:val="center"/>
        <w:rPr>
          <w:rFonts w:ascii="Times New Roman" w:hAnsi="Times New Roman" w:cs="Times New Roman"/>
          <w:color w:val="000000"/>
          <w:lang w:val="bg-BG"/>
        </w:rPr>
      </w:pPr>
      <w:r w:rsidRPr="001A28D2">
        <w:rPr>
          <w:rFonts w:ascii="Times New Roman" w:hAnsi="Times New Roman" w:cs="Times New Roman"/>
          <w:color w:val="000000"/>
          <w:lang w:val="bg-BG"/>
        </w:rPr>
        <w:lastRenderedPageBreak/>
        <w:t xml:space="preserve">Съгласно отговор на </w:t>
      </w:r>
      <w:proofErr w:type="spellStart"/>
      <w:r w:rsidRPr="001A28D2">
        <w:rPr>
          <w:rFonts w:ascii="Times New Roman" w:hAnsi="Times New Roman" w:cs="Times New Roman"/>
          <w:color w:val="000000"/>
          <w:lang w:val="bg-BG"/>
        </w:rPr>
        <w:t>одитирания</w:t>
      </w:r>
      <w:proofErr w:type="spellEnd"/>
      <w:r w:rsidRPr="001A28D2">
        <w:rPr>
          <w:rFonts w:ascii="Times New Roman" w:hAnsi="Times New Roman" w:cs="Times New Roman"/>
          <w:color w:val="000000"/>
          <w:lang w:val="bg-BG"/>
        </w:rPr>
        <w:t xml:space="preserve"> обект,</w:t>
      </w:r>
      <w:r w:rsidRPr="001A28D2">
        <w:rPr>
          <w:rFonts w:ascii="Times New Roman" w:hAnsi="Times New Roman" w:cs="Times New Roman"/>
          <w:vertAlign w:val="superscript"/>
          <w:lang w:val="bg-BG"/>
        </w:rPr>
        <w:footnoteReference w:id="93"/>
      </w:r>
      <w:r w:rsidRPr="001A28D2">
        <w:rPr>
          <w:rFonts w:ascii="Times New Roman" w:hAnsi="Times New Roman" w:cs="Times New Roman"/>
          <w:color w:val="000000"/>
          <w:lang w:val="bg-BG"/>
        </w:rPr>
        <w:t xml:space="preserve"> </w:t>
      </w:r>
      <w:r w:rsidR="00AC015F" w:rsidRPr="001A28D2">
        <w:rPr>
          <w:rFonts w:ascii="Times New Roman" w:hAnsi="Times New Roman" w:cs="Times New Roman"/>
          <w:color w:val="000000"/>
          <w:lang w:val="bg-BG"/>
        </w:rPr>
        <w:t xml:space="preserve">съотношението „консолидиран дълг на сектор </w:t>
      </w:r>
      <w:r w:rsidR="00B666C5" w:rsidRPr="001A28D2">
        <w:rPr>
          <w:rFonts w:ascii="Times New Roman" w:hAnsi="Times New Roman" w:cs="Times New Roman"/>
          <w:color w:val="000000"/>
          <w:lang w:val="bg-BG"/>
        </w:rPr>
        <w:t>„</w:t>
      </w:r>
      <w:r w:rsidR="00AC015F" w:rsidRPr="001A28D2">
        <w:rPr>
          <w:rFonts w:ascii="Times New Roman" w:hAnsi="Times New Roman" w:cs="Times New Roman"/>
          <w:color w:val="000000"/>
          <w:lang w:val="bg-BG"/>
        </w:rPr>
        <w:t>Държавно управление“ към БВП“ запазва водещата позиция на Република България с най-ниска задлъжнялост сред държавите-членки на ЕС след Естония с 9,5</w:t>
      </w:r>
      <w:r w:rsidR="00B666C5" w:rsidRPr="001A28D2">
        <w:rPr>
          <w:rFonts w:ascii="Times New Roman" w:hAnsi="Times New Roman" w:cs="Times New Roman"/>
          <w:color w:val="000000"/>
          <w:lang w:val="bg-BG"/>
        </w:rPr>
        <w:t> </w:t>
      </w:r>
      <w:r w:rsidR="00AC015F" w:rsidRPr="001A28D2">
        <w:rPr>
          <w:rFonts w:ascii="Times New Roman" w:hAnsi="Times New Roman" w:cs="Times New Roman"/>
          <w:color w:val="000000"/>
          <w:lang w:val="bg-BG"/>
        </w:rPr>
        <w:t>на</w:t>
      </w:r>
      <w:r w:rsidR="00B666C5" w:rsidRPr="001A28D2">
        <w:rPr>
          <w:rFonts w:ascii="Times New Roman" w:hAnsi="Times New Roman" w:cs="Times New Roman"/>
          <w:color w:val="000000"/>
          <w:lang w:val="bg-BG"/>
        </w:rPr>
        <w:t> </w:t>
      </w:r>
      <w:r w:rsidR="00AC015F" w:rsidRPr="001A28D2">
        <w:rPr>
          <w:rFonts w:ascii="Times New Roman" w:hAnsi="Times New Roman" w:cs="Times New Roman"/>
          <w:color w:val="000000"/>
          <w:lang w:val="bg-BG"/>
        </w:rPr>
        <w:t>сто и Люксембург с 20</w:t>
      </w:r>
      <w:r w:rsidR="00B666C5" w:rsidRPr="001A28D2">
        <w:rPr>
          <w:rFonts w:ascii="Times New Roman" w:hAnsi="Times New Roman" w:cs="Times New Roman"/>
          <w:color w:val="000000"/>
          <w:lang w:val="bg-BG"/>
        </w:rPr>
        <w:t> </w:t>
      </w:r>
      <w:r w:rsidR="00AC015F" w:rsidRPr="001A28D2">
        <w:rPr>
          <w:rFonts w:ascii="Times New Roman" w:hAnsi="Times New Roman" w:cs="Times New Roman"/>
          <w:color w:val="000000"/>
          <w:lang w:val="bg-BG"/>
        </w:rPr>
        <w:t>на</w:t>
      </w:r>
      <w:r w:rsidR="00B666C5" w:rsidRPr="001A28D2">
        <w:rPr>
          <w:rFonts w:ascii="Times New Roman" w:hAnsi="Times New Roman" w:cs="Times New Roman"/>
          <w:color w:val="000000"/>
          <w:lang w:val="bg-BG"/>
        </w:rPr>
        <w:t> </w:t>
      </w:r>
      <w:r w:rsidR="00AC015F" w:rsidRPr="001A28D2">
        <w:rPr>
          <w:rFonts w:ascii="Times New Roman" w:hAnsi="Times New Roman" w:cs="Times New Roman"/>
          <w:color w:val="000000"/>
          <w:lang w:val="bg-BG"/>
        </w:rPr>
        <w:t xml:space="preserve">сто. </w:t>
      </w:r>
      <w:r w:rsidRPr="001A28D2">
        <w:rPr>
          <w:rFonts w:ascii="Times New Roman" w:hAnsi="Times New Roman" w:cs="Times New Roman"/>
          <w:color w:val="000000"/>
          <w:lang w:val="bg-BG"/>
        </w:rPr>
        <w:t>Отчетен</w:t>
      </w:r>
      <w:r w:rsidR="00AC015F" w:rsidRPr="001A28D2">
        <w:rPr>
          <w:rFonts w:ascii="Times New Roman" w:hAnsi="Times New Roman" w:cs="Times New Roman"/>
          <w:color w:val="000000"/>
          <w:lang w:val="bg-BG"/>
        </w:rPr>
        <w:t>ото ниво по предварителни данни от 29,5</w:t>
      </w:r>
      <w:r w:rsidRPr="001A28D2">
        <w:rPr>
          <w:rFonts w:ascii="Times New Roman" w:hAnsi="Times New Roman" w:cs="Times New Roman"/>
          <w:color w:val="000000"/>
          <w:lang w:val="bg-BG"/>
        </w:rPr>
        <w:t> на сто за 201</w:t>
      </w:r>
      <w:r w:rsidR="00AC015F" w:rsidRPr="001A28D2">
        <w:rPr>
          <w:rFonts w:ascii="Times New Roman" w:hAnsi="Times New Roman" w:cs="Times New Roman"/>
          <w:color w:val="000000"/>
          <w:lang w:val="bg-BG"/>
        </w:rPr>
        <w:t>6</w:t>
      </w:r>
      <w:r w:rsidRPr="001A28D2">
        <w:rPr>
          <w:rFonts w:ascii="Times New Roman" w:hAnsi="Times New Roman" w:cs="Times New Roman"/>
          <w:color w:val="000000"/>
          <w:lang w:val="bg-BG"/>
        </w:rPr>
        <w:t xml:space="preserve"> г. </w:t>
      </w:r>
      <w:r w:rsidR="00AC015F" w:rsidRPr="001A28D2">
        <w:rPr>
          <w:rFonts w:ascii="Times New Roman" w:hAnsi="Times New Roman" w:cs="Times New Roman"/>
          <w:color w:val="000000"/>
          <w:lang w:val="bg-BG"/>
        </w:rPr>
        <w:t>е</w:t>
      </w:r>
      <w:r w:rsidRPr="001A28D2">
        <w:rPr>
          <w:rFonts w:ascii="Times New Roman" w:hAnsi="Times New Roman" w:cs="Times New Roman"/>
          <w:color w:val="000000"/>
          <w:lang w:val="bg-BG"/>
        </w:rPr>
        <w:t xml:space="preserve"> под горния праг на </w:t>
      </w:r>
      <w:proofErr w:type="spellStart"/>
      <w:r w:rsidRPr="001A28D2">
        <w:rPr>
          <w:rFonts w:ascii="Times New Roman" w:hAnsi="Times New Roman" w:cs="Times New Roman"/>
          <w:color w:val="000000"/>
          <w:lang w:val="bg-BG"/>
        </w:rPr>
        <w:t>Маастрихтския</w:t>
      </w:r>
      <w:proofErr w:type="spellEnd"/>
      <w:r w:rsidRPr="001A28D2">
        <w:rPr>
          <w:rFonts w:ascii="Times New Roman" w:hAnsi="Times New Roman" w:cs="Times New Roman"/>
          <w:color w:val="000000"/>
          <w:lang w:val="bg-BG"/>
        </w:rPr>
        <w:t xml:space="preserve"> критерий за конвергенция от 60 на сто. </w:t>
      </w:r>
    </w:p>
    <w:p w14:paraId="6EE87A92" w14:textId="77777777" w:rsidR="006E3C61" w:rsidRPr="001A28D2" w:rsidRDefault="006E3C61" w:rsidP="007E77CC">
      <w:pPr>
        <w:ind w:left="34" w:firstLine="709"/>
        <w:jc w:val="both"/>
        <w:textAlignment w:val="center"/>
        <w:rPr>
          <w:rFonts w:eastAsiaTheme="minorHAnsi"/>
          <w:i/>
          <w:lang w:eastAsia="en-US"/>
        </w:rPr>
      </w:pPr>
    </w:p>
    <w:p w14:paraId="67B32B5F" w14:textId="77777777" w:rsidR="009F23F9" w:rsidRPr="001A28D2" w:rsidRDefault="009F23F9" w:rsidP="007E77CC">
      <w:pPr>
        <w:ind w:left="34" w:firstLine="709"/>
        <w:jc w:val="both"/>
        <w:textAlignment w:val="center"/>
        <w:rPr>
          <w:rFonts w:eastAsiaTheme="minorHAnsi"/>
          <w:i/>
          <w:lang w:eastAsia="en-US"/>
        </w:rPr>
      </w:pPr>
      <w:r w:rsidRPr="001A28D2">
        <w:rPr>
          <w:rFonts w:eastAsiaTheme="minorHAnsi"/>
          <w:i/>
          <w:lang w:eastAsia="en-US"/>
        </w:rPr>
        <w:t>Изпълнени са изискванията на чл. 29 от ЗПФ</w:t>
      </w:r>
    </w:p>
    <w:p w14:paraId="5F93D0EC" w14:textId="77777777" w:rsidR="001859B1" w:rsidRPr="001A28D2" w:rsidRDefault="001859B1" w:rsidP="007E77CC">
      <w:pPr>
        <w:ind w:left="34" w:firstLine="709"/>
        <w:jc w:val="both"/>
        <w:textAlignment w:val="center"/>
        <w:rPr>
          <w:rFonts w:eastAsiaTheme="minorHAnsi"/>
          <w:i/>
          <w:lang w:eastAsia="en-US"/>
        </w:rPr>
      </w:pPr>
    </w:p>
    <w:p w14:paraId="44C2DFC6" w14:textId="45285FC6" w:rsidR="000D2F8E" w:rsidRPr="001A28D2" w:rsidRDefault="00A51967" w:rsidP="00A51967">
      <w:pPr>
        <w:tabs>
          <w:tab w:val="left" w:pos="1560"/>
        </w:tabs>
        <w:ind w:firstLine="709"/>
        <w:jc w:val="both"/>
      </w:pPr>
      <w:r w:rsidRPr="001A28D2">
        <w:rPr>
          <w:bCs/>
        </w:rPr>
        <w:t xml:space="preserve">2.4. </w:t>
      </w:r>
      <w:r w:rsidR="009B0A78" w:rsidRPr="001A28D2">
        <w:rPr>
          <w:rFonts w:eastAsiaTheme="minorHAnsi"/>
          <w:szCs w:val="22"/>
          <w:lang w:eastAsia="en-US"/>
        </w:rPr>
        <w:t xml:space="preserve">На </w:t>
      </w:r>
      <w:r w:rsidR="00190846" w:rsidRPr="001A28D2">
        <w:rPr>
          <w:rFonts w:eastAsiaTheme="minorHAnsi"/>
          <w:szCs w:val="22"/>
          <w:lang w:eastAsia="en-US"/>
        </w:rPr>
        <w:t>интернет</w:t>
      </w:r>
      <w:r w:rsidR="009B0A78" w:rsidRPr="001A28D2">
        <w:rPr>
          <w:rFonts w:eastAsiaTheme="minorHAnsi"/>
          <w:szCs w:val="22"/>
          <w:lang w:eastAsia="en-US"/>
        </w:rPr>
        <w:t xml:space="preserve"> страницата на МФ е </w:t>
      </w:r>
      <w:r w:rsidR="009B0A78" w:rsidRPr="001A28D2">
        <w:t>п</w:t>
      </w:r>
      <w:r w:rsidR="001859B1" w:rsidRPr="001A28D2">
        <w:t>убликуван</w:t>
      </w:r>
      <w:r w:rsidR="00A95443" w:rsidRPr="001A28D2">
        <w:t>а официална</w:t>
      </w:r>
      <w:r w:rsidR="00CA7118" w:rsidRPr="001A28D2">
        <w:t>та</w:t>
      </w:r>
      <w:r w:rsidR="00A95443" w:rsidRPr="001A28D2">
        <w:t xml:space="preserve"> информация за</w:t>
      </w:r>
      <w:r w:rsidR="001859B1" w:rsidRPr="001A28D2">
        <w:t xml:space="preserve"> </w:t>
      </w:r>
      <w:r w:rsidR="00A95443" w:rsidRPr="001A28D2">
        <w:t>консолидирания дълг</w:t>
      </w:r>
      <w:r w:rsidR="00CA7118" w:rsidRPr="001A28D2">
        <w:rPr>
          <w:rStyle w:val="FootnoteReference"/>
        </w:rPr>
        <w:footnoteReference w:id="94"/>
      </w:r>
      <w:r w:rsidR="00A95443" w:rsidRPr="001A28D2">
        <w:t xml:space="preserve"> и</w:t>
      </w:r>
      <w:r w:rsidR="001859B1" w:rsidRPr="001A28D2">
        <w:t xml:space="preserve"> гаран</w:t>
      </w:r>
      <w:r w:rsidR="00A95443" w:rsidRPr="001A28D2">
        <w:t>циите</w:t>
      </w:r>
      <w:r w:rsidR="00CA7118" w:rsidRPr="001A28D2">
        <w:rPr>
          <w:rStyle w:val="FootnoteReference"/>
        </w:rPr>
        <w:footnoteReference w:id="95"/>
      </w:r>
      <w:r w:rsidR="00A95443" w:rsidRPr="001A28D2">
        <w:t xml:space="preserve"> </w:t>
      </w:r>
      <w:r w:rsidR="001859B1" w:rsidRPr="001A28D2">
        <w:t>на сектор „Държавно управление</w:t>
      </w:r>
      <w:r w:rsidR="00882469" w:rsidRPr="001A28D2">
        <w:t>“</w:t>
      </w:r>
      <w:r w:rsidR="001859B1" w:rsidRPr="001A28D2">
        <w:t xml:space="preserve"> (чл. 36, ал.</w:t>
      </w:r>
      <w:r w:rsidR="00CA7118" w:rsidRPr="001A28D2">
        <w:t xml:space="preserve"> 1 и</w:t>
      </w:r>
      <w:r w:rsidR="005076E2" w:rsidRPr="001A28D2">
        <w:t xml:space="preserve"> </w:t>
      </w:r>
      <w:r w:rsidR="001859B1" w:rsidRPr="001A28D2">
        <w:t>2 от ЗПФ)</w:t>
      </w:r>
      <w:r w:rsidR="00190846" w:rsidRPr="001A28D2">
        <w:t xml:space="preserve">, както и </w:t>
      </w:r>
      <w:r w:rsidR="00190846" w:rsidRPr="001A28D2">
        <w:rPr>
          <w:bCs/>
        </w:rPr>
        <w:t>месечен</w:t>
      </w:r>
      <w:r w:rsidR="00190846" w:rsidRPr="001A28D2">
        <w:rPr>
          <w:b/>
          <w:bCs/>
        </w:rPr>
        <w:t xml:space="preserve"> </w:t>
      </w:r>
      <w:r w:rsidR="00190846" w:rsidRPr="001A28D2">
        <w:rPr>
          <w:bCs/>
        </w:rPr>
        <w:t>б</w:t>
      </w:r>
      <w:hyperlink r:id="rId14" w:history="1">
        <w:r w:rsidR="00190846" w:rsidRPr="001A28D2">
          <w:rPr>
            <w:rFonts w:eastAsiaTheme="minorHAnsi"/>
            <w:szCs w:val="22"/>
            <w:lang w:eastAsia="en-US"/>
          </w:rPr>
          <w:t>юлетин „Дълг и гаранции на подсектор „Централно управление“</w:t>
        </w:r>
      </w:hyperlink>
      <w:r w:rsidR="00190846" w:rsidRPr="001A28D2">
        <w:rPr>
          <w:rStyle w:val="FootnoteReference"/>
          <w:rFonts w:eastAsiaTheme="minorHAnsi"/>
          <w:szCs w:val="22"/>
          <w:lang w:eastAsia="en-US"/>
        </w:rPr>
        <w:footnoteReference w:id="96"/>
      </w:r>
      <w:r w:rsidR="00190846" w:rsidRPr="001A28D2">
        <w:rPr>
          <w:rFonts w:eastAsiaTheme="minorHAnsi"/>
          <w:szCs w:val="22"/>
          <w:lang w:eastAsia="en-US"/>
        </w:rPr>
        <w:t xml:space="preserve"> (чл. 36, ал. 3)</w:t>
      </w:r>
      <w:r w:rsidR="00E644E2" w:rsidRPr="001A28D2">
        <w:t>.</w:t>
      </w:r>
      <w:r w:rsidR="001859B1" w:rsidRPr="001A28D2">
        <w:t xml:space="preserve"> Данните за</w:t>
      </w:r>
      <w:r w:rsidR="00CA7118" w:rsidRPr="001A28D2">
        <w:t xml:space="preserve"> консолидирания дълг и</w:t>
      </w:r>
      <w:r w:rsidR="001859B1" w:rsidRPr="001A28D2">
        <w:t xml:space="preserve"> гаран</w:t>
      </w:r>
      <w:r w:rsidR="00CA7118" w:rsidRPr="001A28D2">
        <w:t>циите</w:t>
      </w:r>
      <w:r w:rsidR="001859B1" w:rsidRPr="001A28D2">
        <w:t xml:space="preserve"> на сектор „Държавно управление</w:t>
      </w:r>
      <w:r w:rsidR="00882469" w:rsidRPr="001A28D2">
        <w:t>“</w:t>
      </w:r>
      <w:r w:rsidR="001859B1" w:rsidRPr="001A28D2">
        <w:t xml:space="preserve"> се изготвят в сътрудничество между НСИ, БНБ и МФ. Предоставянето на данните на </w:t>
      </w:r>
      <w:proofErr w:type="spellStart"/>
      <w:r w:rsidR="001859B1" w:rsidRPr="001A28D2">
        <w:t>Евростат</w:t>
      </w:r>
      <w:proofErr w:type="spellEnd"/>
      <w:r w:rsidR="001859B1" w:rsidRPr="001A28D2">
        <w:t xml:space="preserve"> се извършва от НСИ и се публикуват на интернет страницата на </w:t>
      </w:r>
      <w:proofErr w:type="spellStart"/>
      <w:r w:rsidR="001859B1" w:rsidRPr="001A28D2">
        <w:t>Евростат</w:t>
      </w:r>
      <w:proofErr w:type="spellEnd"/>
      <w:r w:rsidR="001859B1" w:rsidRPr="001A28D2">
        <w:t xml:space="preserve">. </w:t>
      </w:r>
      <w:r w:rsidR="000D2F8E" w:rsidRPr="001A28D2">
        <w:t>Консолидирания</w:t>
      </w:r>
      <w:r w:rsidR="00546762" w:rsidRPr="001A28D2">
        <w:t>т</w:t>
      </w:r>
      <w:r w:rsidR="000D2F8E" w:rsidRPr="001A28D2">
        <w:t xml:space="preserve"> дълг на сектор „Държавно управление“ е дългът на сектор "Държавно управление" съгласно изискванията на Регламент на Съвета (ЕО) № 479/2009 от 25 май 2009 г. за прилагане на Протокола за процедурата при прекомерен дефицит, приложен към Договора за създаване на Европейската общност.</w:t>
      </w:r>
      <w:r w:rsidR="006B6E7B" w:rsidRPr="001A28D2">
        <w:rPr>
          <w:rStyle w:val="FootnoteReference"/>
        </w:rPr>
        <w:footnoteReference w:id="97"/>
      </w:r>
    </w:p>
    <w:p w14:paraId="030F9A4E" w14:textId="23129627" w:rsidR="001859B1" w:rsidRPr="001A28D2" w:rsidRDefault="001859B1" w:rsidP="00A51967">
      <w:pPr>
        <w:tabs>
          <w:tab w:val="left" w:pos="1560"/>
        </w:tabs>
        <w:ind w:firstLine="709"/>
        <w:jc w:val="both"/>
      </w:pPr>
      <w:r w:rsidRPr="001A28D2">
        <w:t xml:space="preserve">Гарантираният дълг на сектор </w:t>
      </w:r>
      <w:r w:rsidR="00882469" w:rsidRPr="001A28D2">
        <w:t>„</w:t>
      </w:r>
      <w:r w:rsidRPr="001A28D2">
        <w:t>Държавно управление</w:t>
      </w:r>
      <w:r w:rsidR="00882469" w:rsidRPr="001A28D2">
        <w:t>“</w:t>
      </w:r>
      <w:r w:rsidRPr="001A28D2">
        <w:t xml:space="preserve"> е сума от предоставените държавни и общински гаранции от страна на подсектори „Централно управление</w:t>
      </w:r>
      <w:r w:rsidR="00882469" w:rsidRPr="001A28D2">
        <w:t>“</w:t>
      </w:r>
      <w:r w:rsidRPr="001A28D2">
        <w:t xml:space="preserve"> и „Местно управление</w:t>
      </w:r>
      <w:r w:rsidR="00882469" w:rsidRPr="001A28D2">
        <w:t>“</w:t>
      </w:r>
      <w:r w:rsidRPr="001A28D2">
        <w:t>. Предоставени са данни за размера на издадените гаранции от страна на сектор „Държавно управление</w:t>
      </w:r>
      <w:r w:rsidR="00882469" w:rsidRPr="001A28D2">
        <w:t>“</w:t>
      </w:r>
      <w:r w:rsidRPr="001A28D2">
        <w:t xml:space="preserve">. </w:t>
      </w:r>
      <w:r w:rsidRPr="001A28D2">
        <w:rPr>
          <w:bCs/>
        </w:rPr>
        <w:t>Индивидуални гаранции</w:t>
      </w:r>
      <w:r w:rsidRPr="001A28D2">
        <w:t xml:space="preserve"> - издателят на гаранцията гарантира поето финансово задължение от страна на кредитополучателя под формата на даден финансов дългов инструмент (заем, облигационна емисия, пр.) и с</w:t>
      </w:r>
      <w:r w:rsidRPr="001A28D2">
        <w:rPr>
          <w:bCs/>
        </w:rPr>
        <w:t>тандартизирани гаранции</w:t>
      </w:r>
      <w:r w:rsidRPr="001A28D2">
        <w:t xml:space="preserve"> - голям брой издадени по идентичен начин гаранции в по-малък обем.</w:t>
      </w:r>
      <w:r w:rsidRPr="001A28D2">
        <w:rPr>
          <w:vertAlign w:val="superscript"/>
        </w:rPr>
        <w:footnoteReference w:id="98"/>
      </w:r>
    </w:p>
    <w:p w14:paraId="089F60FB" w14:textId="77777777" w:rsidR="001859B1" w:rsidRPr="001A28D2" w:rsidRDefault="001859B1" w:rsidP="007E77CC">
      <w:pPr>
        <w:ind w:firstLine="709"/>
        <w:jc w:val="both"/>
        <w:textAlignment w:val="center"/>
        <w:rPr>
          <w:rFonts w:eastAsiaTheme="minorHAnsi"/>
          <w:i/>
          <w:lang w:eastAsia="en-US"/>
        </w:rPr>
      </w:pPr>
    </w:p>
    <w:p w14:paraId="65582AF7" w14:textId="77777777" w:rsidR="001859B1" w:rsidRPr="001A28D2" w:rsidRDefault="00E644E2" w:rsidP="007E77CC">
      <w:pPr>
        <w:ind w:left="34" w:firstLine="709"/>
        <w:jc w:val="both"/>
        <w:textAlignment w:val="center"/>
        <w:rPr>
          <w:rFonts w:eastAsiaTheme="minorHAnsi"/>
          <w:i/>
          <w:lang w:eastAsia="en-US"/>
        </w:rPr>
      </w:pPr>
      <w:r w:rsidRPr="001A28D2">
        <w:rPr>
          <w:rFonts w:eastAsiaTheme="minorHAnsi"/>
          <w:i/>
          <w:lang w:eastAsia="en-US"/>
        </w:rPr>
        <w:t>От МФ е публикувана на официалния интернет сайт регламентираната с чл.</w:t>
      </w:r>
      <w:r w:rsidR="00884923" w:rsidRPr="001A28D2">
        <w:rPr>
          <w:rFonts w:eastAsiaTheme="minorHAnsi"/>
          <w:i/>
          <w:lang w:eastAsia="en-US"/>
        </w:rPr>
        <w:t> </w:t>
      </w:r>
      <w:r w:rsidRPr="001A28D2">
        <w:rPr>
          <w:rFonts w:eastAsiaTheme="minorHAnsi"/>
          <w:i/>
          <w:lang w:eastAsia="en-US"/>
        </w:rPr>
        <w:t>36 от ЗПФ информация.</w:t>
      </w:r>
    </w:p>
    <w:p w14:paraId="027535E5" w14:textId="77777777" w:rsidR="00374921" w:rsidRPr="001A28D2" w:rsidRDefault="00374921" w:rsidP="007E77CC">
      <w:pPr>
        <w:ind w:left="34" w:firstLine="709"/>
        <w:jc w:val="both"/>
        <w:textAlignment w:val="center"/>
        <w:rPr>
          <w:bCs/>
        </w:rPr>
      </w:pPr>
    </w:p>
    <w:p w14:paraId="65A13328" w14:textId="77777777" w:rsidR="001859B1" w:rsidRPr="001A28D2" w:rsidRDefault="00280428" w:rsidP="00945228">
      <w:pPr>
        <w:pStyle w:val="ListParagraph"/>
        <w:widowControl w:val="0"/>
        <w:numPr>
          <w:ilvl w:val="1"/>
          <w:numId w:val="29"/>
        </w:numPr>
        <w:tabs>
          <w:tab w:val="left" w:pos="1134"/>
        </w:tabs>
        <w:autoSpaceDE w:val="0"/>
        <w:autoSpaceDN w:val="0"/>
        <w:adjustRightInd w:val="0"/>
        <w:ind w:left="0" w:firstLine="709"/>
        <w:jc w:val="both"/>
        <w:rPr>
          <w:rFonts w:ascii="Times New Roman" w:hAnsi="Times New Roman" w:cs="Times New Roman"/>
          <w:bCs/>
          <w:lang w:val="bg-BG"/>
        </w:rPr>
      </w:pPr>
      <w:r w:rsidRPr="001A28D2">
        <w:rPr>
          <w:rFonts w:ascii="Times New Roman" w:hAnsi="Times New Roman" w:cs="Times New Roman"/>
          <w:bCs/>
          <w:lang w:val="bg-BG"/>
        </w:rPr>
        <w:t xml:space="preserve">Съгласно </w:t>
      </w:r>
      <w:r w:rsidR="00403298" w:rsidRPr="001A28D2">
        <w:rPr>
          <w:rFonts w:ascii="Times New Roman" w:hAnsi="Times New Roman" w:cs="Times New Roman"/>
          <w:bCs/>
          <w:lang w:val="bg-BG"/>
        </w:rPr>
        <w:t>ЗПФ</w:t>
      </w:r>
      <w:r w:rsidRPr="001A28D2">
        <w:rPr>
          <w:rFonts w:ascii="Times New Roman" w:hAnsi="Times New Roman" w:cs="Times New Roman"/>
          <w:bCs/>
          <w:lang w:val="bg-BG"/>
        </w:rPr>
        <w:t xml:space="preserve"> със ЗДБРБ за съответната година се определят ограниченията за максималния размер на новия държавен дълг, който може да бъде поет през годината, като се посочват поотделно максималните размери на п</w:t>
      </w:r>
      <w:r w:rsidR="001A297C" w:rsidRPr="001A28D2">
        <w:rPr>
          <w:rFonts w:ascii="Times New Roman" w:hAnsi="Times New Roman" w:cs="Times New Roman"/>
          <w:bCs/>
          <w:lang w:val="bg-BG"/>
        </w:rPr>
        <w:t xml:space="preserve">оемането на дълг. </w:t>
      </w:r>
      <w:r w:rsidR="00882778" w:rsidRPr="001A28D2">
        <w:rPr>
          <w:rFonts w:ascii="Times New Roman" w:hAnsi="Times New Roman" w:cs="Times New Roman"/>
          <w:bCs/>
          <w:lang w:val="bg-BG"/>
        </w:rPr>
        <w:t>М</w:t>
      </w:r>
      <w:r w:rsidRPr="001A28D2">
        <w:rPr>
          <w:rFonts w:ascii="Times New Roman" w:hAnsi="Times New Roman" w:cs="Times New Roman"/>
          <w:bCs/>
          <w:lang w:val="bg-BG"/>
        </w:rPr>
        <w:t>аксималният размер на новия държавен дълг</w:t>
      </w:r>
      <w:r w:rsidR="00BD4E7C" w:rsidRPr="001A28D2">
        <w:rPr>
          <w:rFonts w:ascii="Times New Roman" w:hAnsi="Times New Roman" w:cs="Times New Roman"/>
          <w:bCs/>
          <w:lang w:val="bg-BG"/>
        </w:rPr>
        <w:t>,</w:t>
      </w:r>
      <w:r w:rsidR="00BD4E7C" w:rsidRPr="001A28D2">
        <w:rPr>
          <w:rFonts w:ascii="Times New Roman" w:hAnsi="Times New Roman" w:cs="Times New Roman"/>
          <w:vertAlign w:val="superscript"/>
          <w:lang w:val="bg-BG"/>
        </w:rPr>
        <w:footnoteReference w:id="99"/>
      </w:r>
      <w:r w:rsidRPr="001A28D2">
        <w:rPr>
          <w:rFonts w:ascii="Times New Roman" w:hAnsi="Times New Roman" w:cs="Times New Roman"/>
          <w:bCs/>
          <w:lang w:val="bg-BG"/>
        </w:rPr>
        <w:t xml:space="preserve"> който може да бъде поет</w:t>
      </w:r>
      <w:r w:rsidR="00B6272B" w:rsidRPr="001A28D2">
        <w:rPr>
          <w:rFonts w:ascii="Times New Roman" w:hAnsi="Times New Roman" w:cs="Times New Roman"/>
          <w:bCs/>
          <w:lang w:val="bg-BG"/>
        </w:rPr>
        <w:t xml:space="preserve"> през </w:t>
      </w:r>
      <w:r w:rsidR="00AD22AE" w:rsidRPr="001A28D2">
        <w:rPr>
          <w:rFonts w:ascii="Times New Roman" w:hAnsi="Times New Roman" w:cs="Times New Roman"/>
          <w:bCs/>
          <w:lang w:val="bg-BG"/>
        </w:rPr>
        <w:t>2016 г.</w:t>
      </w:r>
      <w:r w:rsidRPr="001A28D2">
        <w:rPr>
          <w:rFonts w:ascii="Times New Roman" w:hAnsi="Times New Roman" w:cs="Times New Roman"/>
          <w:bCs/>
          <w:lang w:val="bg-BG"/>
        </w:rPr>
        <w:t xml:space="preserve">, е </w:t>
      </w:r>
      <w:r w:rsidR="00E644E2" w:rsidRPr="001A28D2">
        <w:rPr>
          <w:rFonts w:ascii="Times New Roman" w:hAnsi="Times New Roman" w:cs="Times New Roman"/>
          <w:bCs/>
          <w:lang w:val="bg-BG"/>
        </w:rPr>
        <w:t>5,3</w:t>
      </w:r>
      <w:r w:rsidR="001B61D7" w:rsidRPr="001A28D2">
        <w:rPr>
          <w:rFonts w:ascii="Times New Roman" w:hAnsi="Times New Roman" w:cs="Times New Roman"/>
          <w:bCs/>
          <w:lang w:val="bg-BG"/>
        </w:rPr>
        <w:t> </w:t>
      </w:r>
      <w:r w:rsidR="00E644E2" w:rsidRPr="001A28D2">
        <w:rPr>
          <w:rFonts w:ascii="Times New Roman" w:hAnsi="Times New Roman" w:cs="Times New Roman"/>
          <w:bCs/>
          <w:lang w:val="bg-BG"/>
        </w:rPr>
        <w:t>млрд.</w:t>
      </w:r>
      <w:r w:rsidR="001B61D7" w:rsidRPr="001A28D2">
        <w:rPr>
          <w:rFonts w:ascii="Times New Roman" w:hAnsi="Times New Roman" w:cs="Times New Roman"/>
          <w:bCs/>
          <w:lang w:val="bg-BG"/>
        </w:rPr>
        <w:t> </w:t>
      </w:r>
      <w:r w:rsidR="00E644E2" w:rsidRPr="001A28D2">
        <w:rPr>
          <w:rFonts w:ascii="Times New Roman" w:hAnsi="Times New Roman" w:cs="Times New Roman"/>
          <w:bCs/>
          <w:lang w:val="bg-BG"/>
        </w:rPr>
        <w:t>лв.</w:t>
      </w:r>
      <w:r w:rsidR="00E644E2" w:rsidRPr="001A28D2">
        <w:rPr>
          <w:rFonts w:ascii="Times New Roman" w:hAnsi="Times New Roman" w:cs="Times New Roman"/>
          <w:bCs/>
          <w:vertAlign w:val="superscript"/>
          <w:lang w:val="bg-BG"/>
        </w:rPr>
        <w:t xml:space="preserve"> </w:t>
      </w:r>
      <w:r w:rsidR="00995B87" w:rsidRPr="001A28D2">
        <w:rPr>
          <w:rFonts w:ascii="Times New Roman" w:hAnsi="Times New Roman" w:cs="Times New Roman"/>
          <w:bCs/>
          <w:lang w:val="bg-BG"/>
        </w:rPr>
        <w:t xml:space="preserve">Размерът е регламентиран с </w:t>
      </w:r>
      <w:r w:rsidR="00E644E2" w:rsidRPr="001A28D2">
        <w:rPr>
          <w:rFonts w:ascii="Times New Roman" w:hAnsi="Times New Roman" w:cs="Times New Roman"/>
          <w:bCs/>
          <w:lang w:val="bg-BG"/>
        </w:rPr>
        <w:t>чл. 66, ал.</w:t>
      </w:r>
      <w:r w:rsidR="001B61D7" w:rsidRPr="001A28D2">
        <w:rPr>
          <w:rFonts w:ascii="Times New Roman" w:hAnsi="Times New Roman" w:cs="Times New Roman"/>
          <w:bCs/>
          <w:lang w:val="bg-BG"/>
        </w:rPr>
        <w:t> </w:t>
      </w:r>
      <w:r w:rsidR="00E644E2" w:rsidRPr="001A28D2">
        <w:rPr>
          <w:rFonts w:ascii="Times New Roman" w:hAnsi="Times New Roman" w:cs="Times New Roman"/>
          <w:bCs/>
          <w:lang w:val="bg-BG"/>
        </w:rPr>
        <w:t>1 от ЗДБРБ</w:t>
      </w:r>
      <w:r w:rsidR="00995B87" w:rsidRPr="001A28D2">
        <w:rPr>
          <w:rFonts w:ascii="Times New Roman" w:hAnsi="Times New Roman" w:cs="Times New Roman"/>
          <w:bCs/>
          <w:lang w:val="bg-BG"/>
        </w:rPr>
        <w:t xml:space="preserve"> за 2016</w:t>
      </w:r>
      <w:r w:rsidR="001B61D7" w:rsidRPr="001A28D2">
        <w:rPr>
          <w:rFonts w:ascii="Times New Roman" w:hAnsi="Times New Roman" w:cs="Times New Roman"/>
          <w:bCs/>
          <w:lang w:val="bg-BG"/>
        </w:rPr>
        <w:t> </w:t>
      </w:r>
      <w:r w:rsidR="00995B87" w:rsidRPr="001A28D2">
        <w:rPr>
          <w:rFonts w:ascii="Times New Roman" w:hAnsi="Times New Roman" w:cs="Times New Roman"/>
          <w:bCs/>
          <w:lang w:val="bg-BG"/>
        </w:rPr>
        <w:t>г.</w:t>
      </w:r>
    </w:p>
    <w:p w14:paraId="743482BC" w14:textId="77777777" w:rsidR="001859B1" w:rsidRPr="001A28D2" w:rsidRDefault="00435E83" w:rsidP="007E77CC">
      <w:pPr>
        <w:widowControl w:val="0"/>
        <w:autoSpaceDE w:val="0"/>
        <w:autoSpaceDN w:val="0"/>
        <w:adjustRightInd w:val="0"/>
        <w:ind w:firstLine="709"/>
        <w:contextualSpacing/>
        <w:jc w:val="both"/>
      </w:pPr>
      <w:r w:rsidRPr="001A28D2">
        <w:rPr>
          <w:bCs/>
        </w:rPr>
        <w:t xml:space="preserve">В рамките на текущата бюджетна година разпоредителите с бюджет по държавния </w:t>
      </w:r>
      <w:r w:rsidRPr="001A28D2">
        <w:rPr>
          <w:bCs/>
        </w:rPr>
        <w:lastRenderedPageBreak/>
        <w:t xml:space="preserve">бюджет не могат да поемат нов държавен дълг чрез финансов лизинг и останалите форми на дълг </w:t>
      </w:r>
      <w:r w:rsidRPr="001A28D2">
        <w:t xml:space="preserve">съгласно </w:t>
      </w:r>
      <w:hyperlink r:id="rId15" w:tgtFrame="_blank" w:history="1">
        <w:r w:rsidRPr="001A28D2">
          <w:t xml:space="preserve">Регламент на Съвета (ЕО) № 479/2009 </w:t>
        </w:r>
      </w:hyperlink>
      <w:r w:rsidRPr="001A28D2">
        <w:t>от 25 май 2009</w:t>
      </w:r>
      <w:r w:rsidR="007666C7" w:rsidRPr="001A28D2">
        <w:t> </w:t>
      </w:r>
      <w:r w:rsidRPr="001A28D2">
        <w:t xml:space="preserve">г. за прилагане на Протокола за процедурата при прекомерен дефицит, приложен към </w:t>
      </w:r>
      <w:hyperlink r:id="rId16" w:tgtFrame="_blank" w:history="1">
        <w:r w:rsidRPr="001A28D2">
          <w:t>Договора за създаване на Европейската общност</w:t>
        </w:r>
      </w:hyperlink>
      <w:r w:rsidRPr="001A28D2">
        <w:t xml:space="preserve"> (ОВ, L 145/1 от 10 юни 2009 г.) </w:t>
      </w:r>
      <w:r w:rsidR="00995B87" w:rsidRPr="001A28D2">
        <w:t>Текстът</w:t>
      </w:r>
      <w:r w:rsidR="00882778" w:rsidRPr="001A28D2">
        <w:rPr>
          <w:rStyle w:val="FootnoteReference"/>
        </w:rPr>
        <w:footnoteReference w:id="100"/>
      </w:r>
      <w:r w:rsidR="00995B87" w:rsidRPr="001A28D2">
        <w:t xml:space="preserve"> е регламентиран в </w:t>
      </w:r>
      <w:r w:rsidR="002C03B1" w:rsidRPr="001A28D2">
        <w:t>чл. </w:t>
      </w:r>
      <w:r w:rsidRPr="001A28D2">
        <w:t>66, ал.</w:t>
      </w:r>
      <w:r w:rsidR="002C03B1" w:rsidRPr="001A28D2">
        <w:t> </w:t>
      </w:r>
      <w:r w:rsidRPr="001A28D2">
        <w:t>3 от ЗДБРБ</w:t>
      </w:r>
      <w:r w:rsidR="00995B87" w:rsidRPr="001A28D2">
        <w:t xml:space="preserve"> за 2016</w:t>
      </w:r>
      <w:r w:rsidR="002C03B1" w:rsidRPr="001A28D2">
        <w:t> </w:t>
      </w:r>
      <w:r w:rsidR="00995B87" w:rsidRPr="001A28D2">
        <w:t>г.</w:t>
      </w:r>
    </w:p>
    <w:p w14:paraId="1D886B26" w14:textId="057CFCAC" w:rsidR="007666C7" w:rsidRPr="001A28D2" w:rsidRDefault="007666C7" w:rsidP="007E77CC">
      <w:pPr>
        <w:ind w:firstLine="709"/>
        <w:jc w:val="both"/>
        <w:textAlignment w:val="center"/>
        <w:rPr>
          <w:bCs/>
        </w:rPr>
      </w:pPr>
      <w:r w:rsidRPr="001A28D2">
        <w:rPr>
          <w:bCs/>
        </w:rPr>
        <w:t>Максималният размер на новите държавни гаранции, които могат да бъдат издадени по реда на Закона за държавния дълг</w:t>
      </w:r>
      <w:r w:rsidR="00BD4E7C" w:rsidRPr="001A28D2">
        <w:rPr>
          <w:rStyle w:val="FootnoteReference"/>
          <w:bCs/>
        </w:rPr>
        <w:footnoteReference w:id="101"/>
      </w:r>
      <w:r w:rsidRPr="001A28D2">
        <w:rPr>
          <w:bCs/>
        </w:rPr>
        <w:t xml:space="preserve"> през 2016 г., е в размер до валутната равностойност на 215</w:t>
      </w:r>
      <w:r w:rsidR="000849DC" w:rsidRPr="001A28D2">
        <w:rPr>
          <w:bCs/>
        </w:rPr>
        <w:t> </w:t>
      </w:r>
      <w:r w:rsidRPr="001A28D2">
        <w:rPr>
          <w:bCs/>
        </w:rPr>
        <w:t>млн.</w:t>
      </w:r>
      <w:r w:rsidR="000849DC" w:rsidRPr="001A28D2">
        <w:rPr>
          <w:bCs/>
        </w:rPr>
        <w:t> </w:t>
      </w:r>
      <w:r w:rsidRPr="001A28D2">
        <w:rPr>
          <w:bCs/>
        </w:rPr>
        <w:t>лв.</w:t>
      </w:r>
      <w:r w:rsidR="00995B87" w:rsidRPr="001A28D2">
        <w:rPr>
          <w:bCs/>
        </w:rPr>
        <w:t xml:space="preserve">, определен в </w:t>
      </w:r>
      <w:r w:rsidR="000849DC" w:rsidRPr="001A28D2">
        <w:rPr>
          <w:bCs/>
        </w:rPr>
        <w:t>чл. </w:t>
      </w:r>
      <w:r w:rsidRPr="001A28D2">
        <w:rPr>
          <w:bCs/>
        </w:rPr>
        <w:t>71, ал.</w:t>
      </w:r>
      <w:r w:rsidR="000849DC" w:rsidRPr="001A28D2">
        <w:rPr>
          <w:bCs/>
        </w:rPr>
        <w:t> </w:t>
      </w:r>
      <w:r w:rsidRPr="001A28D2">
        <w:rPr>
          <w:bCs/>
        </w:rPr>
        <w:t xml:space="preserve">1 от ЗДБРБ </w:t>
      </w:r>
      <w:r w:rsidR="00995B87" w:rsidRPr="001A28D2">
        <w:rPr>
          <w:bCs/>
        </w:rPr>
        <w:t>за 2</w:t>
      </w:r>
      <w:r w:rsidRPr="001A28D2">
        <w:rPr>
          <w:bCs/>
        </w:rPr>
        <w:t>016</w:t>
      </w:r>
      <w:r w:rsidR="000849DC" w:rsidRPr="001A28D2">
        <w:rPr>
          <w:bCs/>
        </w:rPr>
        <w:t> </w:t>
      </w:r>
      <w:r w:rsidRPr="001A28D2">
        <w:rPr>
          <w:bCs/>
        </w:rPr>
        <w:t>г.</w:t>
      </w:r>
      <w:r w:rsidR="00957017" w:rsidRPr="001A28D2">
        <w:rPr>
          <w:bCs/>
        </w:rPr>
        <w:t xml:space="preserve"> </w:t>
      </w:r>
    </w:p>
    <w:p w14:paraId="1583463B" w14:textId="77777777" w:rsidR="007666C7" w:rsidRPr="001A28D2" w:rsidRDefault="007666C7" w:rsidP="007E77CC">
      <w:pPr>
        <w:ind w:firstLine="709"/>
        <w:jc w:val="both"/>
        <w:textAlignment w:val="center"/>
        <w:rPr>
          <w:bCs/>
        </w:rPr>
      </w:pPr>
      <w:r w:rsidRPr="001A28D2">
        <w:rPr>
          <w:bCs/>
        </w:rPr>
        <w:t>Максималният размер на държавния дълг</w:t>
      </w:r>
      <w:r w:rsidR="009B37F0" w:rsidRPr="001A28D2">
        <w:rPr>
          <w:rStyle w:val="FootnoteReference"/>
          <w:bCs/>
        </w:rPr>
        <w:footnoteReference w:id="102"/>
      </w:r>
      <w:r w:rsidRPr="001A28D2">
        <w:rPr>
          <w:bCs/>
        </w:rPr>
        <w:t xml:space="preserve"> към края на 2016 г. не може да надвишава 26,6</w:t>
      </w:r>
      <w:r w:rsidR="001B61D7" w:rsidRPr="001A28D2">
        <w:rPr>
          <w:bCs/>
        </w:rPr>
        <w:t> </w:t>
      </w:r>
      <w:r w:rsidRPr="001A28D2">
        <w:rPr>
          <w:bCs/>
        </w:rPr>
        <w:t>млрд.</w:t>
      </w:r>
      <w:r w:rsidR="001B61D7" w:rsidRPr="001A28D2">
        <w:rPr>
          <w:bCs/>
        </w:rPr>
        <w:t> </w:t>
      </w:r>
      <w:r w:rsidRPr="001A28D2">
        <w:rPr>
          <w:bCs/>
        </w:rPr>
        <w:t>лв.</w:t>
      </w:r>
      <w:r w:rsidR="00995B87" w:rsidRPr="001A28D2">
        <w:rPr>
          <w:bCs/>
        </w:rPr>
        <w:t>, като размерът е определен в чл.</w:t>
      </w:r>
      <w:r w:rsidR="000849DC" w:rsidRPr="001A28D2">
        <w:rPr>
          <w:bCs/>
        </w:rPr>
        <w:t> </w:t>
      </w:r>
      <w:r w:rsidR="00995B87" w:rsidRPr="001A28D2">
        <w:rPr>
          <w:bCs/>
        </w:rPr>
        <w:t>65 от ЗДБРБ 2016</w:t>
      </w:r>
      <w:r w:rsidR="000849DC" w:rsidRPr="001A28D2">
        <w:rPr>
          <w:bCs/>
        </w:rPr>
        <w:t> </w:t>
      </w:r>
      <w:r w:rsidR="00995B87" w:rsidRPr="001A28D2">
        <w:rPr>
          <w:bCs/>
        </w:rPr>
        <w:t>г.</w:t>
      </w:r>
    </w:p>
    <w:p w14:paraId="682A0C77" w14:textId="77777777" w:rsidR="007666C7" w:rsidRPr="001A28D2" w:rsidRDefault="007666C7" w:rsidP="007E77CC">
      <w:pPr>
        <w:ind w:firstLine="709"/>
        <w:jc w:val="both"/>
        <w:textAlignment w:val="center"/>
      </w:pPr>
      <w:r w:rsidRPr="001A28D2">
        <w:rPr>
          <w:bCs/>
        </w:rPr>
        <w:t>Дадена е възможност за о</w:t>
      </w:r>
      <w:r w:rsidRPr="001A28D2">
        <w:t xml:space="preserve">пределяне със </w:t>
      </w:r>
      <w:r w:rsidR="000849DC" w:rsidRPr="001A28D2">
        <w:t>З</w:t>
      </w:r>
      <w:r w:rsidRPr="001A28D2">
        <w:t>акона за държавния бюджет за съответната година ограничения за максималния размер на дълга на подсектор „Централно управление“</w:t>
      </w:r>
      <w:r w:rsidR="00882778" w:rsidRPr="001A28D2">
        <w:rPr>
          <w:rStyle w:val="FootnoteReference"/>
        </w:rPr>
        <w:footnoteReference w:id="103"/>
      </w:r>
      <w:r w:rsidRPr="001A28D2">
        <w:t>. Не са определяни такива ограничения.</w:t>
      </w:r>
    </w:p>
    <w:p w14:paraId="302D1290" w14:textId="77777777" w:rsidR="001B61D7" w:rsidRPr="001A28D2" w:rsidRDefault="001B61D7" w:rsidP="007E77CC">
      <w:pPr>
        <w:ind w:firstLine="709"/>
        <w:jc w:val="both"/>
        <w:textAlignment w:val="center"/>
        <w:rPr>
          <w:bCs/>
          <w:i/>
        </w:rPr>
      </w:pPr>
    </w:p>
    <w:p w14:paraId="4C2DF647" w14:textId="77777777" w:rsidR="007666C7" w:rsidRPr="001A28D2" w:rsidRDefault="009B37F0" w:rsidP="007E77CC">
      <w:pPr>
        <w:ind w:firstLine="709"/>
        <w:jc w:val="both"/>
        <w:textAlignment w:val="center"/>
        <w:rPr>
          <w:bCs/>
          <w:i/>
        </w:rPr>
      </w:pPr>
      <w:r w:rsidRPr="001A28D2">
        <w:rPr>
          <w:bCs/>
          <w:i/>
        </w:rPr>
        <w:t>С</w:t>
      </w:r>
      <w:r w:rsidR="00BD4E7C" w:rsidRPr="001A28D2">
        <w:rPr>
          <w:bCs/>
          <w:i/>
        </w:rPr>
        <w:t>ъс ЗДБРБ за 2016</w:t>
      </w:r>
      <w:r w:rsidRPr="001A28D2">
        <w:rPr>
          <w:bCs/>
          <w:i/>
        </w:rPr>
        <w:t> </w:t>
      </w:r>
      <w:r w:rsidR="00BD4E7C" w:rsidRPr="001A28D2">
        <w:rPr>
          <w:bCs/>
          <w:i/>
        </w:rPr>
        <w:t xml:space="preserve">г. </w:t>
      </w:r>
      <w:r w:rsidR="002845B2" w:rsidRPr="001A28D2">
        <w:rPr>
          <w:bCs/>
          <w:i/>
        </w:rPr>
        <w:t xml:space="preserve">са определени </w:t>
      </w:r>
      <w:r w:rsidRPr="001A28D2">
        <w:rPr>
          <w:bCs/>
          <w:i/>
        </w:rPr>
        <w:t>ограничения за максималните размери</w:t>
      </w:r>
      <w:r w:rsidR="00416876" w:rsidRPr="001A28D2">
        <w:rPr>
          <w:bCs/>
          <w:i/>
        </w:rPr>
        <w:t xml:space="preserve"> на </w:t>
      </w:r>
      <w:r w:rsidR="00416876" w:rsidRPr="001A28D2">
        <w:rPr>
          <w:i/>
        </w:rPr>
        <w:t>новия държавен дълг, новите държавни гаранции</w:t>
      </w:r>
      <w:r w:rsidR="00957017" w:rsidRPr="001A28D2">
        <w:rPr>
          <w:i/>
        </w:rPr>
        <w:t>, които могат да бъдат поети през годината</w:t>
      </w:r>
      <w:r w:rsidR="00416876" w:rsidRPr="001A28D2">
        <w:rPr>
          <w:i/>
        </w:rPr>
        <w:t xml:space="preserve"> и държавния дълг към края на годината</w:t>
      </w:r>
      <w:r w:rsidRPr="001A28D2">
        <w:rPr>
          <w:bCs/>
          <w:i/>
        </w:rPr>
        <w:t>, с което са изпълнени разпоредбите на чл. 37</w:t>
      </w:r>
      <w:r w:rsidR="00953659" w:rsidRPr="001A28D2">
        <w:rPr>
          <w:bCs/>
          <w:i/>
        </w:rPr>
        <w:t>, ал. 1, т. 2</w:t>
      </w:r>
      <w:r w:rsidRPr="001A28D2">
        <w:rPr>
          <w:bCs/>
          <w:i/>
        </w:rPr>
        <w:t xml:space="preserve"> от ЗПФ.</w:t>
      </w:r>
    </w:p>
    <w:p w14:paraId="1A4DE513" w14:textId="77777777" w:rsidR="00416876" w:rsidRPr="001A28D2" w:rsidRDefault="00416876" w:rsidP="007E77CC">
      <w:pPr>
        <w:widowControl w:val="0"/>
        <w:autoSpaceDE w:val="0"/>
        <w:autoSpaceDN w:val="0"/>
        <w:adjustRightInd w:val="0"/>
        <w:ind w:left="34" w:firstLine="709"/>
        <w:contextualSpacing/>
        <w:jc w:val="both"/>
        <w:rPr>
          <w:bCs/>
          <w:color w:val="000000"/>
        </w:rPr>
      </w:pPr>
    </w:p>
    <w:p w14:paraId="3959D73B" w14:textId="77777777" w:rsidR="009F23F9" w:rsidRPr="001A28D2" w:rsidRDefault="00B56699" w:rsidP="001B61D7">
      <w:pPr>
        <w:pStyle w:val="ListParagraph"/>
        <w:widowControl w:val="0"/>
        <w:numPr>
          <w:ilvl w:val="1"/>
          <w:numId w:val="29"/>
        </w:numPr>
        <w:tabs>
          <w:tab w:val="left" w:pos="1276"/>
        </w:tabs>
        <w:autoSpaceDE w:val="0"/>
        <w:autoSpaceDN w:val="0"/>
        <w:adjustRightInd w:val="0"/>
        <w:ind w:left="0" w:firstLine="709"/>
        <w:jc w:val="both"/>
        <w:rPr>
          <w:rFonts w:ascii="Times New Roman" w:hAnsi="Times New Roman" w:cs="Times New Roman"/>
          <w:b/>
          <w:i/>
          <w:color w:val="000000"/>
          <w:lang w:val="bg-BG"/>
        </w:rPr>
      </w:pPr>
      <w:r w:rsidRPr="001A28D2">
        <w:rPr>
          <w:rFonts w:ascii="Times New Roman" w:hAnsi="Times New Roman" w:cs="Times New Roman"/>
          <w:lang w:val="bg-BG"/>
        </w:rPr>
        <w:t>Ежегодно, с годишния закон за държавния бюджет се определя минималното ниво на фискалния резерв към края на годината.</w:t>
      </w:r>
      <w:r w:rsidRPr="001A28D2">
        <w:rPr>
          <w:rFonts w:ascii="Times New Roman" w:eastAsia="Calibri" w:hAnsi="Times New Roman" w:cs="Times New Roman"/>
          <w:vertAlign w:val="superscript"/>
          <w:lang w:val="bg-BG"/>
        </w:rPr>
        <w:footnoteReference w:id="104"/>
      </w:r>
      <w:r w:rsidRPr="001A28D2">
        <w:rPr>
          <w:rFonts w:ascii="Times New Roman" w:hAnsi="Times New Roman" w:cs="Times New Roman"/>
          <w:lang w:val="bg-BG"/>
        </w:rPr>
        <w:t xml:space="preserve"> В изпълнение на тази разпоредба, </w:t>
      </w:r>
      <w:r w:rsidRPr="001A28D2">
        <w:rPr>
          <w:rFonts w:ascii="Times New Roman" w:hAnsi="Times New Roman" w:cs="Times New Roman"/>
          <w:color w:val="000000"/>
          <w:lang w:val="bg-BG"/>
        </w:rPr>
        <w:t>чл.</w:t>
      </w:r>
      <w:r w:rsidR="00CD748F" w:rsidRPr="001A28D2">
        <w:rPr>
          <w:rFonts w:ascii="Times New Roman" w:hAnsi="Times New Roman" w:cs="Times New Roman"/>
          <w:color w:val="000000"/>
          <w:lang w:val="bg-BG"/>
        </w:rPr>
        <w:t> </w:t>
      </w:r>
      <w:r w:rsidRPr="001A28D2">
        <w:rPr>
          <w:rFonts w:ascii="Times New Roman" w:hAnsi="Times New Roman" w:cs="Times New Roman"/>
          <w:color w:val="000000"/>
          <w:lang w:val="bg-BG"/>
        </w:rPr>
        <w:t xml:space="preserve">64 от </w:t>
      </w:r>
      <w:r w:rsidRPr="001A28D2">
        <w:rPr>
          <w:rFonts w:ascii="Times New Roman" w:hAnsi="Times New Roman" w:cs="Times New Roman"/>
          <w:lang w:val="bg-BG"/>
        </w:rPr>
        <w:t>ЗДБРБ за 2016 г., минималният размер на фискалния резерв към</w:t>
      </w:r>
      <w:r w:rsidR="00CD748F" w:rsidRPr="001A28D2">
        <w:rPr>
          <w:rFonts w:ascii="Times New Roman" w:hAnsi="Times New Roman" w:cs="Times New Roman"/>
          <w:lang w:val="bg-BG"/>
        </w:rPr>
        <w:t xml:space="preserve"> 31 декември е определен на 4,5 </w:t>
      </w:r>
      <w:r w:rsidRPr="001A28D2">
        <w:rPr>
          <w:rFonts w:ascii="Times New Roman" w:hAnsi="Times New Roman" w:cs="Times New Roman"/>
          <w:lang w:val="bg-BG"/>
        </w:rPr>
        <w:t>млрд.</w:t>
      </w:r>
      <w:r w:rsidR="00CD748F" w:rsidRPr="001A28D2">
        <w:rPr>
          <w:rFonts w:ascii="Times New Roman" w:hAnsi="Times New Roman" w:cs="Times New Roman"/>
          <w:lang w:val="bg-BG"/>
        </w:rPr>
        <w:t> </w:t>
      </w:r>
      <w:r w:rsidRPr="001A28D2">
        <w:rPr>
          <w:rFonts w:ascii="Times New Roman" w:hAnsi="Times New Roman" w:cs="Times New Roman"/>
          <w:lang w:val="bg-BG"/>
        </w:rPr>
        <w:t xml:space="preserve">лв. </w:t>
      </w:r>
    </w:p>
    <w:p w14:paraId="46A2B74B" w14:textId="1A0E4D46" w:rsidR="00AB4C64" w:rsidRPr="001A28D2" w:rsidRDefault="00B56699" w:rsidP="007E77CC">
      <w:pPr>
        <w:widowControl w:val="0"/>
        <w:autoSpaceDE w:val="0"/>
        <w:autoSpaceDN w:val="0"/>
        <w:adjustRightInd w:val="0"/>
        <w:ind w:firstLine="709"/>
        <w:contextualSpacing/>
        <w:jc w:val="both"/>
      </w:pPr>
      <w:r w:rsidRPr="001A28D2">
        <w:t xml:space="preserve">Фискалният резерв включва салдата по всички банкови сметки на бюджетните организации без тези на общините и техните разпоредители с бюджет; активите на Държавния фонд за гарантиране устойчивост на държавната пенсионна система; вземания от фондове на </w:t>
      </w:r>
      <w:r w:rsidR="00727B69" w:rsidRPr="001A28D2">
        <w:t>ЕС</w:t>
      </w:r>
      <w:r w:rsidRPr="001A28D2">
        <w:t xml:space="preserve"> за сертифицирани разходи, аванси и др. По-голяма част от фискалния резерв на </w:t>
      </w:r>
      <w:proofErr w:type="spellStart"/>
      <w:r w:rsidRPr="001A28D2">
        <w:t>РБългария</w:t>
      </w:r>
      <w:proofErr w:type="spellEnd"/>
      <w:r w:rsidRPr="001A28D2">
        <w:t xml:space="preserve"> е под формата на депозити в </w:t>
      </w:r>
      <w:hyperlink r:id="rId17" w:tooltip="БНБ" w:history="1">
        <w:r w:rsidRPr="001A28D2">
          <w:t>БНБ</w:t>
        </w:r>
      </w:hyperlink>
      <w:r w:rsidRPr="001A28D2">
        <w:t xml:space="preserve">, а останалата - в търговски банки. В банките са открити депозитни сметки на Националния фонд от средствата по предприсъединителните инструменти, вкл. и от националното </w:t>
      </w:r>
      <w:proofErr w:type="spellStart"/>
      <w:r w:rsidRPr="001A28D2">
        <w:t>съфинансиране</w:t>
      </w:r>
      <w:proofErr w:type="spellEnd"/>
      <w:r w:rsidRPr="001A28D2">
        <w:t xml:space="preserve">. </w:t>
      </w:r>
    </w:p>
    <w:p w14:paraId="6B5E8F4F" w14:textId="77777777" w:rsidR="004056B7" w:rsidRPr="001A28D2" w:rsidRDefault="004056B7" w:rsidP="00B56699">
      <w:pPr>
        <w:widowControl w:val="0"/>
        <w:autoSpaceDE w:val="0"/>
        <w:autoSpaceDN w:val="0"/>
        <w:adjustRightInd w:val="0"/>
        <w:ind w:firstLine="1134"/>
        <w:contextualSpacing/>
        <w:jc w:val="both"/>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158"/>
        <w:gridCol w:w="851"/>
        <w:gridCol w:w="850"/>
        <w:gridCol w:w="851"/>
        <w:gridCol w:w="850"/>
        <w:gridCol w:w="851"/>
      </w:tblGrid>
      <w:tr w:rsidR="004056B7" w:rsidRPr="001A28D2" w14:paraId="2C17B5E6" w14:textId="77777777" w:rsidTr="004F07B8">
        <w:trPr>
          <w:jc w:val="center"/>
        </w:trPr>
        <w:tc>
          <w:tcPr>
            <w:tcW w:w="688" w:type="dxa"/>
            <w:vMerge w:val="restart"/>
            <w:shd w:val="clear" w:color="auto" w:fill="9CC2E5"/>
            <w:vAlign w:val="center"/>
          </w:tcPr>
          <w:p w14:paraId="25ACCC73" w14:textId="77777777" w:rsidR="004056B7" w:rsidRPr="001A28D2" w:rsidRDefault="004056B7" w:rsidP="004F07B8">
            <w:pPr>
              <w:autoSpaceDE w:val="0"/>
              <w:autoSpaceDN w:val="0"/>
              <w:adjustRightInd w:val="0"/>
              <w:jc w:val="center"/>
              <w:rPr>
                <w:rFonts w:eastAsia="Calibri"/>
                <w:sz w:val="20"/>
                <w:szCs w:val="20"/>
              </w:rPr>
            </w:pPr>
            <w:r w:rsidRPr="001A28D2">
              <w:rPr>
                <w:rFonts w:eastAsia="Calibri"/>
                <w:b/>
                <w:sz w:val="20"/>
                <w:szCs w:val="20"/>
              </w:rPr>
              <w:t>№</w:t>
            </w:r>
          </w:p>
        </w:tc>
        <w:tc>
          <w:tcPr>
            <w:tcW w:w="4158" w:type="dxa"/>
            <w:vMerge w:val="restart"/>
            <w:shd w:val="clear" w:color="auto" w:fill="9CC2E5"/>
            <w:vAlign w:val="center"/>
          </w:tcPr>
          <w:p w14:paraId="712C3044"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
                <w:bCs/>
                <w:sz w:val="20"/>
                <w:szCs w:val="20"/>
              </w:rPr>
              <w:t>Текущи сметки и срочни депозити</w:t>
            </w:r>
          </w:p>
        </w:tc>
        <w:tc>
          <w:tcPr>
            <w:tcW w:w="4253" w:type="dxa"/>
            <w:gridSpan w:val="5"/>
            <w:shd w:val="clear" w:color="auto" w:fill="9CC2E5"/>
            <w:vAlign w:val="center"/>
          </w:tcPr>
          <w:p w14:paraId="47448E66"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
                <w:bCs/>
                <w:sz w:val="20"/>
                <w:szCs w:val="20"/>
              </w:rPr>
              <w:t>Салда по сметки в млрд. лв. към:</w:t>
            </w:r>
          </w:p>
        </w:tc>
      </w:tr>
      <w:tr w:rsidR="004056B7" w:rsidRPr="001A28D2" w14:paraId="61105C87" w14:textId="77777777" w:rsidTr="004F07B8">
        <w:trPr>
          <w:jc w:val="center"/>
        </w:trPr>
        <w:tc>
          <w:tcPr>
            <w:tcW w:w="688" w:type="dxa"/>
            <w:vMerge/>
            <w:shd w:val="clear" w:color="auto" w:fill="9CC2E5"/>
            <w:vAlign w:val="center"/>
          </w:tcPr>
          <w:p w14:paraId="24AA000A" w14:textId="77777777" w:rsidR="004056B7" w:rsidRPr="001A28D2" w:rsidRDefault="004056B7" w:rsidP="004F07B8">
            <w:pPr>
              <w:autoSpaceDE w:val="0"/>
              <w:autoSpaceDN w:val="0"/>
              <w:adjustRightInd w:val="0"/>
              <w:jc w:val="center"/>
              <w:rPr>
                <w:rFonts w:eastAsia="Calibri"/>
                <w:b/>
                <w:sz w:val="20"/>
                <w:szCs w:val="20"/>
              </w:rPr>
            </w:pPr>
          </w:p>
        </w:tc>
        <w:tc>
          <w:tcPr>
            <w:tcW w:w="4158" w:type="dxa"/>
            <w:vMerge/>
            <w:shd w:val="clear" w:color="auto" w:fill="9CC2E5"/>
            <w:vAlign w:val="center"/>
          </w:tcPr>
          <w:p w14:paraId="28D03E0D" w14:textId="77777777" w:rsidR="004056B7" w:rsidRPr="001A28D2" w:rsidRDefault="004056B7" w:rsidP="004F07B8">
            <w:pPr>
              <w:autoSpaceDE w:val="0"/>
              <w:autoSpaceDN w:val="0"/>
              <w:adjustRightInd w:val="0"/>
              <w:jc w:val="center"/>
              <w:rPr>
                <w:rFonts w:eastAsia="Calibri"/>
                <w:bCs/>
                <w:sz w:val="20"/>
                <w:szCs w:val="20"/>
              </w:rPr>
            </w:pPr>
          </w:p>
        </w:tc>
        <w:tc>
          <w:tcPr>
            <w:tcW w:w="851" w:type="dxa"/>
            <w:shd w:val="clear" w:color="auto" w:fill="9CC2E5"/>
          </w:tcPr>
          <w:p w14:paraId="57E937F6"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
                <w:bCs/>
                <w:sz w:val="20"/>
                <w:szCs w:val="20"/>
              </w:rPr>
              <w:t>31.12. 2015 г.</w:t>
            </w:r>
          </w:p>
        </w:tc>
        <w:tc>
          <w:tcPr>
            <w:tcW w:w="850" w:type="dxa"/>
            <w:shd w:val="clear" w:color="auto" w:fill="9CC2E5"/>
          </w:tcPr>
          <w:p w14:paraId="2914BDE6"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
                <w:bCs/>
                <w:sz w:val="20"/>
                <w:szCs w:val="20"/>
              </w:rPr>
              <w:t>30.03. 2016 г.</w:t>
            </w:r>
          </w:p>
        </w:tc>
        <w:tc>
          <w:tcPr>
            <w:tcW w:w="851" w:type="dxa"/>
            <w:shd w:val="clear" w:color="auto" w:fill="9CC2E5"/>
          </w:tcPr>
          <w:p w14:paraId="1BC5D8C1"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
                <w:bCs/>
                <w:sz w:val="20"/>
                <w:szCs w:val="20"/>
              </w:rPr>
              <w:t>30.06. 2016 г.</w:t>
            </w:r>
          </w:p>
        </w:tc>
        <w:tc>
          <w:tcPr>
            <w:tcW w:w="850" w:type="dxa"/>
            <w:shd w:val="clear" w:color="auto" w:fill="9CC2E5"/>
          </w:tcPr>
          <w:p w14:paraId="1019206F" w14:textId="77777777" w:rsidR="004056B7" w:rsidRPr="001A28D2" w:rsidRDefault="004056B7" w:rsidP="004F07B8">
            <w:pPr>
              <w:autoSpaceDE w:val="0"/>
              <w:autoSpaceDN w:val="0"/>
              <w:adjustRightInd w:val="0"/>
              <w:jc w:val="center"/>
              <w:rPr>
                <w:rFonts w:eastAsia="Calibri"/>
                <w:bCs/>
                <w:sz w:val="20"/>
                <w:szCs w:val="20"/>
                <w:highlight w:val="yellow"/>
              </w:rPr>
            </w:pPr>
            <w:r w:rsidRPr="001A28D2">
              <w:rPr>
                <w:rFonts w:eastAsia="Calibri"/>
                <w:b/>
                <w:bCs/>
                <w:sz w:val="20"/>
                <w:szCs w:val="20"/>
              </w:rPr>
              <w:t>30.09. 2016 г.</w:t>
            </w:r>
          </w:p>
        </w:tc>
        <w:tc>
          <w:tcPr>
            <w:tcW w:w="851" w:type="dxa"/>
            <w:shd w:val="clear" w:color="auto" w:fill="9CC2E5"/>
          </w:tcPr>
          <w:p w14:paraId="2EFDFE45"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
                <w:bCs/>
                <w:sz w:val="20"/>
                <w:szCs w:val="20"/>
              </w:rPr>
              <w:t>31.12. 2016 г.</w:t>
            </w:r>
          </w:p>
        </w:tc>
      </w:tr>
      <w:tr w:rsidR="004056B7" w:rsidRPr="001A28D2" w14:paraId="3E3AED89" w14:textId="77777777" w:rsidTr="004F07B8">
        <w:trPr>
          <w:jc w:val="center"/>
        </w:trPr>
        <w:tc>
          <w:tcPr>
            <w:tcW w:w="688" w:type="dxa"/>
            <w:shd w:val="clear" w:color="auto" w:fill="auto"/>
            <w:vAlign w:val="center"/>
          </w:tcPr>
          <w:p w14:paraId="4BBAA17A" w14:textId="77777777" w:rsidR="004056B7" w:rsidRPr="001A28D2" w:rsidRDefault="004056B7" w:rsidP="004F07B8">
            <w:pPr>
              <w:autoSpaceDE w:val="0"/>
              <w:autoSpaceDN w:val="0"/>
              <w:adjustRightInd w:val="0"/>
              <w:jc w:val="center"/>
              <w:rPr>
                <w:rFonts w:eastAsia="Calibri"/>
                <w:sz w:val="20"/>
                <w:szCs w:val="20"/>
              </w:rPr>
            </w:pPr>
            <w:r w:rsidRPr="001A28D2">
              <w:rPr>
                <w:rFonts w:eastAsia="Calibri"/>
                <w:sz w:val="20"/>
                <w:szCs w:val="20"/>
              </w:rPr>
              <w:t>1</w:t>
            </w:r>
          </w:p>
        </w:tc>
        <w:tc>
          <w:tcPr>
            <w:tcW w:w="4158" w:type="dxa"/>
            <w:shd w:val="clear" w:color="auto" w:fill="auto"/>
            <w:vAlign w:val="center"/>
          </w:tcPr>
          <w:p w14:paraId="51D19784"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Cs/>
                <w:sz w:val="20"/>
                <w:szCs w:val="20"/>
              </w:rPr>
              <w:t>2</w:t>
            </w:r>
          </w:p>
        </w:tc>
        <w:tc>
          <w:tcPr>
            <w:tcW w:w="851" w:type="dxa"/>
            <w:shd w:val="clear" w:color="auto" w:fill="auto"/>
            <w:vAlign w:val="center"/>
          </w:tcPr>
          <w:p w14:paraId="70AE86C1"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Cs/>
                <w:sz w:val="20"/>
                <w:szCs w:val="20"/>
              </w:rPr>
              <w:t>3</w:t>
            </w:r>
          </w:p>
        </w:tc>
        <w:tc>
          <w:tcPr>
            <w:tcW w:w="850" w:type="dxa"/>
          </w:tcPr>
          <w:p w14:paraId="72749837"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Cs/>
                <w:sz w:val="20"/>
                <w:szCs w:val="20"/>
              </w:rPr>
              <w:t>4</w:t>
            </w:r>
          </w:p>
        </w:tc>
        <w:tc>
          <w:tcPr>
            <w:tcW w:w="851" w:type="dxa"/>
          </w:tcPr>
          <w:p w14:paraId="7E006ACA"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Cs/>
                <w:sz w:val="20"/>
                <w:szCs w:val="20"/>
              </w:rPr>
              <w:t>5</w:t>
            </w:r>
          </w:p>
        </w:tc>
        <w:tc>
          <w:tcPr>
            <w:tcW w:w="850" w:type="dxa"/>
          </w:tcPr>
          <w:p w14:paraId="710DCE7A" w14:textId="77777777" w:rsidR="004056B7" w:rsidRPr="001A28D2" w:rsidRDefault="004056B7" w:rsidP="004F07B8">
            <w:pPr>
              <w:autoSpaceDE w:val="0"/>
              <w:autoSpaceDN w:val="0"/>
              <w:adjustRightInd w:val="0"/>
              <w:jc w:val="center"/>
              <w:rPr>
                <w:rFonts w:eastAsia="Calibri"/>
                <w:bCs/>
                <w:sz w:val="20"/>
                <w:szCs w:val="20"/>
                <w:highlight w:val="yellow"/>
              </w:rPr>
            </w:pPr>
            <w:r w:rsidRPr="001A28D2">
              <w:rPr>
                <w:rFonts w:eastAsia="Calibri"/>
                <w:bCs/>
                <w:sz w:val="20"/>
                <w:szCs w:val="20"/>
              </w:rPr>
              <w:t>6</w:t>
            </w:r>
          </w:p>
        </w:tc>
        <w:tc>
          <w:tcPr>
            <w:tcW w:w="851" w:type="dxa"/>
            <w:shd w:val="clear" w:color="auto" w:fill="auto"/>
          </w:tcPr>
          <w:p w14:paraId="39B70B57" w14:textId="77777777" w:rsidR="004056B7" w:rsidRPr="001A28D2" w:rsidRDefault="004056B7" w:rsidP="004F07B8">
            <w:pPr>
              <w:autoSpaceDE w:val="0"/>
              <w:autoSpaceDN w:val="0"/>
              <w:adjustRightInd w:val="0"/>
              <w:jc w:val="center"/>
              <w:rPr>
                <w:rFonts w:eastAsia="Calibri"/>
                <w:bCs/>
                <w:sz w:val="20"/>
                <w:szCs w:val="20"/>
              </w:rPr>
            </w:pPr>
            <w:r w:rsidRPr="001A28D2">
              <w:rPr>
                <w:rFonts w:eastAsia="Calibri"/>
                <w:bCs/>
                <w:sz w:val="20"/>
                <w:szCs w:val="20"/>
              </w:rPr>
              <w:t>7</w:t>
            </w:r>
          </w:p>
        </w:tc>
      </w:tr>
      <w:tr w:rsidR="004056B7" w:rsidRPr="001A28D2" w14:paraId="25E07B1B" w14:textId="77777777" w:rsidTr="004F07B8">
        <w:trPr>
          <w:jc w:val="center"/>
        </w:trPr>
        <w:tc>
          <w:tcPr>
            <w:tcW w:w="688" w:type="dxa"/>
            <w:shd w:val="clear" w:color="auto" w:fill="D9E2F3"/>
          </w:tcPr>
          <w:p w14:paraId="75B76DF1" w14:textId="77777777" w:rsidR="004056B7" w:rsidRPr="001A28D2" w:rsidRDefault="004056B7" w:rsidP="004F07B8">
            <w:pPr>
              <w:autoSpaceDE w:val="0"/>
              <w:autoSpaceDN w:val="0"/>
              <w:adjustRightInd w:val="0"/>
              <w:jc w:val="center"/>
              <w:rPr>
                <w:rFonts w:eastAsia="Calibri"/>
                <w:b/>
                <w:sz w:val="20"/>
                <w:szCs w:val="20"/>
              </w:rPr>
            </w:pPr>
            <w:r w:rsidRPr="001A28D2">
              <w:rPr>
                <w:rFonts w:eastAsia="Calibri"/>
                <w:b/>
                <w:sz w:val="20"/>
                <w:szCs w:val="20"/>
              </w:rPr>
              <w:t>1</w:t>
            </w:r>
          </w:p>
        </w:tc>
        <w:tc>
          <w:tcPr>
            <w:tcW w:w="4158" w:type="dxa"/>
            <w:shd w:val="clear" w:color="auto" w:fill="D9E2F3"/>
          </w:tcPr>
          <w:p w14:paraId="1901BA34" w14:textId="77777777" w:rsidR="004056B7" w:rsidRPr="001A28D2" w:rsidRDefault="004056B7" w:rsidP="004F07B8">
            <w:pPr>
              <w:autoSpaceDE w:val="0"/>
              <w:autoSpaceDN w:val="0"/>
              <w:adjustRightInd w:val="0"/>
              <w:rPr>
                <w:rFonts w:eastAsia="Calibri"/>
                <w:b/>
                <w:bCs/>
                <w:sz w:val="20"/>
                <w:szCs w:val="20"/>
              </w:rPr>
            </w:pPr>
            <w:r w:rsidRPr="001A28D2">
              <w:rPr>
                <w:rFonts w:eastAsia="Calibri"/>
                <w:b/>
                <w:bCs/>
                <w:sz w:val="20"/>
                <w:szCs w:val="20"/>
              </w:rPr>
              <w:t>Средства по левови сметки</w:t>
            </w:r>
          </w:p>
        </w:tc>
        <w:tc>
          <w:tcPr>
            <w:tcW w:w="851" w:type="dxa"/>
            <w:shd w:val="clear" w:color="auto" w:fill="D9E2F3"/>
          </w:tcPr>
          <w:p w14:paraId="725115E9"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sz w:val="20"/>
                <w:szCs w:val="20"/>
              </w:rPr>
              <w:t>4,20</w:t>
            </w:r>
          </w:p>
        </w:tc>
        <w:tc>
          <w:tcPr>
            <w:tcW w:w="850" w:type="dxa"/>
            <w:shd w:val="clear" w:color="auto" w:fill="D9E2F3"/>
          </w:tcPr>
          <w:p w14:paraId="2BC26E40"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5,41</w:t>
            </w:r>
          </w:p>
        </w:tc>
        <w:tc>
          <w:tcPr>
            <w:tcW w:w="851" w:type="dxa"/>
            <w:shd w:val="clear" w:color="auto" w:fill="D9E2F3"/>
          </w:tcPr>
          <w:p w14:paraId="5D0C6896" w14:textId="77777777" w:rsidR="004056B7" w:rsidRPr="001A28D2" w:rsidRDefault="004056B7" w:rsidP="004F07B8">
            <w:pPr>
              <w:autoSpaceDE w:val="0"/>
              <w:autoSpaceDN w:val="0"/>
              <w:adjustRightInd w:val="0"/>
              <w:ind w:right="-80"/>
              <w:jc w:val="right"/>
              <w:rPr>
                <w:b/>
                <w:color w:val="000000"/>
                <w:sz w:val="20"/>
                <w:szCs w:val="20"/>
              </w:rPr>
            </w:pPr>
            <w:r w:rsidRPr="001A28D2">
              <w:rPr>
                <w:b/>
                <w:color w:val="000000"/>
                <w:sz w:val="20"/>
                <w:szCs w:val="20"/>
              </w:rPr>
              <w:t>6,84</w:t>
            </w:r>
          </w:p>
        </w:tc>
        <w:tc>
          <w:tcPr>
            <w:tcW w:w="850" w:type="dxa"/>
            <w:shd w:val="clear" w:color="auto" w:fill="D9E2F3"/>
          </w:tcPr>
          <w:p w14:paraId="40152C71"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7,02</w:t>
            </w:r>
          </w:p>
        </w:tc>
        <w:tc>
          <w:tcPr>
            <w:tcW w:w="851" w:type="dxa"/>
            <w:shd w:val="clear" w:color="auto" w:fill="D9E2F3"/>
          </w:tcPr>
          <w:p w14:paraId="0756BEC0"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bCs/>
                <w:sz w:val="20"/>
                <w:szCs w:val="20"/>
              </w:rPr>
              <w:t>6,21</w:t>
            </w:r>
          </w:p>
        </w:tc>
      </w:tr>
      <w:tr w:rsidR="004056B7" w:rsidRPr="001A28D2" w14:paraId="30CE18C3" w14:textId="77777777" w:rsidTr="004F07B8">
        <w:trPr>
          <w:jc w:val="center"/>
        </w:trPr>
        <w:tc>
          <w:tcPr>
            <w:tcW w:w="688" w:type="dxa"/>
            <w:shd w:val="clear" w:color="auto" w:fill="auto"/>
          </w:tcPr>
          <w:p w14:paraId="2FDF8CDB" w14:textId="77777777" w:rsidR="004056B7" w:rsidRPr="001A28D2" w:rsidRDefault="004056B7" w:rsidP="004F07B8">
            <w:pPr>
              <w:autoSpaceDE w:val="0"/>
              <w:autoSpaceDN w:val="0"/>
              <w:adjustRightInd w:val="0"/>
              <w:jc w:val="center"/>
              <w:rPr>
                <w:rFonts w:eastAsia="Calibri"/>
                <w:sz w:val="20"/>
                <w:szCs w:val="20"/>
              </w:rPr>
            </w:pPr>
            <w:r w:rsidRPr="001A28D2">
              <w:rPr>
                <w:rFonts w:eastAsia="Calibri"/>
                <w:sz w:val="20"/>
                <w:szCs w:val="20"/>
              </w:rPr>
              <w:t>1.</w:t>
            </w:r>
            <w:proofErr w:type="spellStart"/>
            <w:r w:rsidRPr="001A28D2">
              <w:rPr>
                <w:rFonts w:eastAsia="Calibri"/>
                <w:sz w:val="20"/>
                <w:szCs w:val="20"/>
              </w:rPr>
              <w:t>1</w:t>
            </w:r>
            <w:proofErr w:type="spellEnd"/>
            <w:r w:rsidRPr="001A28D2">
              <w:rPr>
                <w:rFonts w:eastAsia="Calibri"/>
                <w:sz w:val="20"/>
                <w:szCs w:val="20"/>
              </w:rPr>
              <w:t>.</w:t>
            </w:r>
          </w:p>
        </w:tc>
        <w:tc>
          <w:tcPr>
            <w:tcW w:w="4158" w:type="dxa"/>
            <w:shd w:val="clear" w:color="auto" w:fill="auto"/>
          </w:tcPr>
          <w:p w14:paraId="2E2B836E" w14:textId="77777777" w:rsidR="004056B7" w:rsidRPr="001A28D2" w:rsidRDefault="004056B7" w:rsidP="004F07B8">
            <w:pPr>
              <w:autoSpaceDE w:val="0"/>
              <w:autoSpaceDN w:val="0"/>
              <w:adjustRightInd w:val="0"/>
              <w:rPr>
                <w:rFonts w:eastAsia="Calibri"/>
                <w:sz w:val="20"/>
                <w:szCs w:val="20"/>
              </w:rPr>
            </w:pPr>
            <w:r w:rsidRPr="001A28D2">
              <w:rPr>
                <w:rFonts w:eastAsia="Calibri"/>
                <w:bCs/>
                <w:sz w:val="20"/>
                <w:szCs w:val="20"/>
              </w:rPr>
              <w:t>Текущи левови сметки</w:t>
            </w:r>
          </w:p>
        </w:tc>
        <w:tc>
          <w:tcPr>
            <w:tcW w:w="851" w:type="dxa"/>
            <w:shd w:val="clear" w:color="auto" w:fill="auto"/>
          </w:tcPr>
          <w:p w14:paraId="565DCC94"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1,66</w:t>
            </w:r>
          </w:p>
        </w:tc>
        <w:tc>
          <w:tcPr>
            <w:tcW w:w="850" w:type="dxa"/>
          </w:tcPr>
          <w:p w14:paraId="677E3DC1"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1,78</w:t>
            </w:r>
          </w:p>
        </w:tc>
        <w:tc>
          <w:tcPr>
            <w:tcW w:w="851" w:type="dxa"/>
          </w:tcPr>
          <w:p w14:paraId="7113F5D8"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2,10</w:t>
            </w:r>
          </w:p>
        </w:tc>
        <w:tc>
          <w:tcPr>
            <w:tcW w:w="850" w:type="dxa"/>
          </w:tcPr>
          <w:p w14:paraId="25CB4C6B"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2,28</w:t>
            </w:r>
          </w:p>
        </w:tc>
        <w:tc>
          <w:tcPr>
            <w:tcW w:w="851" w:type="dxa"/>
            <w:shd w:val="clear" w:color="auto" w:fill="auto"/>
          </w:tcPr>
          <w:p w14:paraId="033F5C8C"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bCs/>
                <w:sz w:val="20"/>
                <w:szCs w:val="20"/>
              </w:rPr>
              <w:t>1,25</w:t>
            </w:r>
          </w:p>
        </w:tc>
      </w:tr>
      <w:tr w:rsidR="004056B7" w:rsidRPr="001A28D2" w14:paraId="7A71BD27" w14:textId="77777777" w:rsidTr="004F07B8">
        <w:trPr>
          <w:jc w:val="center"/>
        </w:trPr>
        <w:tc>
          <w:tcPr>
            <w:tcW w:w="688" w:type="dxa"/>
            <w:shd w:val="clear" w:color="auto" w:fill="auto"/>
          </w:tcPr>
          <w:p w14:paraId="6D98C9A1" w14:textId="77777777" w:rsidR="004056B7" w:rsidRPr="001A28D2" w:rsidRDefault="004056B7" w:rsidP="004F07B8">
            <w:pPr>
              <w:autoSpaceDE w:val="0"/>
              <w:autoSpaceDN w:val="0"/>
              <w:adjustRightInd w:val="0"/>
              <w:jc w:val="center"/>
              <w:rPr>
                <w:rFonts w:eastAsia="Calibri"/>
                <w:sz w:val="20"/>
                <w:szCs w:val="20"/>
              </w:rPr>
            </w:pPr>
            <w:r w:rsidRPr="001A28D2">
              <w:rPr>
                <w:rFonts w:eastAsia="Calibri"/>
                <w:sz w:val="20"/>
                <w:szCs w:val="20"/>
              </w:rPr>
              <w:t>1.2.</w:t>
            </w:r>
          </w:p>
        </w:tc>
        <w:tc>
          <w:tcPr>
            <w:tcW w:w="4158" w:type="dxa"/>
            <w:shd w:val="clear" w:color="auto" w:fill="auto"/>
          </w:tcPr>
          <w:p w14:paraId="197C1FB3" w14:textId="77777777" w:rsidR="004056B7" w:rsidRPr="001A28D2" w:rsidRDefault="004056B7" w:rsidP="004F07B8">
            <w:pPr>
              <w:autoSpaceDE w:val="0"/>
              <w:autoSpaceDN w:val="0"/>
              <w:adjustRightInd w:val="0"/>
              <w:rPr>
                <w:rFonts w:eastAsia="Calibri"/>
                <w:sz w:val="20"/>
                <w:szCs w:val="20"/>
              </w:rPr>
            </w:pPr>
            <w:r w:rsidRPr="001A28D2">
              <w:rPr>
                <w:rFonts w:eastAsia="Calibri"/>
                <w:bCs/>
                <w:sz w:val="20"/>
                <w:szCs w:val="20"/>
              </w:rPr>
              <w:t>Салдо по левов срочен депозит</w:t>
            </w:r>
          </w:p>
        </w:tc>
        <w:tc>
          <w:tcPr>
            <w:tcW w:w="851" w:type="dxa"/>
            <w:shd w:val="clear" w:color="auto" w:fill="auto"/>
          </w:tcPr>
          <w:p w14:paraId="49D8D365"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2,53</w:t>
            </w:r>
          </w:p>
        </w:tc>
        <w:tc>
          <w:tcPr>
            <w:tcW w:w="850" w:type="dxa"/>
          </w:tcPr>
          <w:p w14:paraId="1E329A77"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3,63</w:t>
            </w:r>
          </w:p>
        </w:tc>
        <w:tc>
          <w:tcPr>
            <w:tcW w:w="851" w:type="dxa"/>
          </w:tcPr>
          <w:p w14:paraId="165C99BB"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4,74</w:t>
            </w:r>
          </w:p>
        </w:tc>
        <w:tc>
          <w:tcPr>
            <w:tcW w:w="850" w:type="dxa"/>
          </w:tcPr>
          <w:p w14:paraId="79824DE2"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4,74</w:t>
            </w:r>
          </w:p>
        </w:tc>
        <w:tc>
          <w:tcPr>
            <w:tcW w:w="851" w:type="dxa"/>
            <w:shd w:val="clear" w:color="auto" w:fill="auto"/>
          </w:tcPr>
          <w:p w14:paraId="16F2C4B9"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bCs/>
                <w:sz w:val="20"/>
                <w:szCs w:val="20"/>
              </w:rPr>
              <w:t>4,96</w:t>
            </w:r>
          </w:p>
        </w:tc>
      </w:tr>
      <w:tr w:rsidR="004056B7" w:rsidRPr="001A28D2" w14:paraId="456058E0" w14:textId="77777777" w:rsidTr="004F07B8">
        <w:trPr>
          <w:jc w:val="center"/>
        </w:trPr>
        <w:tc>
          <w:tcPr>
            <w:tcW w:w="688" w:type="dxa"/>
            <w:shd w:val="clear" w:color="auto" w:fill="auto"/>
          </w:tcPr>
          <w:p w14:paraId="78727A19" w14:textId="77777777" w:rsidR="004056B7" w:rsidRPr="001A28D2" w:rsidRDefault="004056B7" w:rsidP="004F07B8">
            <w:pPr>
              <w:autoSpaceDE w:val="0"/>
              <w:autoSpaceDN w:val="0"/>
              <w:adjustRightInd w:val="0"/>
              <w:jc w:val="center"/>
              <w:rPr>
                <w:rFonts w:eastAsia="Calibri"/>
                <w:b/>
                <w:sz w:val="20"/>
                <w:szCs w:val="20"/>
              </w:rPr>
            </w:pPr>
          </w:p>
        </w:tc>
        <w:tc>
          <w:tcPr>
            <w:tcW w:w="4158" w:type="dxa"/>
            <w:shd w:val="clear" w:color="auto" w:fill="auto"/>
          </w:tcPr>
          <w:p w14:paraId="5AC317E0" w14:textId="77777777" w:rsidR="004056B7" w:rsidRPr="001A28D2" w:rsidRDefault="004056B7" w:rsidP="004F07B8">
            <w:pPr>
              <w:autoSpaceDE w:val="0"/>
              <w:autoSpaceDN w:val="0"/>
              <w:adjustRightInd w:val="0"/>
              <w:rPr>
                <w:rFonts w:eastAsia="Calibri"/>
                <w:sz w:val="20"/>
                <w:szCs w:val="20"/>
              </w:rPr>
            </w:pPr>
            <w:r w:rsidRPr="001A28D2">
              <w:rPr>
                <w:rFonts w:eastAsia="Calibri"/>
                <w:sz w:val="20"/>
                <w:szCs w:val="20"/>
              </w:rPr>
              <w:t>в т.ч. за срок от 1 г., от тях на ДФГУДПС</w:t>
            </w:r>
          </w:p>
        </w:tc>
        <w:tc>
          <w:tcPr>
            <w:tcW w:w="851" w:type="dxa"/>
            <w:shd w:val="clear" w:color="auto" w:fill="auto"/>
          </w:tcPr>
          <w:p w14:paraId="0977E3E4"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2,53</w:t>
            </w:r>
          </w:p>
        </w:tc>
        <w:tc>
          <w:tcPr>
            <w:tcW w:w="850" w:type="dxa"/>
          </w:tcPr>
          <w:p w14:paraId="576E4A70"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2,53</w:t>
            </w:r>
          </w:p>
        </w:tc>
        <w:tc>
          <w:tcPr>
            <w:tcW w:w="851" w:type="dxa"/>
          </w:tcPr>
          <w:p w14:paraId="3D2A95C3"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2,64</w:t>
            </w:r>
          </w:p>
        </w:tc>
        <w:tc>
          <w:tcPr>
            <w:tcW w:w="850" w:type="dxa"/>
          </w:tcPr>
          <w:p w14:paraId="25C022F9"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2,64</w:t>
            </w:r>
          </w:p>
        </w:tc>
        <w:tc>
          <w:tcPr>
            <w:tcW w:w="851" w:type="dxa"/>
            <w:shd w:val="clear" w:color="auto" w:fill="auto"/>
          </w:tcPr>
          <w:p w14:paraId="570A68B9"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2,66</w:t>
            </w:r>
          </w:p>
        </w:tc>
      </w:tr>
      <w:tr w:rsidR="004056B7" w:rsidRPr="001A28D2" w14:paraId="351C1ED6" w14:textId="77777777" w:rsidTr="004F07B8">
        <w:trPr>
          <w:jc w:val="center"/>
        </w:trPr>
        <w:tc>
          <w:tcPr>
            <w:tcW w:w="688" w:type="dxa"/>
            <w:shd w:val="clear" w:color="auto" w:fill="auto"/>
          </w:tcPr>
          <w:p w14:paraId="1C3E50C9" w14:textId="77777777" w:rsidR="004056B7" w:rsidRPr="001A28D2" w:rsidRDefault="004056B7" w:rsidP="004F07B8">
            <w:pPr>
              <w:autoSpaceDE w:val="0"/>
              <w:autoSpaceDN w:val="0"/>
              <w:adjustRightInd w:val="0"/>
              <w:jc w:val="center"/>
              <w:rPr>
                <w:rFonts w:eastAsia="Calibri"/>
                <w:b/>
                <w:sz w:val="20"/>
                <w:szCs w:val="20"/>
              </w:rPr>
            </w:pPr>
          </w:p>
        </w:tc>
        <w:tc>
          <w:tcPr>
            <w:tcW w:w="4158" w:type="dxa"/>
            <w:shd w:val="clear" w:color="auto" w:fill="auto"/>
          </w:tcPr>
          <w:p w14:paraId="1DADE678" w14:textId="77777777" w:rsidR="004056B7" w:rsidRPr="001A28D2" w:rsidRDefault="004056B7" w:rsidP="004F07B8">
            <w:pPr>
              <w:autoSpaceDE w:val="0"/>
              <w:autoSpaceDN w:val="0"/>
              <w:adjustRightInd w:val="0"/>
              <w:rPr>
                <w:rFonts w:eastAsia="Calibri"/>
                <w:sz w:val="20"/>
                <w:szCs w:val="20"/>
              </w:rPr>
            </w:pPr>
            <w:r w:rsidRPr="001A28D2">
              <w:rPr>
                <w:rFonts w:eastAsia="Calibri"/>
                <w:sz w:val="20"/>
                <w:szCs w:val="20"/>
              </w:rPr>
              <w:t>на ЦБ</w:t>
            </w:r>
          </w:p>
        </w:tc>
        <w:tc>
          <w:tcPr>
            <w:tcW w:w="851" w:type="dxa"/>
            <w:shd w:val="clear" w:color="auto" w:fill="auto"/>
          </w:tcPr>
          <w:p w14:paraId="336F4CF5"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w:t>
            </w:r>
          </w:p>
        </w:tc>
        <w:tc>
          <w:tcPr>
            <w:tcW w:w="850" w:type="dxa"/>
          </w:tcPr>
          <w:p w14:paraId="4FE811CB"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1,10</w:t>
            </w:r>
          </w:p>
        </w:tc>
        <w:tc>
          <w:tcPr>
            <w:tcW w:w="851" w:type="dxa"/>
          </w:tcPr>
          <w:p w14:paraId="14FF7AD5"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2,10</w:t>
            </w:r>
          </w:p>
        </w:tc>
        <w:tc>
          <w:tcPr>
            <w:tcW w:w="850" w:type="dxa"/>
          </w:tcPr>
          <w:p w14:paraId="2817E7F1"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2,10</w:t>
            </w:r>
          </w:p>
        </w:tc>
        <w:tc>
          <w:tcPr>
            <w:tcW w:w="851" w:type="dxa"/>
            <w:shd w:val="clear" w:color="auto" w:fill="auto"/>
          </w:tcPr>
          <w:p w14:paraId="3829C29F" w14:textId="77777777" w:rsidR="004056B7" w:rsidRPr="001A28D2" w:rsidRDefault="001E74C3" w:rsidP="001E74C3">
            <w:pPr>
              <w:autoSpaceDE w:val="0"/>
              <w:autoSpaceDN w:val="0"/>
              <w:adjustRightInd w:val="0"/>
              <w:jc w:val="right"/>
              <w:rPr>
                <w:rFonts w:eastAsia="Calibri"/>
                <w:sz w:val="20"/>
                <w:szCs w:val="20"/>
              </w:rPr>
            </w:pPr>
            <w:r w:rsidRPr="001A28D2">
              <w:rPr>
                <w:rFonts w:eastAsia="Calibri"/>
                <w:sz w:val="20"/>
                <w:szCs w:val="20"/>
              </w:rPr>
              <w:t>2,3</w:t>
            </w:r>
          </w:p>
        </w:tc>
      </w:tr>
      <w:tr w:rsidR="004056B7" w:rsidRPr="001A28D2" w14:paraId="416C4115" w14:textId="77777777" w:rsidTr="004F07B8">
        <w:trPr>
          <w:jc w:val="center"/>
        </w:trPr>
        <w:tc>
          <w:tcPr>
            <w:tcW w:w="688" w:type="dxa"/>
            <w:shd w:val="clear" w:color="auto" w:fill="D9E2F3"/>
          </w:tcPr>
          <w:p w14:paraId="12D7BFC0" w14:textId="77777777" w:rsidR="004056B7" w:rsidRPr="001A28D2" w:rsidRDefault="004056B7" w:rsidP="004F07B8">
            <w:pPr>
              <w:autoSpaceDE w:val="0"/>
              <w:autoSpaceDN w:val="0"/>
              <w:adjustRightInd w:val="0"/>
              <w:jc w:val="center"/>
              <w:rPr>
                <w:rFonts w:eastAsia="Calibri"/>
                <w:b/>
                <w:sz w:val="20"/>
                <w:szCs w:val="20"/>
              </w:rPr>
            </w:pPr>
            <w:r w:rsidRPr="001A28D2">
              <w:rPr>
                <w:rFonts w:eastAsia="Calibri"/>
                <w:b/>
                <w:sz w:val="20"/>
                <w:szCs w:val="20"/>
              </w:rPr>
              <w:t>2.</w:t>
            </w:r>
          </w:p>
        </w:tc>
        <w:tc>
          <w:tcPr>
            <w:tcW w:w="4158" w:type="dxa"/>
            <w:shd w:val="clear" w:color="auto" w:fill="D9E2F3"/>
          </w:tcPr>
          <w:p w14:paraId="79E3F194" w14:textId="77777777" w:rsidR="004056B7" w:rsidRPr="001A28D2" w:rsidRDefault="004056B7" w:rsidP="004F07B8">
            <w:pPr>
              <w:autoSpaceDE w:val="0"/>
              <w:autoSpaceDN w:val="0"/>
              <w:adjustRightInd w:val="0"/>
              <w:rPr>
                <w:rFonts w:eastAsia="Calibri"/>
                <w:b/>
                <w:sz w:val="20"/>
                <w:szCs w:val="20"/>
              </w:rPr>
            </w:pPr>
            <w:r w:rsidRPr="001A28D2">
              <w:rPr>
                <w:rFonts w:eastAsia="Calibri"/>
                <w:b/>
                <w:bCs/>
                <w:sz w:val="20"/>
                <w:szCs w:val="20"/>
              </w:rPr>
              <w:t>Средства по валутни сметки</w:t>
            </w:r>
          </w:p>
        </w:tc>
        <w:tc>
          <w:tcPr>
            <w:tcW w:w="851" w:type="dxa"/>
            <w:shd w:val="clear" w:color="auto" w:fill="D9E2F3"/>
          </w:tcPr>
          <w:p w14:paraId="38B7A9E3"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sz w:val="20"/>
                <w:szCs w:val="20"/>
              </w:rPr>
              <w:t>1,78</w:t>
            </w:r>
          </w:p>
        </w:tc>
        <w:tc>
          <w:tcPr>
            <w:tcW w:w="850" w:type="dxa"/>
            <w:shd w:val="clear" w:color="auto" w:fill="D9E2F3"/>
          </w:tcPr>
          <w:p w14:paraId="78FD2B53"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5,36</w:t>
            </w:r>
          </w:p>
        </w:tc>
        <w:tc>
          <w:tcPr>
            <w:tcW w:w="851" w:type="dxa"/>
            <w:shd w:val="clear" w:color="auto" w:fill="D9E2F3"/>
          </w:tcPr>
          <w:p w14:paraId="23740265"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5,36</w:t>
            </w:r>
          </w:p>
        </w:tc>
        <w:tc>
          <w:tcPr>
            <w:tcW w:w="850" w:type="dxa"/>
            <w:shd w:val="clear" w:color="auto" w:fill="D9E2F3"/>
          </w:tcPr>
          <w:p w14:paraId="348C9E41"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5,38</w:t>
            </w:r>
          </w:p>
        </w:tc>
        <w:tc>
          <w:tcPr>
            <w:tcW w:w="851" w:type="dxa"/>
            <w:shd w:val="clear" w:color="auto" w:fill="D9E2F3"/>
          </w:tcPr>
          <w:p w14:paraId="119FFAFC"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bCs/>
                <w:sz w:val="20"/>
                <w:szCs w:val="20"/>
              </w:rPr>
              <w:t>4,49</w:t>
            </w:r>
          </w:p>
        </w:tc>
      </w:tr>
      <w:tr w:rsidR="004056B7" w:rsidRPr="001A28D2" w14:paraId="3FC6DD89" w14:textId="77777777" w:rsidTr="004F07B8">
        <w:trPr>
          <w:jc w:val="center"/>
        </w:trPr>
        <w:tc>
          <w:tcPr>
            <w:tcW w:w="688" w:type="dxa"/>
            <w:shd w:val="clear" w:color="auto" w:fill="auto"/>
          </w:tcPr>
          <w:p w14:paraId="71098A8F" w14:textId="77777777" w:rsidR="004056B7" w:rsidRPr="001A28D2" w:rsidRDefault="004056B7" w:rsidP="004F07B8">
            <w:pPr>
              <w:autoSpaceDE w:val="0"/>
              <w:autoSpaceDN w:val="0"/>
              <w:adjustRightInd w:val="0"/>
              <w:jc w:val="center"/>
              <w:rPr>
                <w:rFonts w:eastAsia="Calibri"/>
                <w:sz w:val="20"/>
                <w:szCs w:val="20"/>
              </w:rPr>
            </w:pPr>
            <w:r w:rsidRPr="001A28D2">
              <w:rPr>
                <w:rFonts w:eastAsia="Calibri"/>
                <w:sz w:val="20"/>
                <w:szCs w:val="20"/>
              </w:rPr>
              <w:t>2.1.</w:t>
            </w:r>
          </w:p>
        </w:tc>
        <w:tc>
          <w:tcPr>
            <w:tcW w:w="4158" w:type="dxa"/>
            <w:shd w:val="clear" w:color="auto" w:fill="auto"/>
          </w:tcPr>
          <w:p w14:paraId="1615782D" w14:textId="77777777" w:rsidR="004056B7" w:rsidRPr="001A28D2" w:rsidRDefault="004056B7" w:rsidP="004F07B8">
            <w:pPr>
              <w:autoSpaceDE w:val="0"/>
              <w:autoSpaceDN w:val="0"/>
              <w:adjustRightInd w:val="0"/>
              <w:rPr>
                <w:rFonts w:eastAsia="Calibri"/>
                <w:sz w:val="20"/>
                <w:szCs w:val="20"/>
              </w:rPr>
            </w:pPr>
            <w:r w:rsidRPr="001A28D2">
              <w:rPr>
                <w:rFonts w:eastAsia="Calibri"/>
                <w:bCs/>
                <w:sz w:val="20"/>
                <w:szCs w:val="20"/>
              </w:rPr>
              <w:t>Текущи валутни сметки</w:t>
            </w:r>
          </w:p>
        </w:tc>
        <w:tc>
          <w:tcPr>
            <w:tcW w:w="851" w:type="dxa"/>
            <w:shd w:val="clear" w:color="auto" w:fill="auto"/>
          </w:tcPr>
          <w:p w14:paraId="50B0234C"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1,12</w:t>
            </w:r>
          </w:p>
        </w:tc>
        <w:tc>
          <w:tcPr>
            <w:tcW w:w="850" w:type="dxa"/>
          </w:tcPr>
          <w:p w14:paraId="1047095B"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0,15</w:t>
            </w:r>
          </w:p>
        </w:tc>
        <w:tc>
          <w:tcPr>
            <w:tcW w:w="851" w:type="dxa"/>
          </w:tcPr>
          <w:p w14:paraId="103EAD5F"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0,15</w:t>
            </w:r>
          </w:p>
        </w:tc>
        <w:tc>
          <w:tcPr>
            <w:tcW w:w="850" w:type="dxa"/>
          </w:tcPr>
          <w:p w14:paraId="4F8DC9A9"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0,16</w:t>
            </w:r>
          </w:p>
        </w:tc>
        <w:tc>
          <w:tcPr>
            <w:tcW w:w="851" w:type="dxa"/>
            <w:shd w:val="clear" w:color="auto" w:fill="auto"/>
          </w:tcPr>
          <w:p w14:paraId="0D7E426C"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bCs/>
                <w:sz w:val="20"/>
                <w:szCs w:val="20"/>
              </w:rPr>
              <w:t>0,09</w:t>
            </w:r>
          </w:p>
        </w:tc>
      </w:tr>
      <w:tr w:rsidR="004056B7" w:rsidRPr="001A28D2" w14:paraId="13DF6C8E" w14:textId="77777777" w:rsidTr="004F07B8">
        <w:trPr>
          <w:jc w:val="center"/>
        </w:trPr>
        <w:tc>
          <w:tcPr>
            <w:tcW w:w="688" w:type="dxa"/>
            <w:shd w:val="clear" w:color="auto" w:fill="auto"/>
          </w:tcPr>
          <w:p w14:paraId="4B2DA25E" w14:textId="77777777" w:rsidR="004056B7" w:rsidRPr="001A28D2" w:rsidRDefault="004056B7" w:rsidP="004F07B8">
            <w:pPr>
              <w:autoSpaceDE w:val="0"/>
              <w:autoSpaceDN w:val="0"/>
              <w:adjustRightInd w:val="0"/>
              <w:jc w:val="center"/>
              <w:rPr>
                <w:rFonts w:eastAsia="Calibri"/>
                <w:sz w:val="20"/>
                <w:szCs w:val="20"/>
              </w:rPr>
            </w:pPr>
            <w:r w:rsidRPr="001A28D2">
              <w:rPr>
                <w:rFonts w:eastAsia="Calibri"/>
                <w:sz w:val="20"/>
                <w:szCs w:val="20"/>
              </w:rPr>
              <w:t>2.</w:t>
            </w:r>
            <w:proofErr w:type="spellStart"/>
            <w:r w:rsidRPr="001A28D2">
              <w:rPr>
                <w:rFonts w:eastAsia="Calibri"/>
                <w:sz w:val="20"/>
                <w:szCs w:val="20"/>
              </w:rPr>
              <w:t>2</w:t>
            </w:r>
            <w:proofErr w:type="spellEnd"/>
            <w:r w:rsidRPr="001A28D2">
              <w:rPr>
                <w:rFonts w:eastAsia="Calibri"/>
                <w:sz w:val="20"/>
                <w:szCs w:val="20"/>
              </w:rPr>
              <w:t>.</w:t>
            </w:r>
          </w:p>
        </w:tc>
        <w:tc>
          <w:tcPr>
            <w:tcW w:w="4158" w:type="dxa"/>
            <w:shd w:val="clear" w:color="auto" w:fill="auto"/>
          </w:tcPr>
          <w:p w14:paraId="30BAC292" w14:textId="77777777" w:rsidR="004056B7" w:rsidRPr="001A28D2" w:rsidRDefault="004056B7" w:rsidP="004F07B8">
            <w:pPr>
              <w:autoSpaceDE w:val="0"/>
              <w:autoSpaceDN w:val="0"/>
              <w:adjustRightInd w:val="0"/>
              <w:rPr>
                <w:rFonts w:eastAsia="Calibri"/>
                <w:sz w:val="20"/>
                <w:szCs w:val="20"/>
              </w:rPr>
            </w:pPr>
            <w:r w:rsidRPr="001A28D2">
              <w:rPr>
                <w:rFonts w:eastAsia="Calibri"/>
                <w:bCs/>
                <w:sz w:val="20"/>
                <w:szCs w:val="20"/>
              </w:rPr>
              <w:t>Салда по валутни срочни депозити</w:t>
            </w:r>
          </w:p>
        </w:tc>
        <w:tc>
          <w:tcPr>
            <w:tcW w:w="851" w:type="dxa"/>
            <w:shd w:val="clear" w:color="auto" w:fill="auto"/>
          </w:tcPr>
          <w:p w14:paraId="07C72D64"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0,66</w:t>
            </w:r>
          </w:p>
        </w:tc>
        <w:tc>
          <w:tcPr>
            <w:tcW w:w="850" w:type="dxa"/>
          </w:tcPr>
          <w:p w14:paraId="7F24FA57"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5,21</w:t>
            </w:r>
          </w:p>
        </w:tc>
        <w:tc>
          <w:tcPr>
            <w:tcW w:w="851" w:type="dxa"/>
          </w:tcPr>
          <w:p w14:paraId="48A4D178"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5,21</w:t>
            </w:r>
          </w:p>
        </w:tc>
        <w:tc>
          <w:tcPr>
            <w:tcW w:w="850" w:type="dxa"/>
          </w:tcPr>
          <w:p w14:paraId="7604B7CA"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5,21</w:t>
            </w:r>
          </w:p>
        </w:tc>
        <w:tc>
          <w:tcPr>
            <w:tcW w:w="851" w:type="dxa"/>
            <w:shd w:val="clear" w:color="auto" w:fill="auto"/>
          </w:tcPr>
          <w:p w14:paraId="2E0BC05D"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bCs/>
                <w:sz w:val="20"/>
                <w:szCs w:val="20"/>
              </w:rPr>
              <w:t>4,40</w:t>
            </w:r>
          </w:p>
        </w:tc>
      </w:tr>
      <w:tr w:rsidR="004056B7" w:rsidRPr="001A28D2" w14:paraId="1DF94B67" w14:textId="77777777" w:rsidTr="004F07B8">
        <w:trPr>
          <w:jc w:val="center"/>
        </w:trPr>
        <w:tc>
          <w:tcPr>
            <w:tcW w:w="688" w:type="dxa"/>
            <w:shd w:val="clear" w:color="auto" w:fill="auto"/>
          </w:tcPr>
          <w:p w14:paraId="7D5442F9" w14:textId="77777777" w:rsidR="004056B7" w:rsidRPr="001A28D2" w:rsidRDefault="004056B7" w:rsidP="004F07B8">
            <w:pPr>
              <w:autoSpaceDE w:val="0"/>
              <w:autoSpaceDN w:val="0"/>
              <w:adjustRightInd w:val="0"/>
              <w:jc w:val="center"/>
              <w:rPr>
                <w:rFonts w:eastAsia="Calibri"/>
                <w:b/>
                <w:sz w:val="20"/>
                <w:szCs w:val="20"/>
              </w:rPr>
            </w:pPr>
          </w:p>
        </w:tc>
        <w:tc>
          <w:tcPr>
            <w:tcW w:w="4158" w:type="dxa"/>
            <w:shd w:val="clear" w:color="auto" w:fill="auto"/>
          </w:tcPr>
          <w:p w14:paraId="249A3DEC" w14:textId="77777777" w:rsidR="004056B7" w:rsidRPr="001A28D2" w:rsidRDefault="004056B7" w:rsidP="004F07B8">
            <w:pPr>
              <w:autoSpaceDE w:val="0"/>
              <w:autoSpaceDN w:val="0"/>
              <w:adjustRightInd w:val="0"/>
              <w:rPr>
                <w:rFonts w:eastAsia="Calibri"/>
                <w:sz w:val="20"/>
                <w:szCs w:val="20"/>
              </w:rPr>
            </w:pPr>
            <w:r w:rsidRPr="001A28D2">
              <w:rPr>
                <w:rFonts w:eastAsia="Calibri"/>
                <w:sz w:val="20"/>
                <w:szCs w:val="20"/>
              </w:rPr>
              <w:t>в т.ч. за срок от 1 г. от тях на ЦБ</w:t>
            </w:r>
          </w:p>
        </w:tc>
        <w:tc>
          <w:tcPr>
            <w:tcW w:w="851" w:type="dxa"/>
            <w:shd w:val="clear" w:color="auto" w:fill="auto"/>
          </w:tcPr>
          <w:p w14:paraId="4C465D20"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sz w:val="20"/>
                <w:szCs w:val="20"/>
              </w:rPr>
              <w:t>0,66</w:t>
            </w:r>
          </w:p>
        </w:tc>
        <w:tc>
          <w:tcPr>
            <w:tcW w:w="850" w:type="dxa"/>
          </w:tcPr>
          <w:p w14:paraId="426F7F06"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5,21</w:t>
            </w:r>
          </w:p>
        </w:tc>
        <w:tc>
          <w:tcPr>
            <w:tcW w:w="851" w:type="dxa"/>
          </w:tcPr>
          <w:p w14:paraId="4A68E052"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5,21</w:t>
            </w:r>
          </w:p>
        </w:tc>
        <w:tc>
          <w:tcPr>
            <w:tcW w:w="850" w:type="dxa"/>
          </w:tcPr>
          <w:p w14:paraId="34728D25" w14:textId="77777777" w:rsidR="004056B7" w:rsidRPr="001A28D2" w:rsidRDefault="004056B7" w:rsidP="004F07B8">
            <w:pPr>
              <w:autoSpaceDE w:val="0"/>
              <w:autoSpaceDN w:val="0"/>
              <w:adjustRightInd w:val="0"/>
              <w:jc w:val="right"/>
              <w:rPr>
                <w:rFonts w:eastAsia="Calibri"/>
                <w:bCs/>
                <w:sz w:val="20"/>
                <w:szCs w:val="20"/>
              </w:rPr>
            </w:pPr>
            <w:r w:rsidRPr="001A28D2">
              <w:rPr>
                <w:rFonts w:eastAsia="Calibri"/>
                <w:bCs/>
                <w:sz w:val="20"/>
                <w:szCs w:val="20"/>
              </w:rPr>
              <w:t>5,21</w:t>
            </w:r>
          </w:p>
        </w:tc>
        <w:tc>
          <w:tcPr>
            <w:tcW w:w="851" w:type="dxa"/>
            <w:shd w:val="clear" w:color="auto" w:fill="auto"/>
          </w:tcPr>
          <w:p w14:paraId="299D98BD" w14:textId="77777777" w:rsidR="004056B7" w:rsidRPr="001A28D2" w:rsidRDefault="004056B7" w:rsidP="004F07B8">
            <w:pPr>
              <w:autoSpaceDE w:val="0"/>
              <w:autoSpaceDN w:val="0"/>
              <w:adjustRightInd w:val="0"/>
              <w:jc w:val="right"/>
              <w:rPr>
                <w:rFonts w:eastAsia="Calibri"/>
                <w:sz w:val="20"/>
                <w:szCs w:val="20"/>
              </w:rPr>
            </w:pPr>
            <w:r w:rsidRPr="001A28D2">
              <w:rPr>
                <w:rFonts w:eastAsia="Calibri"/>
                <w:bCs/>
                <w:sz w:val="20"/>
                <w:szCs w:val="20"/>
              </w:rPr>
              <w:t>4,40</w:t>
            </w:r>
          </w:p>
        </w:tc>
      </w:tr>
      <w:tr w:rsidR="004056B7" w:rsidRPr="001A28D2" w14:paraId="546AC877" w14:textId="77777777" w:rsidTr="004F07B8">
        <w:trPr>
          <w:jc w:val="center"/>
        </w:trPr>
        <w:tc>
          <w:tcPr>
            <w:tcW w:w="688" w:type="dxa"/>
            <w:shd w:val="clear" w:color="auto" w:fill="D9E2F3"/>
          </w:tcPr>
          <w:p w14:paraId="7FCE5F7E" w14:textId="77777777" w:rsidR="004056B7" w:rsidRPr="001A28D2" w:rsidRDefault="004056B7" w:rsidP="004F07B8">
            <w:pPr>
              <w:autoSpaceDE w:val="0"/>
              <w:autoSpaceDN w:val="0"/>
              <w:adjustRightInd w:val="0"/>
              <w:jc w:val="center"/>
              <w:rPr>
                <w:rFonts w:eastAsia="Calibri"/>
                <w:b/>
                <w:sz w:val="20"/>
                <w:szCs w:val="20"/>
              </w:rPr>
            </w:pPr>
            <w:r w:rsidRPr="001A28D2">
              <w:rPr>
                <w:rFonts w:eastAsia="Calibri"/>
                <w:b/>
                <w:sz w:val="20"/>
                <w:szCs w:val="20"/>
              </w:rPr>
              <w:t>3.</w:t>
            </w:r>
          </w:p>
        </w:tc>
        <w:tc>
          <w:tcPr>
            <w:tcW w:w="4158" w:type="dxa"/>
            <w:shd w:val="clear" w:color="auto" w:fill="D9E2F3"/>
          </w:tcPr>
          <w:p w14:paraId="2B326401" w14:textId="77777777" w:rsidR="004056B7" w:rsidRPr="001A28D2" w:rsidRDefault="004056B7" w:rsidP="004F07B8">
            <w:pPr>
              <w:autoSpaceDE w:val="0"/>
              <w:autoSpaceDN w:val="0"/>
              <w:adjustRightInd w:val="0"/>
              <w:rPr>
                <w:rFonts w:eastAsia="Calibri"/>
                <w:b/>
                <w:sz w:val="20"/>
                <w:szCs w:val="20"/>
              </w:rPr>
            </w:pPr>
            <w:r w:rsidRPr="001A28D2">
              <w:rPr>
                <w:rFonts w:eastAsia="Calibri"/>
                <w:b/>
                <w:bCs/>
                <w:sz w:val="20"/>
                <w:szCs w:val="20"/>
              </w:rPr>
              <w:t>Общо фискален резерв в БНБ</w:t>
            </w:r>
          </w:p>
        </w:tc>
        <w:tc>
          <w:tcPr>
            <w:tcW w:w="851" w:type="dxa"/>
            <w:shd w:val="clear" w:color="auto" w:fill="D9E2F3"/>
          </w:tcPr>
          <w:p w14:paraId="47333E53"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sz w:val="20"/>
                <w:szCs w:val="20"/>
              </w:rPr>
              <w:t>5,98</w:t>
            </w:r>
          </w:p>
        </w:tc>
        <w:tc>
          <w:tcPr>
            <w:tcW w:w="850" w:type="dxa"/>
            <w:shd w:val="clear" w:color="auto" w:fill="D9E2F3"/>
          </w:tcPr>
          <w:p w14:paraId="13EAC654"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10,77</w:t>
            </w:r>
          </w:p>
        </w:tc>
        <w:tc>
          <w:tcPr>
            <w:tcW w:w="851" w:type="dxa"/>
            <w:shd w:val="clear" w:color="auto" w:fill="D9E2F3"/>
          </w:tcPr>
          <w:p w14:paraId="30C745A1"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12,20</w:t>
            </w:r>
          </w:p>
        </w:tc>
        <w:tc>
          <w:tcPr>
            <w:tcW w:w="850" w:type="dxa"/>
            <w:shd w:val="clear" w:color="auto" w:fill="D9E2F3"/>
          </w:tcPr>
          <w:p w14:paraId="67C70568"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12,40</w:t>
            </w:r>
          </w:p>
        </w:tc>
        <w:tc>
          <w:tcPr>
            <w:tcW w:w="851" w:type="dxa"/>
            <w:shd w:val="clear" w:color="auto" w:fill="D9E2F3"/>
          </w:tcPr>
          <w:p w14:paraId="59275167"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bCs/>
                <w:sz w:val="20"/>
                <w:szCs w:val="20"/>
              </w:rPr>
              <w:t>10,70</w:t>
            </w:r>
          </w:p>
        </w:tc>
      </w:tr>
      <w:tr w:rsidR="004056B7" w:rsidRPr="001A28D2" w14:paraId="0A0F34CF" w14:textId="77777777" w:rsidTr="004F07B8">
        <w:trPr>
          <w:jc w:val="center"/>
        </w:trPr>
        <w:tc>
          <w:tcPr>
            <w:tcW w:w="688" w:type="dxa"/>
            <w:shd w:val="clear" w:color="auto" w:fill="D9E2F3"/>
          </w:tcPr>
          <w:p w14:paraId="1F995439" w14:textId="77777777" w:rsidR="004056B7" w:rsidRPr="001A28D2" w:rsidRDefault="004056B7" w:rsidP="004F07B8">
            <w:pPr>
              <w:autoSpaceDE w:val="0"/>
              <w:autoSpaceDN w:val="0"/>
              <w:adjustRightInd w:val="0"/>
              <w:jc w:val="center"/>
              <w:rPr>
                <w:rFonts w:eastAsia="Calibri"/>
                <w:b/>
                <w:sz w:val="20"/>
                <w:szCs w:val="20"/>
              </w:rPr>
            </w:pPr>
            <w:r w:rsidRPr="001A28D2">
              <w:rPr>
                <w:rFonts w:eastAsia="Calibri"/>
                <w:b/>
                <w:sz w:val="20"/>
                <w:szCs w:val="20"/>
              </w:rPr>
              <w:t>4.</w:t>
            </w:r>
          </w:p>
        </w:tc>
        <w:tc>
          <w:tcPr>
            <w:tcW w:w="4158" w:type="dxa"/>
            <w:shd w:val="clear" w:color="auto" w:fill="D9E2F3"/>
          </w:tcPr>
          <w:p w14:paraId="5840E420" w14:textId="77777777" w:rsidR="004056B7" w:rsidRPr="001A28D2" w:rsidRDefault="004056B7" w:rsidP="004F07B8">
            <w:pPr>
              <w:autoSpaceDE w:val="0"/>
              <w:autoSpaceDN w:val="0"/>
              <w:adjustRightInd w:val="0"/>
              <w:rPr>
                <w:rFonts w:eastAsia="Calibri"/>
                <w:b/>
                <w:bCs/>
                <w:sz w:val="20"/>
                <w:szCs w:val="20"/>
              </w:rPr>
            </w:pPr>
            <w:r w:rsidRPr="001A28D2">
              <w:rPr>
                <w:rFonts w:eastAsia="Calibri"/>
                <w:b/>
                <w:bCs/>
                <w:sz w:val="20"/>
                <w:szCs w:val="20"/>
              </w:rPr>
              <w:t>В банки</w:t>
            </w:r>
          </w:p>
        </w:tc>
        <w:tc>
          <w:tcPr>
            <w:tcW w:w="851" w:type="dxa"/>
            <w:shd w:val="clear" w:color="auto" w:fill="D9E2F3"/>
          </w:tcPr>
          <w:p w14:paraId="4C7C7C29"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sz w:val="20"/>
                <w:szCs w:val="20"/>
              </w:rPr>
              <w:t>0,81</w:t>
            </w:r>
          </w:p>
        </w:tc>
        <w:tc>
          <w:tcPr>
            <w:tcW w:w="850" w:type="dxa"/>
            <w:shd w:val="clear" w:color="auto" w:fill="D9E2F3"/>
          </w:tcPr>
          <w:p w14:paraId="5EB4173F"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0,67</w:t>
            </w:r>
          </w:p>
        </w:tc>
        <w:tc>
          <w:tcPr>
            <w:tcW w:w="851" w:type="dxa"/>
            <w:shd w:val="clear" w:color="auto" w:fill="D9E2F3"/>
          </w:tcPr>
          <w:p w14:paraId="3DECAA5F"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0,43</w:t>
            </w:r>
          </w:p>
        </w:tc>
        <w:tc>
          <w:tcPr>
            <w:tcW w:w="850" w:type="dxa"/>
            <w:shd w:val="clear" w:color="auto" w:fill="D9E2F3"/>
          </w:tcPr>
          <w:p w14:paraId="3B50DA39"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0,42</w:t>
            </w:r>
          </w:p>
        </w:tc>
        <w:tc>
          <w:tcPr>
            <w:tcW w:w="851" w:type="dxa"/>
            <w:shd w:val="clear" w:color="auto" w:fill="D9E2F3"/>
          </w:tcPr>
          <w:p w14:paraId="27D0A323"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0,40</w:t>
            </w:r>
          </w:p>
        </w:tc>
      </w:tr>
      <w:tr w:rsidR="004056B7" w:rsidRPr="001A28D2" w14:paraId="0D9D26FC" w14:textId="77777777" w:rsidTr="004F07B8">
        <w:trPr>
          <w:jc w:val="center"/>
        </w:trPr>
        <w:tc>
          <w:tcPr>
            <w:tcW w:w="688" w:type="dxa"/>
            <w:shd w:val="clear" w:color="auto" w:fill="D9E2F3"/>
          </w:tcPr>
          <w:p w14:paraId="04699A6E" w14:textId="77777777" w:rsidR="004056B7" w:rsidRPr="001A28D2" w:rsidRDefault="004056B7" w:rsidP="004F07B8">
            <w:pPr>
              <w:autoSpaceDE w:val="0"/>
              <w:autoSpaceDN w:val="0"/>
              <w:adjustRightInd w:val="0"/>
              <w:jc w:val="center"/>
              <w:rPr>
                <w:rFonts w:eastAsia="Calibri"/>
                <w:b/>
                <w:sz w:val="20"/>
                <w:szCs w:val="20"/>
              </w:rPr>
            </w:pPr>
            <w:r w:rsidRPr="001A28D2">
              <w:rPr>
                <w:rFonts w:eastAsia="Calibri"/>
                <w:b/>
                <w:sz w:val="20"/>
                <w:szCs w:val="20"/>
              </w:rPr>
              <w:t>5.</w:t>
            </w:r>
          </w:p>
        </w:tc>
        <w:tc>
          <w:tcPr>
            <w:tcW w:w="4158" w:type="dxa"/>
            <w:shd w:val="clear" w:color="auto" w:fill="D9E2F3"/>
          </w:tcPr>
          <w:p w14:paraId="62562E66" w14:textId="77777777" w:rsidR="004056B7" w:rsidRPr="001A28D2" w:rsidRDefault="004056B7" w:rsidP="004F07B8">
            <w:pPr>
              <w:autoSpaceDE w:val="0"/>
              <w:autoSpaceDN w:val="0"/>
              <w:adjustRightInd w:val="0"/>
              <w:rPr>
                <w:rFonts w:eastAsia="Calibri"/>
                <w:b/>
                <w:bCs/>
                <w:sz w:val="20"/>
                <w:szCs w:val="20"/>
              </w:rPr>
            </w:pPr>
            <w:r w:rsidRPr="001A28D2">
              <w:rPr>
                <w:rFonts w:eastAsia="Calibri"/>
                <w:b/>
                <w:bCs/>
                <w:sz w:val="20"/>
                <w:szCs w:val="20"/>
              </w:rPr>
              <w:t>Вземания от фондовете на ЕС за сертифицирани разходи, аванси и др.</w:t>
            </w:r>
          </w:p>
        </w:tc>
        <w:tc>
          <w:tcPr>
            <w:tcW w:w="851" w:type="dxa"/>
            <w:shd w:val="clear" w:color="auto" w:fill="D9E2F3"/>
          </w:tcPr>
          <w:p w14:paraId="1F3EE0FD"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sz w:val="20"/>
                <w:szCs w:val="20"/>
              </w:rPr>
              <w:t>1,08</w:t>
            </w:r>
          </w:p>
        </w:tc>
        <w:tc>
          <w:tcPr>
            <w:tcW w:w="850" w:type="dxa"/>
            <w:shd w:val="clear" w:color="auto" w:fill="D9E2F3"/>
          </w:tcPr>
          <w:p w14:paraId="4A4A0CE5"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0,43</w:t>
            </w:r>
          </w:p>
        </w:tc>
        <w:tc>
          <w:tcPr>
            <w:tcW w:w="851" w:type="dxa"/>
            <w:shd w:val="clear" w:color="auto" w:fill="D9E2F3"/>
          </w:tcPr>
          <w:p w14:paraId="15DD95DE"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1,50</w:t>
            </w:r>
          </w:p>
        </w:tc>
        <w:tc>
          <w:tcPr>
            <w:tcW w:w="850" w:type="dxa"/>
            <w:shd w:val="clear" w:color="auto" w:fill="D9E2F3"/>
          </w:tcPr>
          <w:p w14:paraId="70CB35F8"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1,47</w:t>
            </w:r>
          </w:p>
        </w:tc>
        <w:tc>
          <w:tcPr>
            <w:tcW w:w="851" w:type="dxa"/>
            <w:shd w:val="clear" w:color="auto" w:fill="D9E2F3"/>
          </w:tcPr>
          <w:p w14:paraId="3EE26082"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1,78</w:t>
            </w:r>
          </w:p>
        </w:tc>
      </w:tr>
      <w:tr w:rsidR="004056B7" w:rsidRPr="001A28D2" w14:paraId="405FBA20" w14:textId="77777777" w:rsidTr="004F07B8">
        <w:trPr>
          <w:jc w:val="center"/>
        </w:trPr>
        <w:tc>
          <w:tcPr>
            <w:tcW w:w="688" w:type="dxa"/>
            <w:shd w:val="clear" w:color="auto" w:fill="D9E2F3"/>
          </w:tcPr>
          <w:p w14:paraId="60ED3729" w14:textId="77777777" w:rsidR="004056B7" w:rsidRPr="001A28D2" w:rsidRDefault="004056B7" w:rsidP="004F07B8">
            <w:pPr>
              <w:autoSpaceDE w:val="0"/>
              <w:autoSpaceDN w:val="0"/>
              <w:adjustRightInd w:val="0"/>
              <w:rPr>
                <w:rFonts w:eastAsia="Calibri"/>
                <w:b/>
                <w:sz w:val="20"/>
                <w:szCs w:val="20"/>
              </w:rPr>
            </w:pPr>
          </w:p>
        </w:tc>
        <w:tc>
          <w:tcPr>
            <w:tcW w:w="4158" w:type="dxa"/>
            <w:shd w:val="clear" w:color="auto" w:fill="D9E2F3"/>
          </w:tcPr>
          <w:p w14:paraId="076A00C8" w14:textId="77777777" w:rsidR="004056B7" w:rsidRPr="001A28D2" w:rsidRDefault="004056B7" w:rsidP="004F07B8">
            <w:pPr>
              <w:autoSpaceDE w:val="0"/>
              <w:autoSpaceDN w:val="0"/>
              <w:adjustRightInd w:val="0"/>
              <w:rPr>
                <w:rFonts w:eastAsia="Calibri"/>
                <w:b/>
                <w:bCs/>
                <w:sz w:val="20"/>
                <w:szCs w:val="20"/>
              </w:rPr>
            </w:pPr>
          </w:p>
        </w:tc>
        <w:tc>
          <w:tcPr>
            <w:tcW w:w="851" w:type="dxa"/>
            <w:shd w:val="clear" w:color="auto" w:fill="D9E2F3"/>
          </w:tcPr>
          <w:p w14:paraId="08ACA6D1" w14:textId="77777777" w:rsidR="004056B7" w:rsidRPr="001A28D2" w:rsidRDefault="004056B7" w:rsidP="004F07B8">
            <w:pPr>
              <w:autoSpaceDE w:val="0"/>
              <w:autoSpaceDN w:val="0"/>
              <w:adjustRightInd w:val="0"/>
              <w:jc w:val="right"/>
              <w:rPr>
                <w:rFonts w:eastAsia="Calibri"/>
                <w:b/>
                <w:sz w:val="20"/>
                <w:szCs w:val="20"/>
              </w:rPr>
            </w:pPr>
            <w:r w:rsidRPr="001A28D2">
              <w:rPr>
                <w:rFonts w:eastAsia="Calibri"/>
                <w:b/>
                <w:sz w:val="20"/>
                <w:szCs w:val="20"/>
              </w:rPr>
              <w:t>7,87</w:t>
            </w:r>
          </w:p>
        </w:tc>
        <w:tc>
          <w:tcPr>
            <w:tcW w:w="850" w:type="dxa"/>
            <w:shd w:val="clear" w:color="auto" w:fill="D9E2F3"/>
          </w:tcPr>
          <w:p w14:paraId="62884F34"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11,87</w:t>
            </w:r>
          </w:p>
        </w:tc>
        <w:tc>
          <w:tcPr>
            <w:tcW w:w="851" w:type="dxa"/>
            <w:shd w:val="clear" w:color="auto" w:fill="D9E2F3"/>
          </w:tcPr>
          <w:p w14:paraId="22536F56"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14,13</w:t>
            </w:r>
          </w:p>
        </w:tc>
        <w:tc>
          <w:tcPr>
            <w:tcW w:w="850" w:type="dxa"/>
            <w:shd w:val="clear" w:color="auto" w:fill="D9E2F3"/>
          </w:tcPr>
          <w:p w14:paraId="75E2E9DD"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14,29</w:t>
            </w:r>
          </w:p>
        </w:tc>
        <w:tc>
          <w:tcPr>
            <w:tcW w:w="851" w:type="dxa"/>
            <w:shd w:val="clear" w:color="auto" w:fill="D9E2F3"/>
          </w:tcPr>
          <w:p w14:paraId="1D32C942" w14:textId="77777777" w:rsidR="004056B7" w:rsidRPr="001A28D2" w:rsidRDefault="004056B7" w:rsidP="004F07B8">
            <w:pPr>
              <w:autoSpaceDE w:val="0"/>
              <w:autoSpaceDN w:val="0"/>
              <w:adjustRightInd w:val="0"/>
              <w:jc w:val="right"/>
              <w:rPr>
                <w:rFonts w:eastAsia="Calibri"/>
                <w:b/>
                <w:bCs/>
                <w:sz w:val="20"/>
                <w:szCs w:val="20"/>
              </w:rPr>
            </w:pPr>
            <w:r w:rsidRPr="001A28D2">
              <w:rPr>
                <w:rFonts w:eastAsia="Calibri"/>
                <w:b/>
                <w:bCs/>
                <w:sz w:val="20"/>
                <w:szCs w:val="20"/>
              </w:rPr>
              <w:t>12,88</w:t>
            </w:r>
          </w:p>
        </w:tc>
      </w:tr>
    </w:tbl>
    <w:p w14:paraId="33742C9A" w14:textId="77777777" w:rsidR="004056B7" w:rsidRPr="001A28D2" w:rsidRDefault="008257F3" w:rsidP="008257F3">
      <w:pPr>
        <w:widowControl w:val="0"/>
        <w:autoSpaceDE w:val="0"/>
        <w:autoSpaceDN w:val="0"/>
        <w:adjustRightInd w:val="0"/>
        <w:ind w:firstLine="1134"/>
        <w:contextualSpacing/>
        <w:jc w:val="right"/>
        <w:rPr>
          <w:i/>
          <w:sz w:val="20"/>
          <w:szCs w:val="20"/>
        </w:rPr>
      </w:pPr>
      <w:r w:rsidRPr="001A28D2">
        <w:rPr>
          <w:i/>
          <w:sz w:val="20"/>
          <w:szCs w:val="20"/>
        </w:rPr>
        <w:t xml:space="preserve">Източник: </w:t>
      </w:r>
      <w:proofErr w:type="spellStart"/>
      <w:r w:rsidRPr="001A28D2">
        <w:rPr>
          <w:i/>
          <w:sz w:val="20"/>
          <w:szCs w:val="20"/>
        </w:rPr>
        <w:t>www</w:t>
      </w:r>
      <w:proofErr w:type="spellEnd"/>
      <w:r w:rsidRPr="001A28D2">
        <w:rPr>
          <w:i/>
          <w:sz w:val="20"/>
          <w:szCs w:val="20"/>
        </w:rPr>
        <w:t>.</w:t>
      </w:r>
      <w:proofErr w:type="spellStart"/>
      <w:r w:rsidRPr="001A28D2">
        <w:rPr>
          <w:i/>
          <w:sz w:val="20"/>
          <w:szCs w:val="20"/>
        </w:rPr>
        <w:t>minfin</w:t>
      </w:r>
      <w:proofErr w:type="spellEnd"/>
      <w:r w:rsidRPr="001A28D2">
        <w:rPr>
          <w:i/>
          <w:sz w:val="20"/>
          <w:szCs w:val="20"/>
        </w:rPr>
        <w:t>.</w:t>
      </w:r>
      <w:proofErr w:type="spellStart"/>
      <w:r w:rsidRPr="001A28D2">
        <w:rPr>
          <w:i/>
          <w:sz w:val="20"/>
          <w:szCs w:val="20"/>
        </w:rPr>
        <w:t>bg</w:t>
      </w:r>
      <w:proofErr w:type="spellEnd"/>
      <w:r w:rsidRPr="001A28D2">
        <w:rPr>
          <w:i/>
          <w:sz w:val="20"/>
          <w:szCs w:val="20"/>
        </w:rPr>
        <w:t>/</w:t>
      </w:r>
      <w:proofErr w:type="spellStart"/>
      <w:r w:rsidRPr="001A28D2">
        <w:rPr>
          <w:i/>
          <w:sz w:val="20"/>
          <w:szCs w:val="20"/>
        </w:rPr>
        <w:t>bg</w:t>
      </w:r>
      <w:proofErr w:type="spellEnd"/>
      <w:r w:rsidRPr="001A28D2">
        <w:rPr>
          <w:i/>
          <w:sz w:val="20"/>
          <w:szCs w:val="20"/>
        </w:rPr>
        <w:t>/</w:t>
      </w:r>
      <w:proofErr w:type="spellStart"/>
      <w:r w:rsidRPr="001A28D2">
        <w:rPr>
          <w:i/>
          <w:sz w:val="20"/>
          <w:szCs w:val="20"/>
        </w:rPr>
        <w:t>statistics</w:t>
      </w:r>
      <w:proofErr w:type="spellEnd"/>
      <w:r w:rsidRPr="001A28D2">
        <w:rPr>
          <w:i/>
          <w:sz w:val="20"/>
          <w:szCs w:val="20"/>
        </w:rPr>
        <w:t>/4#2016</w:t>
      </w:r>
    </w:p>
    <w:p w14:paraId="0ADFD4A8" w14:textId="77777777" w:rsidR="008257F3" w:rsidRPr="001A28D2" w:rsidRDefault="008257F3" w:rsidP="00B56699">
      <w:pPr>
        <w:widowControl w:val="0"/>
        <w:autoSpaceDE w:val="0"/>
        <w:autoSpaceDN w:val="0"/>
        <w:adjustRightInd w:val="0"/>
        <w:ind w:firstLine="1134"/>
        <w:contextualSpacing/>
        <w:jc w:val="both"/>
      </w:pPr>
    </w:p>
    <w:p w14:paraId="47EDFA29" w14:textId="5EEE6B7D" w:rsidR="00AB4C64" w:rsidRPr="001A28D2" w:rsidRDefault="00B56699" w:rsidP="007E77CC">
      <w:pPr>
        <w:widowControl w:val="0"/>
        <w:autoSpaceDE w:val="0"/>
        <w:autoSpaceDN w:val="0"/>
        <w:adjustRightInd w:val="0"/>
        <w:ind w:firstLine="709"/>
        <w:contextualSpacing/>
        <w:jc w:val="both"/>
      </w:pPr>
      <w:r w:rsidRPr="001A28D2">
        <w:t xml:space="preserve">Към </w:t>
      </w:r>
      <w:r w:rsidRPr="001A28D2">
        <w:rPr>
          <w:bCs/>
        </w:rPr>
        <w:t>31.12.2016</w:t>
      </w:r>
      <w:r w:rsidR="00CD748F" w:rsidRPr="001A28D2">
        <w:rPr>
          <w:bCs/>
        </w:rPr>
        <w:t> </w:t>
      </w:r>
      <w:r w:rsidRPr="001A28D2">
        <w:rPr>
          <w:bCs/>
        </w:rPr>
        <w:t xml:space="preserve">г. </w:t>
      </w:r>
      <w:r w:rsidRPr="001A28D2">
        <w:t xml:space="preserve">фискалният резерв е в размер на </w:t>
      </w:r>
      <w:r w:rsidRPr="001A28D2">
        <w:rPr>
          <w:bCs/>
        </w:rPr>
        <w:t>12,88 млрд. лв.</w:t>
      </w:r>
      <w:r w:rsidRPr="001A28D2">
        <w:t>, в т.ч.</w:t>
      </w:r>
      <w:r w:rsidR="00CD748F" w:rsidRPr="001A28D2">
        <w:t> </w:t>
      </w:r>
      <w:r w:rsidRPr="001A28D2">
        <w:t xml:space="preserve">11,10 млрд. лв. депозити на фискалния резерв в БНБ и банки и 1,78 млрд. лв. вземания от фондовете на </w:t>
      </w:r>
      <w:r w:rsidR="00727B69" w:rsidRPr="001A28D2">
        <w:t>ЕС</w:t>
      </w:r>
      <w:r w:rsidRPr="001A28D2">
        <w:t xml:space="preserve"> за сертифицирани разходи, аванси и други. Средствата на фискалния резерв по депозити в БНБ са в размер на 10,70 млрд. лв., а в банките – 0,40 млрд. лв. В централната банка са открити депозитни сметки на Държавния фонд за гарантиране устойчивост на държавната пенсионна система в размер (към 31.12.2016</w:t>
      </w:r>
      <w:r w:rsidR="00CD748F" w:rsidRPr="001A28D2">
        <w:t> </w:t>
      </w:r>
      <w:r w:rsidRPr="001A28D2">
        <w:t xml:space="preserve">г.) на 2,66 млрд. лв. със срок от една година, левови депозитни сметки на </w:t>
      </w:r>
      <w:r w:rsidR="00727B69" w:rsidRPr="001A28D2">
        <w:t>ЦБ</w:t>
      </w:r>
      <w:r w:rsidRPr="001A28D2">
        <w:t xml:space="preserve"> в размер на 2,30 млрд. лв. и валутни депозитни сметки на централния бюджет 4,40 млрд. лв., със срок от една година. В банките са открити депозитни сметки на Националния фонд от средствата по предприсъединителните инструменти, вкл. и от националното </w:t>
      </w:r>
      <w:proofErr w:type="spellStart"/>
      <w:r w:rsidRPr="001A28D2">
        <w:t>съфинансиране</w:t>
      </w:r>
      <w:proofErr w:type="spellEnd"/>
      <w:r w:rsidRPr="001A28D2">
        <w:t xml:space="preserve"> в размер на 0,04 млрд. лв. към края на годината.</w:t>
      </w:r>
      <w:r w:rsidR="00A94DA7" w:rsidRPr="001A28D2">
        <w:rPr>
          <w:rStyle w:val="FootnoteReference"/>
        </w:rPr>
        <w:footnoteReference w:id="105"/>
      </w:r>
      <w:r w:rsidRPr="001A28D2">
        <w:t xml:space="preserve"> </w:t>
      </w:r>
    </w:p>
    <w:p w14:paraId="0FA2DB87" w14:textId="77777777" w:rsidR="00AB4C64" w:rsidRPr="001A28D2" w:rsidRDefault="00B56699" w:rsidP="007E77CC">
      <w:pPr>
        <w:widowControl w:val="0"/>
        <w:autoSpaceDE w:val="0"/>
        <w:autoSpaceDN w:val="0"/>
        <w:adjustRightInd w:val="0"/>
        <w:ind w:firstLine="709"/>
        <w:contextualSpacing/>
        <w:jc w:val="both"/>
      </w:pPr>
      <w:r w:rsidRPr="001A28D2">
        <w:t xml:space="preserve">Най-високо ниво общата сума на фискалния резерв достига в края на третото тримесечие на 2016 г. – 14,29 млрд. лв. или почти два пъти спрямо края на предходната година. Това се дължи на увеличението на средствата по текущите левови сметки, левови и валутни срочни депозити. </w:t>
      </w:r>
    </w:p>
    <w:p w14:paraId="75CC7B58" w14:textId="7B9E89E6" w:rsidR="00B56699" w:rsidRPr="001A28D2" w:rsidRDefault="00B56699" w:rsidP="007E77CC">
      <w:pPr>
        <w:widowControl w:val="0"/>
        <w:autoSpaceDE w:val="0"/>
        <w:autoSpaceDN w:val="0"/>
        <w:adjustRightInd w:val="0"/>
        <w:ind w:firstLine="709"/>
        <w:contextualSpacing/>
        <w:jc w:val="both"/>
      </w:pPr>
      <w:r w:rsidRPr="001A28D2">
        <w:t>Към края на 31.12.2016</w:t>
      </w:r>
      <w:r w:rsidR="001B61D7" w:rsidRPr="001A28D2">
        <w:t> </w:t>
      </w:r>
      <w:r w:rsidRPr="001A28D2">
        <w:t xml:space="preserve">г. средствата по левови </w:t>
      </w:r>
      <w:r w:rsidR="00975202" w:rsidRPr="001A28D2">
        <w:t xml:space="preserve">сметки </w:t>
      </w:r>
      <w:r w:rsidRPr="001A28D2">
        <w:t>в БНБ са 48,2 на сто, а по валутни – 34,9 на сто от общата сума на фискалния резерв, или 10,7 млрд. лв., което надвишава над два пъти минимално изискуемия размер, определен в ЗДБРБ за 2016</w:t>
      </w:r>
      <w:r w:rsidR="001B61D7" w:rsidRPr="001A28D2">
        <w:t> </w:t>
      </w:r>
      <w:r w:rsidRPr="001A28D2">
        <w:t>г. Вземанията от фондове на ЕС за сертифицирани разходи, аванси и др. също нарастват през годината, като от 0,43 млрд. лв. към края на първото тримесечие достигат  1,78 млрд. лв. или 13,8 на сто от общата сума на фискалния резерв към края на годината. Салдата по сметки са отчетени в Отчета за касово изпълнение на ЦБ към 31.12.2016 г.</w:t>
      </w:r>
      <w:r w:rsidR="00AB4C64" w:rsidRPr="001A28D2">
        <w:t xml:space="preserve"> </w:t>
      </w:r>
      <w:r w:rsidRPr="001A28D2">
        <w:t>(вкл. отчет на ДФГУДПС).</w:t>
      </w:r>
      <w:r w:rsidRPr="001A28D2">
        <w:rPr>
          <w:rFonts w:eastAsia="Calibri"/>
          <w:vertAlign w:val="superscript"/>
        </w:rPr>
        <w:t xml:space="preserve"> </w:t>
      </w:r>
    </w:p>
    <w:p w14:paraId="40A4CCBD" w14:textId="77777777" w:rsidR="00B56699" w:rsidRPr="001A28D2" w:rsidRDefault="00B56699" w:rsidP="007E77CC">
      <w:pPr>
        <w:widowControl w:val="0"/>
        <w:autoSpaceDE w:val="0"/>
        <w:autoSpaceDN w:val="0"/>
        <w:adjustRightInd w:val="0"/>
        <w:spacing w:after="200" w:line="276" w:lineRule="auto"/>
        <w:ind w:firstLine="709"/>
        <w:contextualSpacing/>
        <w:jc w:val="both"/>
        <w:rPr>
          <w:color w:val="000000"/>
          <w:highlight w:val="yellow"/>
        </w:rPr>
      </w:pPr>
    </w:p>
    <w:p w14:paraId="0D4F4C8C" w14:textId="77777777" w:rsidR="00B56699" w:rsidRPr="001A28D2" w:rsidRDefault="000D4801" w:rsidP="007E77CC">
      <w:pPr>
        <w:widowControl w:val="0"/>
        <w:autoSpaceDE w:val="0"/>
        <w:autoSpaceDN w:val="0"/>
        <w:adjustRightInd w:val="0"/>
        <w:spacing w:after="200" w:line="276" w:lineRule="auto"/>
        <w:ind w:firstLine="709"/>
        <w:contextualSpacing/>
        <w:jc w:val="both"/>
        <w:rPr>
          <w:i/>
          <w:color w:val="000000"/>
        </w:rPr>
      </w:pPr>
      <w:r w:rsidRPr="001A28D2">
        <w:rPr>
          <w:i/>
          <w:color w:val="000000"/>
        </w:rPr>
        <w:t>Разпоредб</w:t>
      </w:r>
      <w:r w:rsidR="000B3934" w:rsidRPr="001A28D2">
        <w:rPr>
          <w:i/>
          <w:color w:val="000000"/>
        </w:rPr>
        <w:t>ата</w:t>
      </w:r>
      <w:r w:rsidRPr="001A28D2">
        <w:rPr>
          <w:i/>
          <w:color w:val="000000"/>
        </w:rPr>
        <w:t xml:space="preserve"> на чл. 41 от ЗПФ </w:t>
      </w:r>
      <w:r w:rsidR="000B3934" w:rsidRPr="001A28D2">
        <w:rPr>
          <w:i/>
          <w:color w:val="000000"/>
        </w:rPr>
        <w:t>е</w:t>
      </w:r>
      <w:r w:rsidRPr="001A28D2">
        <w:rPr>
          <w:i/>
          <w:color w:val="000000"/>
        </w:rPr>
        <w:t xml:space="preserve"> изпълнен</w:t>
      </w:r>
      <w:r w:rsidR="000B3934" w:rsidRPr="001A28D2">
        <w:rPr>
          <w:i/>
          <w:color w:val="000000"/>
        </w:rPr>
        <w:t>а</w:t>
      </w:r>
      <w:r w:rsidRPr="001A28D2">
        <w:rPr>
          <w:i/>
          <w:color w:val="000000"/>
        </w:rPr>
        <w:t>.</w:t>
      </w:r>
    </w:p>
    <w:p w14:paraId="36386130" w14:textId="77777777" w:rsidR="009F23F9" w:rsidRPr="001A28D2" w:rsidRDefault="009F23F9" w:rsidP="007E77CC">
      <w:pPr>
        <w:ind w:left="34" w:firstLine="709"/>
        <w:jc w:val="both"/>
        <w:textAlignment w:val="center"/>
        <w:rPr>
          <w:rFonts w:eastAsiaTheme="minorHAnsi"/>
          <w:highlight w:val="yellow"/>
          <w:lang w:eastAsia="en-US"/>
        </w:rPr>
      </w:pPr>
    </w:p>
    <w:p w14:paraId="2BF54F79" w14:textId="77777777" w:rsidR="009F23F9" w:rsidRPr="001A28D2" w:rsidRDefault="00316843" w:rsidP="007E77CC">
      <w:pPr>
        <w:widowControl w:val="0"/>
        <w:tabs>
          <w:tab w:val="left" w:pos="1134"/>
        </w:tabs>
        <w:autoSpaceDE w:val="0"/>
        <w:autoSpaceDN w:val="0"/>
        <w:adjustRightInd w:val="0"/>
        <w:spacing w:after="200" w:line="276" w:lineRule="auto"/>
        <w:ind w:firstLine="709"/>
        <w:contextualSpacing/>
        <w:jc w:val="both"/>
        <w:textAlignment w:val="center"/>
        <w:rPr>
          <w:b/>
        </w:rPr>
      </w:pPr>
      <w:r w:rsidRPr="001A28D2">
        <w:rPr>
          <w:b/>
        </w:rPr>
        <w:t xml:space="preserve">3. </w:t>
      </w:r>
      <w:r w:rsidR="009F23F9" w:rsidRPr="001A28D2">
        <w:rPr>
          <w:b/>
        </w:rPr>
        <w:t>Изисквания във връзка със с</w:t>
      </w:r>
      <w:r w:rsidR="009F23F9" w:rsidRPr="001A28D2">
        <w:rPr>
          <w:b/>
          <w:bCs/>
        </w:rPr>
        <w:t>труктурата на държавния бюджет по ЗПФ</w:t>
      </w:r>
    </w:p>
    <w:p w14:paraId="7CF6910C" w14:textId="5A4E9D99" w:rsidR="009F23F9" w:rsidRPr="001A28D2" w:rsidRDefault="009F23F9" w:rsidP="007E77CC">
      <w:pPr>
        <w:widowControl w:val="0"/>
        <w:autoSpaceDE w:val="0"/>
        <w:autoSpaceDN w:val="0"/>
        <w:adjustRightInd w:val="0"/>
        <w:ind w:left="33" w:firstLine="709"/>
        <w:contextualSpacing/>
        <w:jc w:val="both"/>
      </w:pPr>
      <w:r w:rsidRPr="001A28D2">
        <w:t xml:space="preserve">Резервът за непредвидени и/или неотложни разходи по </w:t>
      </w:r>
      <w:r w:rsidR="00F95A26" w:rsidRPr="001A28D2">
        <w:t>ЦБ</w:t>
      </w:r>
      <w:r w:rsidRPr="001A28D2">
        <w:t xml:space="preserve"> се разходва въз основа на акт на </w:t>
      </w:r>
      <w:r w:rsidR="00975202" w:rsidRPr="001A28D2">
        <w:t>МС</w:t>
      </w:r>
      <w:r w:rsidRPr="001A28D2">
        <w:t>.</w:t>
      </w:r>
      <w:r w:rsidRPr="001A28D2">
        <w:rPr>
          <w:vertAlign w:val="superscript"/>
        </w:rPr>
        <w:footnoteReference w:id="106"/>
      </w:r>
      <w:r w:rsidR="00DA4C78" w:rsidRPr="001A28D2">
        <w:t xml:space="preserve"> През 2016</w:t>
      </w:r>
      <w:r w:rsidRPr="001A28D2">
        <w:t xml:space="preserve"> г. от </w:t>
      </w:r>
      <w:r w:rsidR="00975202" w:rsidRPr="001A28D2">
        <w:t>МС</w:t>
      </w:r>
      <w:r w:rsidRPr="001A28D2">
        <w:t xml:space="preserve"> са издавани постановления за одобряване на допълнителни трансфери от резерва за непредвидени и/или неотложни разходи за предотвратяване, овладяване и преодоляване на последиците от бедствия.</w:t>
      </w:r>
      <w:r w:rsidR="00313022" w:rsidRPr="001A28D2">
        <w:t xml:space="preserve"> </w:t>
      </w:r>
    </w:p>
    <w:p w14:paraId="1A276D20" w14:textId="77777777" w:rsidR="00313022" w:rsidRPr="001A28D2" w:rsidRDefault="00313022" w:rsidP="007E77CC">
      <w:pPr>
        <w:widowControl w:val="0"/>
        <w:tabs>
          <w:tab w:val="left" w:pos="459"/>
        </w:tabs>
        <w:autoSpaceDE w:val="0"/>
        <w:autoSpaceDN w:val="0"/>
        <w:adjustRightInd w:val="0"/>
        <w:ind w:left="33" w:firstLine="709"/>
        <w:contextualSpacing/>
        <w:jc w:val="both"/>
        <w:rPr>
          <w:bCs/>
        </w:rPr>
      </w:pPr>
      <w:r w:rsidRPr="001A28D2">
        <w:t>С ПМС </w:t>
      </w:r>
      <w:r w:rsidRPr="001A28D2">
        <w:sym w:font="Times New Roman" w:char="2116"/>
      </w:r>
      <w:r w:rsidRPr="001A28D2">
        <w:t> 40 от 25.02.2016 г. са одобрени допълнителни разходи/трансфери за 2016</w:t>
      </w:r>
      <w:r w:rsidR="00B24F0C" w:rsidRPr="001A28D2">
        <w:t> </w:t>
      </w:r>
      <w:r w:rsidRPr="001A28D2">
        <w:t>г. в общ размер до 42 258 хил. лв</w:t>
      </w:r>
      <w:r w:rsidR="00882469" w:rsidRPr="001A28D2">
        <w:t>.</w:t>
      </w:r>
      <w:r w:rsidRPr="001A28D2">
        <w:t xml:space="preserve"> по бюджета на МС за 2016 г. за продължаване изграждането на временно възпрепятстващо съоръжение по българо-турската граница – до 35 000 хил. лв., </w:t>
      </w:r>
      <w:r w:rsidRPr="001A28D2">
        <w:rPr>
          <w:bCs/>
        </w:rPr>
        <w:t>прието на основание чл. 109, ал. 3 от ЗПФ и чл. 90, ал. 2 от ЗДБРБ 2016 г.</w:t>
      </w:r>
    </w:p>
    <w:p w14:paraId="75923086" w14:textId="5F50827A" w:rsidR="00F84C54" w:rsidRPr="001A28D2" w:rsidRDefault="00313022" w:rsidP="007E77CC">
      <w:pPr>
        <w:widowControl w:val="0"/>
        <w:tabs>
          <w:tab w:val="left" w:pos="317"/>
        </w:tabs>
        <w:autoSpaceDE w:val="0"/>
        <w:autoSpaceDN w:val="0"/>
        <w:adjustRightInd w:val="0"/>
        <w:ind w:left="33" w:firstLine="709"/>
        <w:contextualSpacing/>
        <w:jc w:val="both"/>
      </w:pPr>
      <w:r w:rsidRPr="001A28D2">
        <w:rPr>
          <w:bCs/>
        </w:rPr>
        <w:lastRenderedPageBreak/>
        <w:t>С ПМС </w:t>
      </w:r>
      <w:r w:rsidRPr="001A28D2">
        <w:sym w:font="Times New Roman" w:char="2116"/>
      </w:r>
      <w:r w:rsidRPr="001A28D2">
        <w:rPr>
          <w:bCs/>
        </w:rPr>
        <w:t xml:space="preserve"> 93 от 21.04.2016 г. са одобрени допълнителни разходи по бюджета на </w:t>
      </w:r>
      <w:r w:rsidR="00975202" w:rsidRPr="001A28D2">
        <w:rPr>
          <w:bCs/>
        </w:rPr>
        <w:t>МЗХ</w:t>
      </w:r>
      <w:r w:rsidRPr="001A28D2">
        <w:rPr>
          <w:bCs/>
        </w:rPr>
        <w:t xml:space="preserve"> за 2016 г. </w:t>
      </w:r>
      <w:r w:rsidRPr="001A28D2">
        <w:t>в размер 14</w:t>
      </w:r>
      <w:r w:rsidR="00CC0B35" w:rsidRPr="001A28D2">
        <w:t> </w:t>
      </w:r>
      <w:r w:rsidRPr="001A28D2">
        <w:t>490</w:t>
      </w:r>
      <w:r w:rsidR="00CC0B35" w:rsidRPr="001A28D2">
        <w:t> хил. </w:t>
      </w:r>
      <w:r w:rsidRPr="001A28D2">
        <w:t xml:space="preserve">лв. за дейности по ограничаване и ликвидиране на заболяването „заразен </w:t>
      </w:r>
      <w:proofErr w:type="spellStart"/>
      <w:r w:rsidRPr="001A28D2">
        <w:t>нодуларен</w:t>
      </w:r>
      <w:proofErr w:type="spellEnd"/>
      <w:r w:rsidRPr="001A28D2">
        <w:t xml:space="preserve"> </w:t>
      </w:r>
      <w:proofErr w:type="spellStart"/>
      <w:r w:rsidRPr="001A28D2">
        <w:t>дерматит</w:t>
      </w:r>
      <w:proofErr w:type="spellEnd"/>
      <w:r w:rsidRPr="001A28D2">
        <w:t xml:space="preserve">”, повишаване на </w:t>
      </w:r>
      <w:proofErr w:type="spellStart"/>
      <w:r w:rsidRPr="001A28D2">
        <w:t>епизоотичната</w:t>
      </w:r>
      <w:proofErr w:type="spellEnd"/>
      <w:r w:rsidRPr="001A28D2">
        <w:t xml:space="preserve"> готовност в цялата страна и за изплащане на обезщетения на собственици на животни по реда на чл. 141 от </w:t>
      </w:r>
      <w:r w:rsidR="002979DD" w:rsidRPr="001A28D2">
        <w:t>З</w:t>
      </w:r>
      <w:r w:rsidRPr="001A28D2">
        <w:t xml:space="preserve">акона за ветеринарномедицинската дейност, прието на основание чл. 109, ал. 3 от ЗПФ. </w:t>
      </w:r>
    </w:p>
    <w:p w14:paraId="045C84F6" w14:textId="28AC0A1A" w:rsidR="00313022" w:rsidRPr="001A28D2" w:rsidRDefault="00313022" w:rsidP="007E77CC">
      <w:pPr>
        <w:widowControl w:val="0"/>
        <w:tabs>
          <w:tab w:val="left" w:pos="317"/>
        </w:tabs>
        <w:autoSpaceDE w:val="0"/>
        <w:autoSpaceDN w:val="0"/>
        <w:adjustRightInd w:val="0"/>
        <w:ind w:left="33" w:firstLine="709"/>
        <w:contextualSpacing/>
        <w:jc w:val="both"/>
      </w:pPr>
      <w:r w:rsidRPr="001A28D2">
        <w:t xml:space="preserve">С ПМС № 115 от 10.05.2016 г. са одобрени допълнителни разходи/трансфери от резерва по чл. 1, ал. 2, раздел II, т. 5.1 от ЗБДРБ за 2016 г. за непредвидени и/или неотложни разходи за предотвратяване, овладяване и преодоляване на последиците от бедствия, издадено на основание чл. 43, ал. 3, чл. 51, ал. 2 и чл. 109, ал. 3 от ЗПФ и чл. 90, ал. 2 от ЗДБРБ за 2016 г. Одобрени са промени по бюджетите на 10 ПРБ в размер на 20 506 728 лв., като финансовите средства са предназначени за възстановяване на извършени непредвидени разходи за аварийно-спасителни дейности при овладяване на бедствени положения и кризисни ситуации, за укрепване на сгради, на </w:t>
      </w:r>
      <w:proofErr w:type="spellStart"/>
      <w:r w:rsidRPr="001A28D2">
        <w:t>свлачища</w:t>
      </w:r>
      <w:proofErr w:type="spellEnd"/>
      <w:r w:rsidRPr="001A28D2">
        <w:t>, за защита от вредно въздействие на водите на урбанизирани територии и участъци от транспортната инфраструктура и за възстановителна помощ.</w:t>
      </w:r>
    </w:p>
    <w:p w14:paraId="6C6583A4" w14:textId="77777777" w:rsidR="00A06A92" w:rsidRPr="001A28D2" w:rsidRDefault="00DA4C78" w:rsidP="007E77CC">
      <w:pPr>
        <w:autoSpaceDE w:val="0"/>
        <w:autoSpaceDN w:val="0"/>
        <w:adjustRightInd w:val="0"/>
        <w:ind w:firstLine="709"/>
        <w:jc w:val="both"/>
        <w:rPr>
          <w:rFonts w:eastAsiaTheme="minorHAnsi"/>
          <w:lang w:eastAsia="en-US"/>
        </w:rPr>
      </w:pPr>
      <w:r w:rsidRPr="001A28D2">
        <w:rPr>
          <w:rFonts w:eastAsiaTheme="minorHAnsi"/>
          <w:lang w:eastAsia="en-US"/>
        </w:rPr>
        <w:t>Съгласно разпоредбите на чл.</w:t>
      </w:r>
      <w:r w:rsidR="00331736" w:rsidRPr="001A28D2">
        <w:rPr>
          <w:rFonts w:eastAsiaTheme="minorHAnsi"/>
          <w:lang w:eastAsia="en-US"/>
        </w:rPr>
        <w:t> </w:t>
      </w:r>
      <w:r w:rsidRPr="001A28D2">
        <w:rPr>
          <w:rFonts w:eastAsiaTheme="minorHAnsi"/>
          <w:lang w:eastAsia="en-US"/>
        </w:rPr>
        <w:t>42, ал.</w:t>
      </w:r>
      <w:r w:rsidR="00331736" w:rsidRPr="001A28D2">
        <w:rPr>
          <w:rFonts w:eastAsiaTheme="minorHAnsi"/>
          <w:lang w:eastAsia="en-US"/>
        </w:rPr>
        <w:t> </w:t>
      </w:r>
      <w:r w:rsidRPr="001A28D2">
        <w:rPr>
          <w:rFonts w:eastAsiaTheme="minorHAnsi"/>
          <w:lang w:eastAsia="en-US"/>
        </w:rPr>
        <w:t>3 от ЗПФ, в държавния бюджет се предвиждат резерви за непредвидени и/или неотложни разходи - по централния бюджет, по бюджета на Народното събрание и по бюджета на съдебната власт. Размерът на резервите се определя със закона за държавния бюджет за съответната година. За 2016</w:t>
      </w:r>
      <w:r w:rsidR="00331736" w:rsidRPr="001A28D2">
        <w:rPr>
          <w:rFonts w:eastAsiaTheme="minorHAnsi"/>
          <w:lang w:eastAsia="en-US"/>
        </w:rPr>
        <w:t> </w:t>
      </w:r>
      <w:r w:rsidRPr="001A28D2">
        <w:rPr>
          <w:rFonts w:eastAsiaTheme="minorHAnsi"/>
          <w:lang w:eastAsia="en-US"/>
        </w:rPr>
        <w:t>г. е предвиден резерв в размер на 71</w:t>
      </w:r>
      <w:r w:rsidR="00AA02DB" w:rsidRPr="001A28D2">
        <w:rPr>
          <w:rFonts w:eastAsiaTheme="minorHAnsi"/>
          <w:lang w:eastAsia="en-US"/>
        </w:rPr>
        <w:t> </w:t>
      </w:r>
      <w:r w:rsidRPr="001A28D2">
        <w:rPr>
          <w:rFonts w:eastAsiaTheme="minorHAnsi"/>
          <w:lang w:eastAsia="en-US"/>
        </w:rPr>
        <w:t>100</w:t>
      </w:r>
      <w:r w:rsidR="00AA02DB" w:rsidRPr="001A28D2">
        <w:rPr>
          <w:rFonts w:eastAsiaTheme="minorHAnsi"/>
          <w:lang w:eastAsia="en-US"/>
        </w:rPr>
        <w:t> </w:t>
      </w:r>
      <w:r w:rsidRPr="001A28D2">
        <w:rPr>
          <w:rFonts w:eastAsiaTheme="minorHAnsi"/>
          <w:lang w:eastAsia="en-US"/>
        </w:rPr>
        <w:t>хил.</w:t>
      </w:r>
      <w:r w:rsidR="00331736" w:rsidRPr="001A28D2">
        <w:rPr>
          <w:rFonts w:eastAsiaTheme="minorHAnsi"/>
          <w:lang w:eastAsia="en-US"/>
        </w:rPr>
        <w:t> </w:t>
      </w:r>
      <w:r w:rsidRPr="001A28D2">
        <w:rPr>
          <w:rFonts w:eastAsiaTheme="minorHAnsi"/>
          <w:lang w:eastAsia="en-US"/>
        </w:rPr>
        <w:t>лв., в т.</w:t>
      </w:r>
      <w:r w:rsidR="00F4214C" w:rsidRPr="001A28D2">
        <w:rPr>
          <w:rFonts w:eastAsiaTheme="minorHAnsi"/>
          <w:lang w:eastAsia="en-US"/>
        </w:rPr>
        <w:t> </w:t>
      </w:r>
      <w:r w:rsidRPr="001A28D2">
        <w:rPr>
          <w:rFonts w:eastAsiaTheme="minorHAnsi"/>
          <w:lang w:eastAsia="en-US"/>
        </w:rPr>
        <w:t>ч. по централния бюджет за предотвратяване, овладяване и преодоляване на последиците от бедствия - 70</w:t>
      </w:r>
      <w:r w:rsidR="00331736" w:rsidRPr="001A28D2">
        <w:rPr>
          <w:rFonts w:eastAsiaTheme="minorHAnsi"/>
          <w:lang w:eastAsia="en-US"/>
        </w:rPr>
        <w:t> </w:t>
      </w:r>
      <w:r w:rsidRPr="001A28D2">
        <w:rPr>
          <w:rFonts w:eastAsiaTheme="minorHAnsi"/>
          <w:lang w:eastAsia="en-US"/>
        </w:rPr>
        <w:t>000</w:t>
      </w:r>
      <w:r w:rsidR="00331736" w:rsidRPr="001A28D2">
        <w:rPr>
          <w:rFonts w:eastAsiaTheme="minorHAnsi"/>
          <w:lang w:eastAsia="en-US"/>
        </w:rPr>
        <w:t> </w:t>
      </w:r>
      <w:r w:rsidRPr="001A28D2">
        <w:rPr>
          <w:rFonts w:eastAsiaTheme="minorHAnsi"/>
          <w:lang w:eastAsia="en-US"/>
        </w:rPr>
        <w:t>хил.</w:t>
      </w:r>
      <w:r w:rsidR="00331736" w:rsidRPr="001A28D2">
        <w:rPr>
          <w:rFonts w:eastAsiaTheme="minorHAnsi"/>
          <w:lang w:eastAsia="en-US"/>
        </w:rPr>
        <w:t> </w:t>
      </w:r>
      <w:r w:rsidRPr="001A28D2">
        <w:rPr>
          <w:rFonts w:eastAsiaTheme="minorHAnsi"/>
          <w:lang w:eastAsia="en-US"/>
        </w:rPr>
        <w:t xml:space="preserve">лв., по бюджета на Съдебната власт </w:t>
      </w:r>
      <w:r w:rsidR="00331736" w:rsidRPr="001A28D2">
        <w:rPr>
          <w:rFonts w:eastAsiaTheme="minorHAnsi"/>
          <w:lang w:eastAsia="en-US"/>
        </w:rPr>
        <w:t>–</w:t>
      </w:r>
      <w:r w:rsidRPr="001A28D2">
        <w:rPr>
          <w:rFonts w:eastAsiaTheme="minorHAnsi"/>
          <w:lang w:eastAsia="en-US"/>
        </w:rPr>
        <w:t xml:space="preserve"> 600</w:t>
      </w:r>
      <w:r w:rsidR="00331736" w:rsidRPr="001A28D2">
        <w:rPr>
          <w:rFonts w:eastAsiaTheme="minorHAnsi"/>
          <w:lang w:eastAsia="en-US"/>
        </w:rPr>
        <w:t> </w:t>
      </w:r>
      <w:r w:rsidRPr="001A28D2">
        <w:rPr>
          <w:rFonts w:eastAsiaTheme="minorHAnsi"/>
          <w:lang w:eastAsia="en-US"/>
        </w:rPr>
        <w:t>хил.</w:t>
      </w:r>
      <w:r w:rsidR="00331736" w:rsidRPr="001A28D2">
        <w:rPr>
          <w:rFonts w:eastAsiaTheme="minorHAnsi"/>
          <w:lang w:eastAsia="en-US"/>
        </w:rPr>
        <w:t> </w:t>
      </w:r>
      <w:r w:rsidRPr="001A28D2">
        <w:rPr>
          <w:rFonts w:eastAsiaTheme="minorHAnsi"/>
          <w:lang w:eastAsia="en-US"/>
        </w:rPr>
        <w:t xml:space="preserve">лв. и по бюджета на Народното събрание </w:t>
      </w:r>
      <w:r w:rsidR="00331736" w:rsidRPr="001A28D2">
        <w:rPr>
          <w:rFonts w:eastAsiaTheme="minorHAnsi"/>
          <w:lang w:eastAsia="en-US"/>
        </w:rPr>
        <w:t>–</w:t>
      </w:r>
      <w:r w:rsidRPr="001A28D2">
        <w:rPr>
          <w:rFonts w:eastAsiaTheme="minorHAnsi"/>
          <w:lang w:eastAsia="en-US"/>
        </w:rPr>
        <w:t xml:space="preserve"> 500</w:t>
      </w:r>
      <w:r w:rsidR="00331736" w:rsidRPr="001A28D2">
        <w:rPr>
          <w:rFonts w:eastAsiaTheme="minorHAnsi"/>
          <w:lang w:eastAsia="en-US"/>
        </w:rPr>
        <w:t> </w:t>
      </w:r>
      <w:r w:rsidRPr="001A28D2">
        <w:rPr>
          <w:rFonts w:eastAsiaTheme="minorHAnsi"/>
          <w:lang w:eastAsia="en-US"/>
        </w:rPr>
        <w:t>хил.</w:t>
      </w:r>
      <w:r w:rsidR="00331736" w:rsidRPr="001A28D2">
        <w:rPr>
          <w:rFonts w:eastAsiaTheme="minorHAnsi"/>
          <w:lang w:eastAsia="en-US"/>
        </w:rPr>
        <w:t> </w:t>
      </w:r>
      <w:r w:rsidRPr="001A28D2">
        <w:rPr>
          <w:rFonts w:eastAsiaTheme="minorHAnsi"/>
          <w:lang w:eastAsia="en-US"/>
        </w:rPr>
        <w:t>лв. (чл.</w:t>
      </w:r>
      <w:r w:rsidR="00331736" w:rsidRPr="001A28D2">
        <w:rPr>
          <w:rFonts w:eastAsiaTheme="minorHAnsi"/>
          <w:lang w:eastAsia="en-US"/>
        </w:rPr>
        <w:t> </w:t>
      </w:r>
      <w:r w:rsidRPr="001A28D2">
        <w:rPr>
          <w:rFonts w:eastAsiaTheme="minorHAnsi"/>
          <w:lang w:eastAsia="en-US"/>
        </w:rPr>
        <w:t>1, ал.</w:t>
      </w:r>
      <w:r w:rsidR="00331736" w:rsidRPr="001A28D2">
        <w:rPr>
          <w:rFonts w:eastAsiaTheme="minorHAnsi"/>
          <w:lang w:eastAsia="en-US"/>
        </w:rPr>
        <w:t> 2, раздел </w:t>
      </w:r>
      <w:r w:rsidRPr="001A28D2">
        <w:rPr>
          <w:rFonts w:eastAsiaTheme="minorHAnsi"/>
          <w:lang w:eastAsia="en-US"/>
        </w:rPr>
        <w:t>ІІ, т.</w:t>
      </w:r>
      <w:r w:rsidR="00331736" w:rsidRPr="001A28D2">
        <w:rPr>
          <w:rFonts w:eastAsiaTheme="minorHAnsi"/>
          <w:lang w:eastAsia="en-US"/>
        </w:rPr>
        <w:t> </w:t>
      </w:r>
      <w:r w:rsidRPr="001A28D2">
        <w:rPr>
          <w:rFonts w:eastAsiaTheme="minorHAnsi"/>
          <w:lang w:eastAsia="en-US"/>
        </w:rPr>
        <w:t>5. от ЗДБРБ 2016</w:t>
      </w:r>
      <w:r w:rsidR="00331736" w:rsidRPr="001A28D2">
        <w:rPr>
          <w:rFonts w:eastAsiaTheme="minorHAnsi"/>
          <w:lang w:eastAsia="en-US"/>
        </w:rPr>
        <w:t> </w:t>
      </w:r>
      <w:r w:rsidRPr="001A28D2">
        <w:rPr>
          <w:rFonts w:eastAsiaTheme="minorHAnsi"/>
          <w:lang w:eastAsia="en-US"/>
        </w:rPr>
        <w:t xml:space="preserve">г.) </w:t>
      </w:r>
    </w:p>
    <w:p w14:paraId="21C3401A" w14:textId="77777777" w:rsidR="00DC0D7E" w:rsidRPr="001A28D2" w:rsidRDefault="00DA4C78" w:rsidP="007E77CC">
      <w:pPr>
        <w:autoSpaceDE w:val="0"/>
        <w:autoSpaceDN w:val="0"/>
        <w:adjustRightInd w:val="0"/>
        <w:ind w:firstLine="709"/>
        <w:jc w:val="both"/>
        <w:rPr>
          <w:rFonts w:eastAsiaTheme="minorHAnsi"/>
          <w:lang w:eastAsia="en-US"/>
        </w:rPr>
      </w:pPr>
      <w:r w:rsidRPr="001A28D2">
        <w:rPr>
          <w:rFonts w:eastAsiaTheme="minorHAnsi"/>
          <w:lang w:eastAsia="en-US"/>
        </w:rPr>
        <w:t xml:space="preserve">През годината са </w:t>
      </w:r>
      <w:r w:rsidR="001B77F8" w:rsidRPr="001A28D2">
        <w:rPr>
          <w:rFonts w:eastAsiaTheme="minorHAnsi"/>
          <w:lang w:eastAsia="en-US"/>
        </w:rPr>
        <w:t>одобрени</w:t>
      </w:r>
      <w:r w:rsidRPr="001A28D2">
        <w:rPr>
          <w:rFonts w:eastAsiaTheme="minorHAnsi"/>
          <w:lang w:eastAsia="en-US"/>
        </w:rPr>
        <w:t xml:space="preserve"> допълнителни средства от резерва с постановления на Министерския съвет на 9 ПРБ и общини, в размер на 69 996</w:t>
      </w:r>
      <w:r w:rsidR="001D6F21" w:rsidRPr="001A28D2">
        <w:rPr>
          <w:rFonts w:eastAsiaTheme="minorHAnsi"/>
          <w:lang w:eastAsia="en-US"/>
        </w:rPr>
        <w:t> </w:t>
      </w:r>
      <w:r w:rsidRPr="001A28D2">
        <w:rPr>
          <w:rFonts w:eastAsiaTheme="minorHAnsi"/>
          <w:lang w:eastAsia="en-US"/>
        </w:rPr>
        <w:t>728</w:t>
      </w:r>
      <w:r w:rsidR="001D6F21" w:rsidRPr="001A28D2">
        <w:rPr>
          <w:rFonts w:eastAsiaTheme="minorHAnsi"/>
          <w:lang w:eastAsia="en-US"/>
        </w:rPr>
        <w:t> </w:t>
      </w:r>
      <w:r w:rsidRPr="001A28D2">
        <w:rPr>
          <w:rFonts w:eastAsiaTheme="minorHAnsi"/>
          <w:lang w:eastAsia="en-US"/>
        </w:rPr>
        <w:t>лв.</w:t>
      </w:r>
    </w:p>
    <w:p w14:paraId="0D782637" w14:textId="69C18E34" w:rsidR="00DA4C78" w:rsidRPr="001A28D2" w:rsidRDefault="00DA4C78" w:rsidP="007E77CC">
      <w:pPr>
        <w:autoSpaceDE w:val="0"/>
        <w:autoSpaceDN w:val="0"/>
        <w:adjustRightInd w:val="0"/>
        <w:ind w:firstLine="709"/>
        <w:jc w:val="both"/>
        <w:rPr>
          <w:rFonts w:eastAsiaTheme="minorHAnsi"/>
          <w:lang w:eastAsia="en-US"/>
        </w:rPr>
      </w:pPr>
      <w:r w:rsidRPr="001A28D2">
        <w:rPr>
          <w:rFonts w:eastAsiaTheme="minorHAnsi"/>
          <w:lang w:eastAsia="en-US"/>
        </w:rPr>
        <w:t>Общо са отчетени 65 499</w:t>
      </w:r>
      <w:r w:rsidR="001D6F21" w:rsidRPr="001A28D2">
        <w:rPr>
          <w:rFonts w:eastAsiaTheme="minorHAnsi"/>
          <w:lang w:eastAsia="en-US"/>
        </w:rPr>
        <w:t> </w:t>
      </w:r>
      <w:r w:rsidRPr="001A28D2">
        <w:rPr>
          <w:rFonts w:eastAsiaTheme="minorHAnsi"/>
          <w:lang w:eastAsia="en-US"/>
        </w:rPr>
        <w:t>003</w:t>
      </w:r>
      <w:r w:rsidR="001D6F21" w:rsidRPr="001A28D2">
        <w:rPr>
          <w:rFonts w:eastAsiaTheme="minorHAnsi"/>
          <w:lang w:eastAsia="en-US"/>
        </w:rPr>
        <w:t> </w:t>
      </w:r>
      <w:r w:rsidRPr="001A28D2">
        <w:rPr>
          <w:rFonts w:eastAsiaTheme="minorHAnsi"/>
          <w:lang w:eastAsia="en-US"/>
        </w:rPr>
        <w:t>лв. или 93,6</w:t>
      </w:r>
      <w:r w:rsidR="001D6F21" w:rsidRPr="001A28D2">
        <w:rPr>
          <w:rFonts w:eastAsiaTheme="minorHAnsi"/>
          <w:lang w:eastAsia="en-US"/>
        </w:rPr>
        <w:t> </w:t>
      </w:r>
      <w:r w:rsidRPr="001A28D2">
        <w:rPr>
          <w:rFonts w:eastAsiaTheme="minorHAnsi"/>
          <w:lang w:eastAsia="en-US"/>
        </w:rPr>
        <w:t>на</w:t>
      </w:r>
      <w:r w:rsidR="001D6F21" w:rsidRPr="001A28D2">
        <w:rPr>
          <w:rFonts w:eastAsiaTheme="minorHAnsi"/>
          <w:lang w:eastAsia="en-US"/>
        </w:rPr>
        <w:t> </w:t>
      </w:r>
      <w:r w:rsidRPr="001A28D2">
        <w:rPr>
          <w:rFonts w:eastAsiaTheme="minorHAnsi"/>
          <w:lang w:eastAsia="en-US"/>
        </w:rPr>
        <w:t>сто от отпуснатите средства, които съставляват 92,</w:t>
      </w:r>
      <w:r w:rsidR="00073887" w:rsidRPr="001A28D2">
        <w:rPr>
          <w:rFonts w:eastAsiaTheme="minorHAnsi"/>
          <w:lang w:eastAsia="en-US"/>
        </w:rPr>
        <w:t>1</w:t>
      </w:r>
      <w:r w:rsidR="001D6F21" w:rsidRPr="001A28D2">
        <w:rPr>
          <w:rFonts w:eastAsiaTheme="minorHAnsi"/>
          <w:lang w:eastAsia="en-US"/>
        </w:rPr>
        <w:t> </w:t>
      </w:r>
      <w:r w:rsidRPr="001A28D2">
        <w:rPr>
          <w:rFonts w:eastAsiaTheme="minorHAnsi"/>
          <w:lang w:eastAsia="en-US"/>
        </w:rPr>
        <w:t>на</w:t>
      </w:r>
      <w:r w:rsidR="001D6F21" w:rsidRPr="001A28D2">
        <w:rPr>
          <w:rFonts w:eastAsiaTheme="minorHAnsi"/>
          <w:lang w:eastAsia="en-US"/>
        </w:rPr>
        <w:t> </w:t>
      </w:r>
      <w:r w:rsidRPr="001A28D2">
        <w:rPr>
          <w:rFonts w:eastAsiaTheme="minorHAnsi"/>
          <w:lang w:eastAsia="en-US"/>
        </w:rPr>
        <w:t xml:space="preserve">сто от общо утвърдения резерв за непредвидени и/или неотложни разходи със ЗДБРБ за 2016 г. Не е установено </w:t>
      </w:r>
      <w:proofErr w:type="spellStart"/>
      <w:r w:rsidRPr="001A28D2">
        <w:rPr>
          <w:rFonts w:eastAsiaTheme="minorHAnsi"/>
          <w:lang w:eastAsia="en-US"/>
        </w:rPr>
        <w:t>превишение</w:t>
      </w:r>
      <w:proofErr w:type="spellEnd"/>
      <w:r w:rsidRPr="001A28D2">
        <w:rPr>
          <w:rFonts w:eastAsiaTheme="minorHAnsi"/>
          <w:lang w:eastAsia="en-US"/>
        </w:rPr>
        <w:t xml:space="preserve"> на усвоените над </w:t>
      </w:r>
      <w:r w:rsidR="00073887" w:rsidRPr="001A28D2">
        <w:rPr>
          <w:rFonts w:eastAsiaTheme="minorHAnsi"/>
          <w:lang w:eastAsia="en-US"/>
        </w:rPr>
        <w:t>одобрените</w:t>
      </w:r>
      <w:r w:rsidRPr="001A28D2">
        <w:rPr>
          <w:rFonts w:eastAsiaTheme="minorHAnsi"/>
          <w:lang w:eastAsia="en-US"/>
        </w:rPr>
        <w:t xml:space="preserve"> суми от ПРБ.</w:t>
      </w:r>
      <w:r w:rsidRPr="001A28D2">
        <w:rPr>
          <w:rFonts w:eastAsiaTheme="minorHAnsi"/>
          <w:vertAlign w:val="superscript"/>
          <w:lang w:eastAsia="en-US"/>
        </w:rPr>
        <w:footnoteReference w:id="107"/>
      </w:r>
    </w:p>
    <w:p w14:paraId="555EB45E" w14:textId="77777777" w:rsidR="00DA4C78" w:rsidRPr="001A28D2" w:rsidRDefault="00DA4C78" w:rsidP="007E77CC">
      <w:pPr>
        <w:widowControl w:val="0"/>
        <w:autoSpaceDE w:val="0"/>
        <w:autoSpaceDN w:val="0"/>
        <w:adjustRightInd w:val="0"/>
        <w:ind w:left="33" w:firstLine="709"/>
        <w:contextualSpacing/>
        <w:jc w:val="both"/>
        <w:rPr>
          <w:highlight w:val="yellow"/>
        </w:rPr>
      </w:pPr>
    </w:p>
    <w:p w14:paraId="2D3A5051" w14:textId="77777777" w:rsidR="00DA4C78" w:rsidRPr="001A28D2" w:rsidRDefault="00684918" w:rsidP="007E77CC">
      <w:pPr>
        <w:widowControl w:val="0"/>
        <w:autoSpaceDE w:val="0"/>
        <w:autoSpaceDN w:val="0"/>
        <w:adjustRightInd w:val="0"/>
        <w:ind w:left="33" w:firstLine="709"/>
        <w:contextualSpacing/>
        <w:jc w:val="both"/>
        <w:rPr>
          <w:i/>
        </w:rPr>
      </w:pPr>
      <w:r w:rsidRPr="001A28D2">
        <w:rPr>
          <w:i/>
        </w:rPr>
        <w:t xml:space="preserve">Издавани са постановления за одобряване на допълнителни трансфери от резерва за непредвидени и/или неотложни разходи за предотвратяване, овладяване и преодоляване на последиците от бедствия. Не са установени превишения над одобрените размери. </w:t>
      </w:r>
      <w:r w:rsidR="00D763ED" w:rsidRPr="001A28D2">
        <w:rPr>
          <w:i/>
        </w:rPr>
        <w:t>Спазени са изискванията на чл.</w:t>
      </w:r>
      <w:r w:rsidR="001B77F8" w:rsidRPr="001A28D2">
        <w:rPr>
          <w:i/>
        </w:rPr>
        <w:t> </w:t>
      </w:r>
      <w:r w:rsidR="00D763ED" w:rsidRPr="001A28D2">
        <w:rPr>
          <w:i/>
        </w:rPr>
        <w:t>43</w:t>
      </w:r>
      <w:r w:rsidR="003174B6" w:rsidRPr="001A28D2">
        <w:rPr>
          <w:i/>
        </w:rPr>
        <w:t>, ал. 3</w:t>
      </w:r>
      <w:r w:rsidR="00D763ED" w:rsidRPr="001A28D2">
        <w:rPr>
          <w:i/>
        </w:rPr>
        <w:t xml:space="preserve"> от ЗПФ. </w:t>
      </w:r>
    </w:p>
    <w:p w14:paraId="312808EC" w14:textId="77777777" w:rsidR="00DA4C78" w:rsidRPr="001A28D2" w:rsidRDefault="00DA4C78" w:rsidP="007E77CC">
      <w:pPr>
        <w:widowControl w:val="0"/>
        <w:autoSpaceDE w:val="0"/>
        <w:autoSpaceDN w:val="0"/>
        <w:adjustRightInd w:val="0"/>
        <w:ind w:left="33" w:firstLine="709"/>
        <w:contextualSpacing/>
        <w:jc w:val="both"/>
        <w:rPr>
          <w:highlight w:val="yellow"/>
        </w:rPr>
      </w:pPr>
    </w:p>
    <w:p w14:paraId="67EB02E0" w14:textId="77777777" w:rsidR="009F23F9" w:rsidRPr="001A28D2" w:rsidRDefault="00316843" w:rsidP="007E77CC">
      <w:pPr>
        <w:widowControl w:val="0"/>
        <w:tabs>
          <w:tab w:val="left" w:pos="1134"/>
        </w:tabs>
        <w:autoSpaceDE w:val="0"/>
        <w:autoSpaceDN w:val="0"/>
        <w:adjustRightInd w:val="0"/>
        <w:ind w:firstLine="709"/>
        <w:contextualSpacing/>
        <w:jc w:val="both"/>
        <w:textAlignment w:val="center"/>
        <w:rPr>
          <w:b/>
        </w:rPr>
      </w:pPr>
      <w:r w:rsidRPr="001A28D2">
        <w:rPr>
          <w:b/>
        </w:rPr>
        <w:t xml:space="preserve">4. </w:t>
      </w:r>
      <w:r w:rsidR="009F23F9" w:rsidRPr="001A28D2">
        <w:rPr>
          <w:b/>
        </w:rPr>
        <w:t xml:space="preserve">Изисквания относно бюджетните взаимоотношения </w:t>
      </w:r>
    </w:p>
    <w:p w14:paraId="3DDA2D9B" w14:textId="54749A3E" w:rsidR="00454100" w:rsidRPr="001A28D2" w:rsidRDefault="0099456D" w:rsidP="007E77CC">
      <w:pPr>
        <w:autoSpaceDE w:val="0"/>
        <w:autoSpaceDN w:val="0"/>
        <w:adjustRightInd w:val="0"/>
        <w:ind w:left="34" w:firstLine="709"/>
        <w:jc w:val="both"/>
        <w:rPr>
          <w:rFonts w:eastAsiaTheme="minorHAnsi"/>
          <w:highlight w:val="yellow"/>
          <w:lang w:eastAsia="en-US"/>
        </w:rPr>
      </w:pPr>
      <w:r w:rsidRPr="001A28D2">
        <w:t>4.1.</w:t>
      </w:r>
      <w:r w:rsidR="001B77F8" w:rsidRPr="001A28D2">
        <w:t xml:space="preserve"> </w:t>
      </w:r>
      <w:r w:rsidR="00454100" w:rsidRPr="001A28D2">
        <w:t>Съгласно изискванията на ЗПФ, при неизпълнение на приходите по бюджетите на ДОО и на НЗОК</w:t>
      </w:r>
      <w:r w:rsidR="00C20A60" w:rsidRPr="001A28D2">
        <w:t xml:space="preserve">, </w:t>
      </w:r>
      <w:r w:rsidR="00454100" w:rsidRPr="001A28D2">
        <w:t>М</w:t>
      </w:r>
      <w:r w:rsidR="00C20A60" w:rsidRPr="001A28D2">
        <w:t>инистерският съвет</w:t>
      </w:r>
      <w:r w:rsidR="00454100" w:rsidRPr="001A28D2">
        <w:t xml:space="preserve"> може да одобри допълнителни трансфери от ЦБ по бюджетите на ДОО и на НЗОК за финансирането на утвърдените им разходи, ако това не води до влошаване на бюджетното салдо по </w:t>
      </w:r>
      <w:r w:rsidR="00CC7DA1" w:rsidRPr="001A28D2">
        <w:t>КФП</w:t>
      </w:r>
      <w:r w:rsidR="00454100" w:rsidRPr="001A28D2">
        <w:t xml:space="preserve"> и не са налице възможности за финансиране с наличности по сметките им. П</w:t>
      </w:r>
      <w:r w:rsidR="00454100" w:rsidRPr="001A28D2">
        <w:rPr>
          <w:rFonts w:eastAsiaTheme="minorHAnsi"/>
          <w:lang w:eastAsia="en-US"/>
        </w:rPr>
        <w:t xml:space="preserve">ри </w:t>
      </w:r>
      <w:proofErr w:type="spellStart"/>
      <w:r w:rsidR="00454100" w:rsidRPr="001A28D2">
        <w:rPr>
          <w:rFonts w:eastAsiaTheme="minorHAnsi"/>
          <w:lang w:eastAsia="en-US"/>
        </w:rPr>
        <w:t>превишение</w:t>
      </w:r>
      <w:proofErr w:type="spellEnd"/>
      <w:r w:rsidR="00454100" w:rsidRPr="001A28D2">
        <w:rPr>
          <w:rFonts w:eastAsiaTheme="minorHAnsi"/>
          <w:lang w:eastAsia="en-US"/>
        </w:rPr>
        <w:t xml:space="preserve"> над предвидените разходи за пенсии, помощи и обезщетения, изплащани от бюджета на ДОО, МС може да одобри допълнителни трансфери от </w:t>
      </w:r>
      <w:r w:rsidR="00CC7DA1" w:rsidRPr="001A28D2">
        <w:rPr>
          <w:rFonts w:eastAsiaTheme="minorHAnsi"/>
          <w:lang w:eastAsia="en-US"/>
        </w:rPr>
        <w:t>ЦБ</w:t>
      </w:r>
      <w:r w:rsidR="00454100" w:rsidRPr="001A28D2">
        <w:rPr>
          <w:rFonts w:eastAsiaTheme="minorHAnsi"/>
          <w:lang w:eastAsia="en-US"/>
        </w:rPr>
        <w:t xml:space="preserve"> по бюджета на </w:t>
      </w:r>
      <w:r w:rsidR="00CC7DA1" w:rsidRPr="001A28D2">
        <w:rPr>
          <w:rFonts w:eastAsiaTheme="minorHAnsi"/>
          <w:lang w:eastAsia="en-US"/>
        </w:rPr>
        <w:t>ДОО</w:t>
      </w:r>
      <w:r w:rsidR="00454100" w:rsidRPr="001A28D2">
        <w:rPr>
          <w:rFonts w:eastAsiaTheme="minorHAnsi"/>
          <w:lang w:eastAsia="en-US"/>
        </w:rPr>
        <w:t xml:space="preserve">, ако това не води до влошаване на </w:t>
      </w:r>
      <w:r w:rsidR="00454100" w:rsidRPr="001A28D2">
        <w:rPr>
          <w:rFonts w:eastAsiaTheme="minorHAnsi"/>
          <w:lang w:eastAsia="en-US"/>
        </w:rPr>
        <w:lastRenderedPageBreak/>
        <w:t xml:space="preserve">бюджетното салдо по </w:t>
      </w:r>
      <w:r w:rsidR="00CC7DA1" w:rsidRPr="001A28D2">
        <w:rPr>
          <w:rFonts w:eastAsiaTheme="minorHAnsi"/>
          <w:lang w:eastAsia="en-US"/>
        </w:rPr>
        <w:t>КФП</w:t>
      </w:r>
      <w:r w:rsidR="00454100" w:rsidRPr="001A28D2">
        <w:rPr>
          <w:rFonts w:eastAsiaTheme="minorHAnsi"/>
          <w:lang w:eastAsia="en-US"/>
        </w:rPr>
        <w:t xml:space="preserve"> и не са налице възможности за финансиране за сметка на преизпълнение на приходите по бюджета на </w:t>
      </w:r>
      <w:r w:rsidR="00CC7DA1" w:rsidRPr="001A28D2">
        <w:rPr>
          <w:rFonts w:eastAsiaTheme="minorHAnsi"/>
          <w:lang w:eastAsia="en-US"/>
        </w:rPr>
        <w:t>ДОО</w:t>
      </w:r>
      <w:r w:rsidR="00454100" w:rsidRPr="001A28D2">
        <w:rPr>
          <w:rFonts w:eastAsiaTheme="minorHAnsi"/>
          <w:lang w:eastAsia="en-US"/>
        </w:rPr>
        <w:t>.</w:t>
      </w:r>
      <w:r w:rsidR="00CB6B7E" w:rsidRPr="001A28D2">
        <w:rPr>
          <w:rStyle w:val="FootnoteReference"/>
        </w:rPr>
        <w:t xml:space="preserve"> </w:t>
      </w:r>
      <w:r w:rsidR="00CB6B7E" w:rsidRPr="001A28D2">
        <w:rPr>
          <w:rStyle w:val="FootnoteReference"/>
        </w:rPr>
        <w:footnoteReference w:id="108"/>
      </w:r>
    </w:p>
    <w:p w14:paraId="7614722A" w14:textId="77777777" w:rsidR="00CB6B7E" w:rsidRPr="001A28D2" w:rsidRDefault="00CB6B7E" w:rsidP="007E77CC">
      <w:pPr>
        <w:autoSpaceDE w:val="0"/>
        <w:autoSpaceDN w:val="0"/>
        <w:adjustRightInd w:val="0"/>
        <w:ind w:left="33" w:firstLine="709"/>
        <w:jc w:val="both"/>
        <w:rPr>
          <w:rFonts w:eastAsiaTheme="minorHAnsi"/>
          <w:lang w:eastAsia="en-US"/>
        </w:rPr>
      </w:pPr>
      <w:r w:rsidRPr="001A28D2">
        <w:rPr>
          <w:rFonts w:eastAsiaTheme="minorHAnsi"/>
          <w:lang w:eastAsia="en-US"/>
        </w:rPr>
        <w:t xml:space="preserve">Съгласно ЗДБРБ 2016 г. се предоставят трансфери за ДОО в размер на 5 065 887,1 хил. лв. и </w:t>
      </w:r>
      <w:r w:rsidR="003256AF" w:rsidRPr="001A28D2">
        <w:rPr>
          <w:rFonts w:eastAsiaTheme="minorHAnsi"/>
          <w:lang w:eastAsia="en-US"/>
        </w:rPr>
        <w:t xml:space="preserve">за </w:t>
      </w:r>
      <w:r w:rsidRPr="001A28D2">
        <w:rPr>
          <w:rFonts w:eastAsiaTheme="minorHAnsi"/>
          <w:lang w:eastAsia="en-US"/>
        </w:rPr>
        <w:t xml:space="preserve">НЗОК – </w:t>
      </w:r>
      <w:r w:rsidR="00562808" w:rsidRPr="001A28D2">
        <w:rPr>
          <w:rFonts w:eastAsiaTheme="minorHAnsi"/>
          <w:lang w:eastAsia="en-US"/>
        </w:rPr>
        <w:t xml:space="preserve">в размер на </w:t>
      </w:r>
      <w:r w:rsidRPr="001A28D2">
        <w:rPr>
          <w:rFonts w:eastAsiaTheme="minorHAnsi"/>
          <w:lang w:eastAsia="en-US"/>
        </w:rPr>
        <w:t>1 069 199,0 хил. лв.</w:t>
      </w:r>
      <w:r w:rsidR="00562808" w:rsidRPr="001A28D2">
        <w:rPr>
          <w:rFonts w:eastAsiaTheme="minorHAnsi"/>
          <w:lang w:eastAsia="en-US"/>
        </w:rPr>
        <w:t xml:space="preserve"> </w:t>
      </w:r>
      <w:r w:rsidRPr="001A28D2">
        <w:rPr>
          <w:rFonts w:eastAsiaTheme="minorHAnsi"/>
          <w:lang w:eastAsia="en-US"/>
        </w:rPr>
        <w:t>Отчетени</w:t>
      </w:r>
      <w:r w:rsidR="00562808" w:rsidRPr="001A28D2">
        <w:rPr>
          <w:rFonts w:eastAsiaTheme="minorHAnsi"/>
          <w:lang w:eastAsia="en-US"/>
        </w:rPr>
        <w:t>те</w:t>
      </w:r>
      <w:r w:rsidRPr="001A28D2">
        <w:rPr>
          <w:rFonts w:eastAsiaTheme="minorHAnsi"/>
          <w:lang w:eastAsia="en-US"/>
        </w:rPr>
        <w:t xml:space="preserve"> предоставени трансфери за</w:t>
      </w:r>
      <w:r w:rsidR="00562808" w:rsidRPr="001A28D2">
        <w:rPr>
          <w:rFonts w:eastAsiaTheme="minorHAnsi"/>
          <w:lang w:eastAsia="en-US"/>
        </w:rPr>
        <w:t xml:space="preserve"> </w:t>
      </w:r>
      <w:r w:rsidRPr="001A28D2">
        <w:rPr>
          <w:rFonts w:eastAsiaTheme="minorHAnsi"/>
          <w:lang w:eastAsia="en-US"/>
        </w:rPr>
        <w:t xml:space="preserve">ДОО </w:t>
      </w:r>
      <w:r w:rsidR="00562808" w:rsidRPr="001A28D2">
        <w:rPr>
          <w:rFonts w:eastAsiaTheme="minorHAnsi"/>
          <w:lang w:eastAsia="en-US"/>
        </w:rPr>
        <w:t>са</w:t>
      </w:r>
      <w:r w:rsidRPr="001A28D2">
        <w:rPr>
          <w:rFonts w:eastAsiaTheme="minorHAnsi"/>
          <w:lang w:eastAsia="en-US"/>
        </w:rPr>
        <w:t xml:space="preserve"> 4 953 632,2 хил. лв.</w:t>
      </w:r>
      <w:r w:rsidR="00562808" w:rsidRPr="001A28D2">
        <w:rPr>
          <w:rFonts w:eastAsiaTheme="minorHAnsi"/>
          <w:lang w:eastAsia="en-US"/>
        </w:rPr>
        <w:t xml:space="preserve">, а за </w:t>
      </w:r>
      <w:r w:rsidRPr="001A28D2">
        <w:rPr>
          <w:rFonts w:eastAsiaTheme="minorHAnsi"/>
          <w:lang w:eastAsia="en-US"/>
        </w:rPr>
        <w:t>НЗОК 1 069 732,1 хил. лв.</w:t>
      </w:r>
      <w:r w:rsidR="00562808" w:rsidRPr="001A28D2">
        <w:rPr>
          <w:rFonts w:eastAsiaTheme="minorHAnsi"/>
          <w:lang w:eastAsia="en-US"/>
        </w:rPr>
        <w:t xml:space="preserve"> Последните</w:t>
      </w:r>
      <w:r w:rsidRPr="001A28D2">
        <w:rPr>
          <w:rFonts w:eastAsiaTheme="minorHAnsi"/>
          <w:lang w:eastAsia="en-US"/>
        </w:rPr>
        <w:t xml:space="preserve"> надвишават утвърдените с 533,1 хил. лв.</w:t>
      </w:r>
      <w:r w:rsidR="00026D20" w:rsidRPr="001A28D2">
        <w:rPr>
          <w:rFonts w:eastAsiaTheme="minorHAnsi"/>
          <w:lang w:eastAsia="en-US"/>
        </w:rPr>
        <w:t xml:space="preserve"> </w:t>
      </w:r>
      <w:proofErr w:type="spellStart"/>
      <w:r w:rsidR="00026D20" w:rsidRPr="001A28D2">
        <w:rPr>
          <w:rFonts w:eastAsiaTheme="minorHAnsi"/>
          <w:lang w:eastAsia="en-US"/>
        </w:rPr>
        <w:t>Превишението</w:t>
      </w:r>
      <w:proofErr w:type="spellEnd"/>
      <w:r w:rsidR="00026D20" w:rsidRPr="001A28D2">
        <w:rPr>
          <w:rFonts w:eastAsiaTheme="minorHAnsi"/>
          <w:lang w:eastAsia="en-US"/>
        </w:rPr>
        <w:t xml:space="preserve"> се дължи на предоставен допълнителен трансфер от бюджета на МЗ за 2016 г. за изпълнение на задълженията, произтичащи от прилагането на правилата за координация на системите за социална сигурност съгласно §3 от ПЗР на ЗБНЗОК за 2016 г.</w:t>
      </w:r>
      <w:r w:rsidR="00026D20" w:rsidRPr="001A28D2">
        <w:rPr>
          <w:rFonts w:eastAsiaTheme="minorHAnsi"/>
          <w:vertAlign w:val="superscript"/>
          <w:lang w:eastAsia="en-US"/>
        </w:rPr>
        <w:footnoteReference w:id="109"/>
      </w:r>
      <w:r w:rsidR="00026D20" w:rsidRPr="001A28D2">
        <w:rPr>
          <w:rFonts w:eastAsiaTheme="minorHAnsi"/>
          <w:lang w:eastAsia="en-US"/>
        </w:rPr>
        <w:t xml:space="preserve"> </w:t>
      </w:r>
      <w:r w:rsidRPr="001A28D2">
        <w:rPr>
          <w:rFonts w:eastAsiaTheme="minorHAnsi"/>
          <w:lang w:eastAsia="en-US"/>
        </w:rPr>
        <w:t>Бюджетното салдо по КФП за 2016</w:t>
      </w:r>
      <w:r w:rsidR="00026D20" w:rsidRPr="001A28D2">
        <w:rPr>
          <w:rFonts w:eastAsiaTheme="minorHAnsi"/>
          <w:lang w:eastAsia="en-US"/>
        </w:rPr>
        <w:t> </w:t>
      </w:r>
      <w:r w:rsidRPr="001A28D2">
        <w:rPr>
          <w:rFonts w:eastAsiaTheme="minorHAnsi"/>
          <w:lang w:eastAsia="en-US"/>
        </w:rPr>
        <w:t>г. е положително.</w:t>
      </w:r>
    </w:p>
    <w:p w14:paraId="096CB3D1" w14:textId="77777777" w:rsidR="00026D20" w:rsidRPr="001A28D2" w:rsidRDefault="00026D20" w:rsidP="007E77CC">
      <w:pPr>
        <w:autoSpaceDE w:val="0"/>
        <w:autoSpaceDN w:val="0"/>
        <w:adjustRightInd w:val="0"/>
        <w:ind w:left="33" w:firstLine="709"/>
        <w:jc w:val="both"/>
        <w:rPr>
          <w:rFonts w:eastAsiaTheme="minorHAnsi"/>
          <w:lang w:eastAsia="en-US"/>
        </w:rPr>
      </w:pPr>
    </w:p>
    <w:p w14:paraId="2A3B0476" w14:textId="77777777" w:rsidR="00026D20" w:rsidRPr="001A28D2" w:rsidRDefault="00026D20" w:rsidP="007E77CC">
      <w:pPr>
        <w:autoSpaceDE w:val="0"/>
        <w:autoSpaceDN w:val="0"/>
        <w:adjustRightInd w:val="0"/>
        <w:ind w:left="33" w:firstLine="709"/>
        <w:jc w:val="both"/>
        <w:rPr>
          <w:rFonts w:eastAsiaTheme="minorHAnsi"/>
          <w:i/>
          <w:lang w:eastAsia="en-US"/>
        </w:rPr>
      </w:pPr>
      <w:r w:rsidRPr="001A28D2">
        <w:rPr>
          <w:rFonts w:eastAsiaTheme="minorHAnsi"/>
          <w:i/>
          <w:lang w:eastAsia="en-US"/>
        </w:rPr>
        <w:t>Спазени са разпоредбите на чл. 48 от ЗПФ.</w:t>
      </w:r>
    </w:p>
    <w:p w14:paraId="3526EACD" w14:textId="77777777" w:rsidR="00FC730E" w:rsidRPr="001A28D2" w:rsidRDefault="00FC730E" w:rsidP="007E77CC">
      <w:pPr>
        <w:autoSpaceDE w:val="0"/>
        <w:autoSpaceDN w:val="0"/>
        <w:adjustRightInd w:val="0"/>
        <w:ind w:left="33" w:firstLine="709"/>
        <w:jc w:val="both"/>
        <w:rPr>
          <w:rFonts w:eastAsiaTheme="minorHAnsi"/>
          <w:i/>
          <w:lang w:eastAsia="en-US"/>
        </w:rPr>
      </w:pPr>
    </w:p>
    <w:p w14:paraId="310A7C56" w14:textId="184E19A9" w:rsidR="00FC730E" w:rsidRPr="001A28D2" w:rsidRDefault="0099456D" w:rsidP="007E77CC">
      <w:pPr>
        <w:tabs>
          <w:tab w:val="left" w:pos="360"/>
          <w:tab w:val="left" w:pos="502"/>
        </w:tabs>
        <w:kinsoku w:val="0"/>
        <w:overflowPunct w:val="0"/>
        <w:autoSpaceDE w:val="0"/>
        <w:autoSpaceDN w:val="0"/>
        <w:adjustRightInd w:val="0"/>
        <w:ind w:firstLine="709"/>
        <w:jc w:val="both"/>
        <w:rPr>
          <w:rFonts w:eastAsiaTheme="minorHAnsi"/>
          <w:lang w:eastAsia="en-US"/>
        </w:rPr>
      </w:pPr>
      <w:r w:rsidRPr="001A28D2">
        <w:rPr>
          <w:rFonts w:eastAsiaTheme="minorHAnsi"/>
          <w:lang w:eastAsia="en-US"/>
        </w:rPr>
        <w:t>4.2.</w:t>
      </w:r>
      <w:r w:rsidR="004C1087" w:rsidRPr="001A28D2">
        <w:rPr>
          <w:rFonts w:eastAsiaTheme="minorHAnsi"/>
          <w:lang w:eastAsia="en-US"/>
        </w:rPr>
        <w:t xml:space="preserve"> </w:t>
      </w:r>
      <w:r w:rsidR="00FC730E" w:rsidRPr="001A28D2">
        <w:rPr>
          <w:rFonts w:eastAsiaTheme="minorHAnsi"/>
          <w:lang w:eastAsia="en-US"/>
        </w:rPr>
        <w:t xml:space="preserve">Държавата финансира делегираните на общините държавни дейности с обща субсидия за тези дейности. Общата субсидия за финансиране на делегираните от държавата дейности се определя въз основа на приети от </w:t>
      </w:r>
      <w:r w:rsidR="005671C1" w:rsidRPr="001A28D2">
        <w:rPr>
          <w:rFonts w:eastAsiaTheme="minorHAnsi"/>
          <w:lang w:eastAsia="en-US"/>
        </w:rPr>
        <w:t>МС</w:t>
      </w:r>
      <w:r w:rsidR="00FC730E" w:rsidRPr="001A28D2">
        <w:rPr>
          <w:rFonts w:eastAsiaTheme="minorHAnsi"/>
          <w:lang w:eastAsia="en-US"/>
        </w:rPr>
        <w:t xml:space="preserve"> стандарти за финансиране и натурални показатели за съответната дейност.</w:t>
      </w:r>
      <w:r w:rsidR="00FC730E" w:rsidRPr="001A28D2">
        <w:rPr>
          <w:rStyle w:val="FootnoteReference"/>
          <w:rFonts w:eastAsiaTheme="minorHAnsi"/>
          <w:lang w:eastAsia="en-US"/>
        </w:rPr>
        <w:footnoteReference w:id="110"/>
      </w:r>
    </w:p>
    <w:p w14:paraId="7A50BC1E" w14:textId="704655C8" w:rsidR="00972526" w:rsidRPr="001A28D2" w:rsidRDefault="00FC730E" w:rsidP="007E77CC">
      <w:pPr>
        <w:ind w:firstLine="709"/>
        <w:jc w:val="both"/>
      </w:pPr>
      <w:r w:rsidRPr="001A28D2">
        <w:rPr>
          <w:bCs/>
        </w:rPr>
        <w:t xml:space="preserve">С </w:t>
      </w:r>
      <w:r w:rsidR="008D2233" w:rsidRPr="001A28D2">
        <w:rPr>
          <w:bCs/>
        </w:rPr>
        <w:t xml:space="preserve">чл. 50 от </w:t>
      </w:r>
      <w:r w:rsidRPr="001A28D2">
        <w:rPr>
          <w:bCs/>
        </w:rPr>
        <w:t>ЗДБРБ</w:t>
      </w:r>
      <w:r w:rsidR="00875904" w:rsidRPr="001A28D2">
        <w:rPr>
          <w:bCs/>
        </w:rPr>
        <w:t> </w:t>
      </w:r>
      <w:r w:rsidRPr="001A28D2">
        <w:rPr>
          <w:bCs/>
        </w:rPr>
        <w:t>2016</w:t>
      </w:r>
      <w:r w:rsidR="00875904" w:rsidRPr="001A28D2">
        <w:rPr>
          <w:bCs/>
        </w:rPr>
        <w:t> </w:t>
      </w:r>
      <w:r w:rsidRPr="001A28D2">
        <w:rPr>
          <w:bCs/>
        </w:rPr>
        <w:t>г.</w:t>
      </w:r>
      <w:r w:rsidRPr="001A28D2">
        <w:t xml:space="preserve"> са приети размерите на бюджетните взаимоотношения между централния бюджет и бюджетите на общините за 2016</w:t>
      </w:r>
      <w:r w:rsidR="00875904" w:rsidRPr="001A28D2">
        <w:t> </w:t>
      </w:r>
      <w:r w:rsidRPr="001A28D2">
        <w:t xml:space="preserve">г. под формата на субсидии по видове: обща субсидия за делегираните от държавата дейности 2 222 918,7 хил. лв., трансфери за местни дейности, в т.ч. обща изравнителна субсидия 269 000 хил. лв. и трансфер за зимно поддържане и </w:t>
      </w:r>
      <w:proofErr w:type="spellStart"/>
      <w:r w:rsidRPr="001A28D2">
        <w:t>снегопочистване</w:t>
      </w:r>
      <w:proofErr w:type="spellEnd"/>
      <w:r w:rsidRPr="001A28D2">
        <w:t xml:space="preserve"> на общински пътища 28 128,1 хил. лв., целева субсидия за капиталови разходи </w:t>
      </w:r>
      <w:r w:rsidR="00972526" w:rsidRPr="001A28D2">
        <w:t>142 090,2 хил. лв. и по общини.</w:t>
      </w:r>
    </w:p>
    <w:p w14:paraId="064DB2AE" w14:textId="77777777" w:rsidR="00972526" w:rsidRPr="001A28D2" w:rsidRDefault="00FC730E" w:rsidP="007E77CC">
      <w:pPr>
        <w:ind w:firstLine="709"/>
        <w:jc w:val="both"/>
        <w:rPr>
          <w:rFonts w:eastAsiaTheme="minorHAnsi"/>
          <w:lang w:eastAsia="en-US"/>
        </w:rPr>
      </w:pPr>
      <w:r w:rsidRPr="001A28D2">
        <w:rPr>
          <w:rFonts w:eastAsiaTheme="minorHAnsi"/>
          <w:lang w:eastAsia="en-US"/>
        </w:rPr>
        <w:t xml:space="preserve">Уточненият план възлиза на 2 321 438,9 хил. лв. за общата субсидия за делегираните от държавата дейности; 289 261,2 хил. лв. целева субсидия за капиталови разходи и целеви трансфери 159 293,4 хил. лв. </w:t>
      </w:r>
    </w:p>
    <w:p w14:paraId="6DCC605A" w14:textId="23580906" w:rsidR="00FC730E" w:rsidRPr="001A28D2" w:rsidRDefault="00FC730E" w:rsidP="007E77CC">
      <w:pPr>
        <w:ind w:firstLine="709"/>
        <w:jc w:val="both"/>
        <w:rPr>
          <w:rFonts w:eastAsiaTheme="minorHAnsi"/>
          <w:lang w:eastAsia="en-US"/>
        </w:rPr>
      </w:pPr>
      <w:r w:rsidRPr="001A28D2">
        <w:rPr>
          <w:rFonts w:eastAsiaTheme="minorHAnsi"/>
          <w:lang w:eastAsia="en-US"/>
        </w:rPr>
        <w:t xml:space="preserve">Отчетени са 2 321 418,6 хил. лв. обща субсидия за делегирани от държавата дейности и 289 078,6 хил. лв. </w:t>
      </w:r>
      <w:r w:rsidR="00972526" w:rsidRPr="001A28D2">
        <w:rPr>
          <w:rFonts w:eastAsiaTheme="minorHAnsi"/>
          <w:lang w:eastAsia="en-US"/>
        </w:rPr>
        <w:t xml:space="preserve">целева субсидия за капиталови разходи, </w:t>
      </w:r>
      <w:r w:rsidRPr="001A28D2">
        <w:rPr>
          <w:rFonts w:eastAsiaTheme="minorHAnsi"/>
          <w:lang w:eastAsia="en-US"/>
        </w:rPr>
        <w:t xml:space="preserve">или изпълнението по тези </w:t>
      </w:r>
      <w:r w:rsidR="00972526" w:rsidRPr="001A28D2">
        <w:rPr>
          <w:rFonts w:eastAsiaTheme="minorHAnsi"/>
          <w:lang w:eastAsia="en-US"/>
        </w:rPr>
        <w:t xml:space="preserve">два </w:t>
      </w:r>
      <w:r w:rsidRPr="001A28D2">
        <w:rPr>
          <w:rFonts w:eastAsiaTheme="minorHAnsi"/>
          <w:lang w:eastAsia="en-US"/>
        </w:rPr>
        <w:t>показатели е 99,</w:t>
      </w:r>
      <w:proofErr w:type="spellStart"/>
      <w:r w:rsidRPr="001A28D2">
        <w:rPr>
          <w:rFonts w:eastAsiaTheme="minorHAnsi"/>
          <w:lang w:eastAsia="en-US"/>
        </w:rPr>
        <w:t>9</w:t>
      </w:r>
      <w:r w:rsidR="00DC67D7" w:rsidRPr="001A28D2">
        <w:rPr>
          <w:rFonts w:eastAsiaTheme="minorHAnsi"/>
          <w:lang w:eastAsia="en-US"/>
        </w:rPr>
        <w:t>9</w:t>
      </w:r>
      <w:proofErr w:type="spellEnd"/>
      <w:r w:rsidRPr="001A28D2">
        <w:rPr>
          <w:rFonts w:eastAsiaTheme="minorHAnsi"/>
          <w:lang w:eastAsia="en-US"/>
        </w:rPr>
        <w:t> на сто</w:t>
      </w:r>
      <w:r w:rsidR="00DC67D7" w:rsidRPr="001A28D2">
        <w:rPr>
          <w:rFonts w:eastAsiaTheme="minorHAnsi"/>
          <w:lang w:eastAsia="en-US"/>
        </w:rPr>
        <w:t xml:space="preserve"> спрямо уточнения план</w:t>
      </w:r>
      <w:r w:rsidRPr="001A28D2">
        <w:rPr>
          <w:rFonts w:eastAsiaTheme="minorHAnsi"/>
          <w:lang w:eastAsia="en-US"/>
        </w:rPr>
        <w:t xml:space="preserve">. Трансферите за местни дейности – обща изравнителна субсидия и зимно поддържане и </w:t>
      </w:r>
      <w:proofErr w:type="spellStart"/>
      <w:r w:rsidRPr="001A28D2">
        <w:rPr>
          <w:rFonts w:eastAsiaTheme="minorHAnsi"/>
          <w:lang w:eastAsia="en-US"/>
        </w:rPr>
        <w:t>снегопочистване</w:t>
      </w:r>
      <w:proofErr w:type="spellEnd"/>
      <w:r w:rsidRPr="001A28D2">
        <w:rPr>
          <w:rFonts w:eastAsiaTheme="minorHAnsi"/>
          <w:lang w:eastAsia="en-US"/>
        </w:rPr>
        <w:t xml:space="preserve"> са планирани и отчетени в размер на 269 000,0 хил. лв. и 28 128,1 хил. лв.</w:t>
      </w:r>
      <w:r w:rsidR="00972526" w:rsidRPr="001A28D2">
        <w:rPr>
          <w:rFonts w:eastAsiaTheme="minorHAnsi"/>
          <w:lang w:eastAsia="en-US"/>
        </w:rPr>
        <w:t xml:space="preserve"> Отчетените </w:t>
      </w:r>
      <w:r w:rsidR="00DC67D7" w:rsidRPr="001A28D2">
        <w:rPr>
          <w:rFonts w:eastAsiaTheme="minorHAnsi"/>
          <w:lang w:eastAsia="en-US"/>
        </w:rPr>
        <w:t xml:space="preserve">други </w:t>
      </w:r>
      <w:r w:rsidR="00972526" w:rsidRPr="001A28D2">
        <w:rPr>
          <w:rFonts w:eastAsiaTheme="minorHAnsi"/>
          <w:lang w:eastAsia="en-US"/>
        </w:rPr>
        <w:t>целеви трансфери са в размер на 157 835,8 хил. лв.</w:t>
      </w:r>
      <w:r w:rsidR="00064050" w:rsidRPr="001A28D2">
        <w:rPr>
          <w:rStyle w:val="FootnoteReference"/>
          <w:rFonts w:eastAsiaTheme="minorHAnsi"/>
          <w:lang w:eastAsia="en-US"/>
        </w:rPr>
        <w:t xml:space="preserve"> </w:t>
      </w:r>
      <w:r w:rsidR="00064050" w:rsidRPr="001A28D2">
        <w:rPr>
          <w:rStyle w:val="FootnoteReference"/>
          <w:rFonts w:eastAsiaTheme="minorHAnsi"/>
          <w:lang w:eastAsia="en-US"/>
        </w:rPr>
        <w:footnoteReference w:id="111"/>
      </w:r>
    </w:p>
    <w:p w14:paraId="54993DCD" w14:textId="77777777" w:rsidR="00FC730E" w:rsidRPr="001A28D2" w:rsidRDefault="00FC730E" w:rsidP="007E77CC">
      <w:pPr>
        <w:ind w:firstLine="709"/>
        <w:jc w:val="both"/>
      </w:pPr>
      <w:r w:rsidRPr="001A28D2">
        <w:t>Общата изравнителна субсидия за местни дейности е предназначена</w:t>
      </w:r>
      <w:r w:rsidRPr="001A28D2">
        <w:rPr>
          <w:rStyle w:val="FootnoteReference"/>
        </w:rPr>
        <w:footnoteReference w:id="112"/>
      </w:r>
      <w:r w:rsidRPr="001A28D2">
        <w:t xml:space="preserve"> да осигури минимално равнище на местните услуги в общините. Механизмът за разпределението на общата изравнителна субсидия по общини се определя със </w:t>
      </w:r>
      <w:r w:rsidR="00DC67D7" w:rsidRPr="001A28D2">
        <w:t>З</w:t>
      </w:r>
      <w:r w:rsidRPr="001A28D2">
        <w:t xml:space="preserve">акона за държавния бюджет за съответната година. Проектът на механизма се съгласува с Националното сдружение на общините в Република България. </w:t>
      </w:r>
    </w:p>
    <w:p w14:paraId="4B6657CC" w14:textId="03B1B345" w:rsidR="00C36267" w:rsidRPr="001A28D2" w:rsidRDefault="00FC730E" w:rsidP="00C36267">
      <w:pPr>
        <w:ind w:firstLine="709"/>
        <w:jc w:val="both"/>
        <w:rPr>
          <w:rFonts w:eastAsia="Calibri"/>
          <w:lang w:eastAsia="en-US"/>
        </w:rPr>
      </w:pPr>
      <w:r w:rsidRPr="001A28D2">
        <w:rPr>
          <w:bCs/>
        </w:rPr>
        <w:t xml:space="preserve">Механизъм за определяне на субсидиите за общините от централния бюджет е представен в </w:t>
      </w:r>
      <w:r w:rsidR="00980BCC" w:rsidRPr="001A28D2">
        <w:t>Приложение № </w:t>
      </w:r>
      <w:r w:rsidRPr="001A28D2">
        <w:t>6 към</w:t>
      </w:r>
      <w:r w:rsidR="005671C1" w:rsidRPr="001A28D2">
        <w:t xml:space="preserve"> чл. 50 на</w:t>
      </w:r>
      <w:r w:rsidRPr="001A28D2">
        <w:t xml:space="preserve"> ЗДБРБ </w:t>
      </w:r>
      <w:r w:rsidRPr="001A28D2">
        <w:rPr>
          <w:bCs/>
        </w:rPr>
        <w:t>2016</w:t>
      </w:r>
      <w:r w:rsidR="00980BCC" w:rsidRPr="001A28D2">
        <w:rPr>
          <w:bCs/>
        </w:rPr>
        <w:t> </w:t>
      </w:r>
      <w:r w:rsidRPr="001A28D2">
        <w:rPr>
          <w:bCs/>
        </w:rPr>
        <w:t>г.</w:t>
      </w:r>
      <w:r w:rsidR="00570EA1" w:rsidRPr="001A28D2">
        <w:rPr>
          <w:bCs/>
        </w:rPr>
        <w:t xml:space="preserve"> Не са предоставени данни относно съгласуване на проекта на механизма с Националното сдружение на общините</w:t>
      </w:r>
      <w:r w:rsidR="00741B63" w:rsidRPr="001A28D2">
        <w:rPr>
          <w:bCs/>
        </w:rPr>
        <w:t xml:space="preserve"> на основание чл. 54, ал.</w:t>
      </w:r>
      <w:r w:rsidR="005671C1" w:rsidRPr="001A28D2">
        <w:rPr>
          <w:bCs/>
        </w:rPr>
        <w:t xml:space="preserve"> 3 от ЗПФ</w:t>
      </w:r>
      <w:r w:rsidR="00570EA1" w:rsidRPr="001A28D2">
        <w:rPr>
          <w:bCs/>
        </w:rPr>
        <w:t>.</w:t>
      </w:r>
      <w:r w:rsidR="00053DB9" w:rsidRPr="001A28D2">
        <w:rPr>
          <w:bCs/>
        </w:rPr>
        <w:t xml:space="preserve"> </w:t>
      </w:r>
      <w:r w:rsidR="00C36267" w:rsidRPr="001A28D2">
        <w:rPr>
          <w:rFonts w:eastAsia="Calibri"/>
          <w:lang w:eastAsia="en-US"/>
        </w:rPr>
        <w:t xml:space="preserve">В Протокол от 29.10.2015 г. за проведени консултации на </w:t>
      </w:r>
      <w:r w:rsidR="00C36267" w:rsidRPr="001A28D2">
        <w:rPr>
          <w:rFonts w:eastAsia="Calibri"/>
          <w:lang w:eastAsia="en-US"/>
        </w:rPr>
        <w:lastRenderedPageBreak/>
        <w:t>основание чл. 74, ал. 2 между МФ и НСОРБ по проекта на ЗДБРБ за 2016 г. в частта за общините е отразено възражението на НСОРБ по отношение на едностранно наложените промени в разпределителните механизми по общини, без предварително съгласуване с общините и НСОРБ.</w:t>
      </w:r>
      <w:r w:rsidR="00C36267" w:rsidRPr="001A28D2">
        <w:rPr>
          <w:rStyle w:val="FootnoteReference"/>
          <w:rFonts w:eastAsia="Calibri"/>
          <w:lang w:eastAsia="en-US"/>
        </w:rPr>
        <w:footnoteReference w:id="113"/>
      </w:r>
      <w:r w:rsidR="00C36267" w:rsidRPr="001A28D2">
        <w:rPr>
          <w:rFonts w:eastAsia="Calibri"/>
          <w:lang w:eastAsia="en-US"/>
        </w:rPr>
        <w:t xml:space="preserve"> </w:t>
      </w:r>
    </w:p>
    <w:p w14:paraId="15E4CAE6" w14:textId="7E315A21" w:rsidR="00FC730E" w:rsidRPr="001A28D2" w:rsidRDefault="00FC730E" w:rsidP="007E77CC">
      <w:pPr>
        <w:ind w:firstLine="709"/>
        <w:jc w:val="both"/>
        <w:rPr>
          <w:bCs/>
        </w:rPr>
      </w:pPr>
    </w:p>
    <w:p w14:paraId="4E9BB7F2" w14:textId="77777777" w:rsidR="00570EA1" w:rsidRPr="001A28D2" w:rsidRDefault="00570EA1" w:rsidP="007E77CC">
      <w:pPr>
        <w:ind w:firstLine="709"/>
        <w:jc w:val="both"/>
        <w:rPr>
          <w:bCs/>
          <w:i/>
        </w:rPr>
      </w:pPr>
      <w:r w:rsidRPr="001A28D2">
        <w:rPr>
          <w:bCs/>
          <w:i/>
        </w:rPr>
        <w:t>Определени са размерите на бюджетните взаимоотношения с общините</w:t>
      </w:r>
      <w:r w:rsidR="00DC67D7" w:rsidRPr="001A28D2">
        <w:rPr>
          <w:bCs/>
          <w:i/>
        </w:rPr>
        <w:t>,</w:t>
      </w:r>
      <w:r w:rsidRPr="001A28D2">
        <w:rPr>
          <w:bCs/>
          <w:i/>
        </w:rPr>
        <w:t xml:space="preserve"> разработен е и е утвърден механизъм за определяне на субсидиите за общините в изпълнение на чл.</w:t>
      </w:r>
      <w:r w:rsidR="00980BCC" w:rsidRPr="001A28D2">
        <w:rPr>
          <w:bCs/>
          <w:i/>
        </w:rPr>
        <w:t> </w:t>
      </w:r>
      <w:r w:rsidRPr="001A28D2">
        <w:rPr>
          <w:bCs/>
          <w:i/>
        </w:rPr>
        <w:t>53 и чл.</w:t>
      </w:r>
      <w:r w:rsidR="00980BCC" w:rsidRPr="001A28D2">
        <w:rPr>
          <w:bCs/>
          <w:i/>
        </w:rPr>
        <w:t> </w:t>
      </w:r>
      <w:r w:rsidRPr="001A28D2">
        <w:rPr>
          <w:bCs/>
          <w:i/>
        </w:rPr>
        <w:t>54, ал.</w:t>
      </w:r>
      <w:r w:rsidR="00980BCC" w:rsidRPr="001A28D2">
        <w:rPr>
          <w:bCs/>
          <w:i/>
        </w:rPr>
        <w:t> </w:t>
      </w:r>
      <w:r w:rsidRPr="001A28D2">
        <w:rPr>
          <w:bCs/>
          <w:i/>
        </w:rPr>
        <w:t xml:space="preserve">1 от ЗПФ. Не е изпълнена </w:t>
      </w:r>
      <w:proofErr w:type="spellStart"/>
      <w:r w:rsidRPr="001A28D2">
        <w:rPr>
          <w:bCs/>
          <w:i/>
        </w:rPr>
        <w:t>съгласувателната</w:t>
      </w:r>
      <w:proofErr w:type="spellEnd"/>
      <w:r w:rsidRPr="001A28D2">
        <w:rPr>
          <w:bCs/>
          <w:i/>
        </w:rPr>
        <w:t xml:space="preserve"> процедура по чл.</w:t>
      </w:r>
      <w:r w:rsidR="00980BCC" w:rsidRPr="001A28D2">
        <w:rPr>
          <w:bCs/>
          <w:i/>
        </w:rPr>
        <w:t> </w:t>
      </w:r>
      <w:r w:rsidRPr="001A28D2">
        <w:rPr>
          <w:bCs/>
          <w:i/>
        </w:rPr>
        <w:t>54, ал.</w:t>
      </w:r>
      <w:r w:rsidR="00980BCC" w:rsidRPr="001A28D2">
        <w:rPr>
          <w:bCs/>
          <w:i/>
        </w:rPr>
        <w:t> </w:t>
      </w:r>
      <w:r w:rsidRPr="001A28D2">
        <w:rPr>
          <w:bCs/>
          <w:i/>
        </w:rPr>
        <w:t xml:space="preserve">3 от </w:t>
      </w:r>
      <w:r w:rsidR="00BF7203" w:rsidRPr="001A28D2">
        <w:rPr>
          <w:bCs/>
          <w:i/>
        </w:rPr>
        <w:t>ЗПФ</w:t>
      </w:r>
      <w:r w:rsidRPr="001A28D2">
        <w:rPr>
          <w:bCs/>
          <w:i/>
        </w:rPr>
        <w:t>.</w:t>
      </w:r>
    </w:p>
    <w:p w14:paraId="46EC8E57" w14:textId="77777777" w:rsidR="00FC730E" w:rsidRPr="001A28D2" w:rsidRDefault="00FC730E" w:rsidP="007E77CC">
      <w:pPr>
        <w:ind w:firstLine="709"/>
        <w:jc w:val="both"/>
      </w:pPr>
    </w:p>
    <w:p w14:paraId="7C1D67C2" w14:textId="0011C5FD" w:rsidR="0071777F" w:rsidRPr="001A28D2" w:rsidRDefault="0099456D" w:rsidP="007E77CC">
      <w:pPr>
        <w:kinsoku w:val="0"/>
        <w:overflowPunct w:val="0"/>
        <w:autoSpaceDE w:val="0"/>
        <w:autoSpaceDN w:val="0"/>
        <w:adjustRightInd w:val="0"/>
        <w:ind w:left="40" w:firstLine="709"/>
        <w:jc w:val="both"/>
        <w:rPr>
          <w:rFonts w:eastAsiaTheme="minorHAnsi"/>
          <w:lang w:eastAsia="en-US"/>
        </w:rPr>
      </w:pPr>
      <w:r w:rsidRPr="001A28D2">
        <w:rPr>
          <w:rFonts w:eastAsiaTheme="minorHAnsi"/>
          <w:lang w:eastAsia="en-US"/>
        </w:rPr>
        <w:t>4.3.</w:t>
      </w:r>
      <w:r w:rsidR="00DC67D7" w:rsidRPr="001A28D2">
        <w:rPr>
          <w:rFonts w:eastAsiaTheme="minorHAnsi"/>
          <w:lang w:eastAsia="en-US"/>
        </w:rPr>
        <w:t xml:space="preserve"> </w:t>
      </w:r>
      <w:r w:rsidR="0071777F" w:rsidRPr="001A28D2">
        <w:rPr>
          <w:rFonts w:eastAsiaTheme="minorHAnsi"/>
          <w:lang w:eastAsia="en-US"/>
        </w:rPr>
        <w:t>Размерът на</w:t>
      </w:r>
      <w:r w:rsidR="0071777F" w:rsidRPr="001A28D2">
        <w:rPr>
          <w:rFonts w:eastAsiaTheme="minorHAnsi"/>
          <w:spacing w:val="50"/>
          <w:lang w:eastAsia="en-US"/>
        </w:rPr>
        <w:t xml:space="preserve"> </w:t>
      </w:r>
      <w:r w:rsidR="0071777F" w:rsidRPr="001A28D2">
        <w:rPr>
          <w:rFonts w:eastAsiaTheme="minorHAnsi"/>
          <w:lang w:eastAsia="en-US"/>
        </w:rPr>
        <w:t>целевата</w:t>
      </w:r>
      <w:r w:rsidR="0071777F" w:rsidRPr="001A28D2">
        <w:rPr>
          <w:rFonts w:eastAsiaTheme="minorHAnsi"/>
          <w:spacing w:val="50"/>
          <w:lang w:eastAsia="en-US"/>
        </w:rPr>
        <w:t xml:space="preserve"> </w:t>
      </w:r>
      <w:r w:rsidR="0071777F" w:rsidRPr="001A28D2">
        <w:rPr>
          <w:rFonts w:eastAsiaTheme="minorHAnsi"/>
          <w:lang w:eastAsia="en-US"/>
        </w:rPr>
        <w:t>субсидия за</w:t>
      </w:r>
      <w:r w:rsidR="0071777F" w:rsidRPr="001A28D2">
        <w:rPr>
          <w:rFonts w:eastAsiaTheme="minorHAnsi"/>
          <w:spacing w:val="50"/>
          <w:lang w:eastAsia="en-US"/>
        </w:rPr>
        <w:t xml:space="preserve"> </w:t>
      </w:r>
      <w:r w:rsidR="0071777F" w:rsidRPr="001A28D2">
        <w:rPr>
          <w:rFonts w:eastAsiaTheme="minorHAnsi"/>
          <w:lang w:eastAsia="en-US"/>
        </w:rPr>
        <w:t>капиталови</w:t>
      </w:r>
      <w:r w:rsidR="0071777F" w:rsidRPr="001A28D2">
        <w:rPr>
          <w:rFonts w:eastAsiaTheme="minorHAnsi"/>
          <w:spacing w:val="52"/>
          <w:lang w:eastAsia="en-US"/>
        </w:rPr>
        <w:t xml:space="preserve"> </w:t>
      </w:r>
      <w:r w:rsidR="0071777F" w:rsidRPr="001A28D2">
        <w:rPr>
          <w:rFonts w:eastAsiaTheme="minorHAnsi"/>
          <w:lang w:eastAsia="en-US"/>
        </w:rPr>
        <w:t>разходи</w:t>
      </w:r>
      <w:r w:rsidR="0071777F" w:rsidRPr="001A28D2">
        <w:rPr>
          <w:rStyle w:val="FootnoteReference"/>
          <w:rFonts w:eastAsiaTheme="minorHAnsi"/>
          <w:lang w:eastAsia="en-US"/>
        </w:rPr>
        <w:footnoteReference w:id="114"/>
      </w:r>
      <w:r w:rsidR="0071777F" w:rsidRPr="001A28D2">
        <w:rPr>
          <w:rFonts w:eastAsiaTheme="minorHAnsi"/>
          <w:spacing w:val="50"/>
          <w:lang w:eastAsia="en-US"/>
        </w:rPr>
        <w:t xml:space="preserve"> </w:t>
      </w:r>
      <w:r w:rsidR="0071777F" w:rsidRPr="001A28D2">
        <w:rPr>
          <w:rFonts w:eastAsiaTheme="minorHAnsi"/>
          <w:lang w:eastAsia="en-US"/>
        </w:rPr>
        <w:t>и</w:t>
      </w:r>
      <w:r w:rsidR="0071777F" w:rsidRPr="001A28D2">
        <w:rPr>
          <w:rFonts w:eastAsiaTheme="minorHAnsi"/>
          <w:spacing w:val="52"/>
          <w:lang w:eastAsia="en-US"/>
        </w:rPr>
        <w:t xml:space="preserve"> </w:t>
      </w:r>
      <w:r w:rsidR="0071777F" w:rsidRPr="001A28D2">
        <w:rPr>
          <w:rFonts w:eastAsiaTheme="minorHAnsi"/>
          <w:lang w:eastAsia="en-US"/>
        </w:rPr>
        <w:t>механизмът</w:t>
      </w:r>
      <w:r w:rsidR="0071777F" w:rsidRPr="001A28D2">
        <w:rPr>
          <w:rFonts w:eastAsiaTheme="minorHAnsi"/>
          <w:spacing w:val="50"/>
          <w:lang w:eastAsia="en-US"/>
        </w:rPr>
        <w:t xml:space="preserve"> </w:t>
      </w:r>
      <w:r w:rsidR="0071777F" w:rsidRPr="001A28D2">
        <w:rPr>
          <w:rFonts w:eastAsiaTheme="minorHAnsi"/>
          <w:lang w:eastAsia="en-US"/>
        </w:rPr>
        <w:t>за</w:t>
      </w:r>
      <w:r w:rsidR="0071777F" w:rsidRPr="001A28D2">
        <w:rPr>
          <w:rFonts w:eastAsiaTheme="minorHAnsi"/>
          <w:spacing w:val="50"/>
          <w:lang w:eastAsia="en-US"/>
        </w:rPr>
        <w:t xml:space="preserve"> </w:t>
      </w:r>
      <w:r w:rsidR="0071777F" w:rsidRPr="001A28D2">
        <w:rPr>
          <w:rFonts w:eastAsiaTheme="minorHAnsi"/>
          <w:lang w:eastAsia="en-US"/>
        </w:rPr>
        <w:t xml:space="preserve">неговото разпределение по общини се определят със </w:t>
      </w:r>
      <w:r w:rsidR="00AB44A4" w:rsidRPr="001A28D2">
        <w:rPr>
          <w:rFonts w:eastAsiaTheme="minorHAnsi"/>
          <w:lang w:eastAsia="en-US"/>
        </w:rPr>
        <w:t>з</w:t>
      </w:r>
      <w:r w:rsidR="0071777F" w:rsidRPr="001A28D2">
        <w:rPr>
          <w:rFonts w:eastAsiaTheme="minorHAnsi"/>
          <w:lang w:eastAsia="en-US"/>
        </w:rPr>
        <w:t>акона за държавния бюджет за съответната година. Проектът</w:t>
      </w:r>
      <w:r w:rsidR="0071777F" w:rsidRPr="001A28D2">
        <w:rPr>
          <w:rFonts w:eastAsiaTheme="minorHAnsi"/>
          <w:spacing w:val="50"/>
          <w:lang w:eastAsia="en-US"/>
        </w:rPr>
        <w:t xml:space="preserve"> </w:t>
      </w:r>
      <w:r w:rsidR="0071777F" w:rsidRPr="001A28D2">
        <w:rPr>
          <w:rFonts w:eastAsiaTheme="minorHAnsi"/>
          <w:lang w:eastAsia="en-US"/>
        </w:rPr>
        <w:t>на механизма се съгласува</w:t>
      </w:r>
      <w:r w:rsidR="0071777F" w:rsidRPr="001A28D2">
        <w:rPr>
          <w:rFonts w:eastAsiaTheme="minorHAnsi"/>
          <w:spacing w:val="50"/>
          <w:lang w:eastAsia="en-US"/>
        </w:rPr>
        <w:t xml:space="preserve"> </w:t>
      </w:r>
      <w:r w:rsidR="0071777F" w:rsidRPr="001A28D2">
        <w:rPr>
          <w:rFonts w:eastAsiaTheme="minorHAnsi"/>
          <w:lang w:eastAsia="en-US"/>
        </w:rPr>
        <w:t>с Националното сдружение на общините в Република България.</w:t>
      </w:r>
    </w:p>
    <w:p w14:paraId="2B433C06" w14:textId="1B2B34C2" w:rsidR="00C36267" w:rsidRPr="001A28D2" w:rsidRDefault="0071777F" w:rsidP="00C36267">
      <w:pPr>
        <w:ind w:firstLine="709"/>
        <w:jc w:val="both"/>
        <w:rPr>
          <w:rFonts w:eastAsia="Calibri"/>
          <w:lang w:eastAsia="en-US"/>
        </w:rPr>
      </w:pPr>
      <w:r w:rsidRPr="001A28D2">
        <w:t xml:space="preserve">С чл. 50 от ЗДБРБ </w:t>
      </w:r>
      <w:r w:rsidR="00AB44A4" w:rsidRPr="001A28D2">
        <w:t xml:space="preserve">за 2016 г. </w:t>
      </w:r>
      <w:r w:rsidRPr="001A28D2">
        <w:t xml:space="preserve">е определена целева субсидия за капиталови разходи в размер на 142 090,2 хил. лв. и по общини. Уточненият план е 289 261,2 хил. лв. и са отчетени 289 078,6 хил. лв. или изпълнението е 99,9 на сто. Със ЗДБРБ за 2016 г., в Приложение № 6 към </w:t>
      </w:r>
      <w:hyperlink r:id="rId18" w:anchor="p28354450" w:tgtFrame="_blank" w:history="1">
        <w:r w:rsidRPr="001A28D2">
          <w:t>чл. 50</w:t>
        </w:r>
      </w:hyperlink>
      <w:r w:rsidRPr="001A28D2">
        <w:t xml:space="preserve"> е утвърден механизъм за определяне на субсидиите за общините от централния бюджет за 2016 г. </w:t>
      </w:r>
      <w:r w:rsidRPr="001A28D2">
        <w:rPr>
          <w:bCs/>
        </w:rPr>
        <w:t>С чл. 51</w:t>
      </w:r>
      <w:r w:rsidRPr="001A28D2">
        <w:t xml:space="preserve"> от ЗДБРБ 2016 г. са определени стойностните и натуралните показатели на общините за делегираните </w:t>
      </w:r>
      <w:r w:rsidR="003668F5" w:rsidRPr="001A28D2">
        <w:t>от държавата дейности съгласно П</w:t>
      </w:r>
      <w:r w:rsidRPr="001A28D2">
        <w:t xml:space="preserve">риложение № 7 (без капиталовите разходи). </w:t>
      </w:r>
      <w:bookmarkStart w:id="1" w:name="p28354454"/>
      <w:bookmarkEnd w:id="1"/>
      <w:r w:rsidRPr="001A28D2">
        <w:rPr>
          <w:bCs/>
        </w:rPr>
        <w:t>С чл. 52</w:t>
      </w:r>
      <w:r w:rsidRPr="001A28D2">
        <w:t xml:space="preserve"> от ЗДБРБ 2016 г. е регламентирано представянето на разчетите за финансиране на капиталовите разходи на общините, определени с решение на общинския съвет въз основа на поименните списъци на обектите за строителство и основен ремонт, за придобиване на материални и нематериални дълготрайни активи и за проу</w:t>
      </w:r>
      <w:r w:rsidR="00AC4D1E" w:rsidRPr="001A28D2">
        <w:t xml:space="preserve">чвателни и проектни работи в МФ. </w:t>
      </w:r>
      <w:r w:rsidRPr="001A28D2">
        <w:t>Чл.</w:t>
      </w:r>
      <w:bookmarkStart w:id="2" w:name="p28354455"/>
      <w:bookmarkEnd w:id="2"/>
      <w:r w:rsidRPr="001A28D2">
        <w:t> </w:t>
      </w:r>
      <w:r w:rsidRPr="001A28D2">
        <w:rPr>
          <w:bCs/>
        </w:rPr>
        <w:t>53</w:t>
      </w:r>
      <w:r w:rsidRPr="001A28D2">
        <w:t xml:space="preserve"> от ЗДБРБ 2016 г. определя разпределението на годишния размер на общата субсидия за делегираните от държавата дейности за общините, годишният размер на целевата субсидия за капиталови разходи за общините, общата изравнителна субсидия по тримесечия и средствата за зимно поддържане и </w:t>
      </w:r>
      <w:proofErr w:type="spellStart"/>
      <w:r w:rsidRPr="001A28D2">
        <w:t>снегопочистване</w:t>
      </w:r>
      <w:proofErr w:type="spellEnd"/>
      <w:r w:rsidRPr="001A28D2">
        <w:t>.</w:t>
      </w:r>
      <w:r w:rsidR="005908C7" w:rsidRPr="001A28D2">
        <w:t xml:space="preserve"> </w:t>
      </w:r>
      <w:r w:rsidR="005908C7" w:rsidRPr="001A28D2">
        <w:rPr>
          <w:bCs/>
        </w:rPr>
        <w:t>Не са предоставени данни относно съгласуване на проекта на механизма с Националното сдружение на общините.</w:t>
      </w:r>
      <w:r w:rsidR="00C36267" w:rsidRPr="001A28D2">
        <w:rPr>
          <w:rFonts w:eastAsia="Calibri"/>
          <w:lang w:eastAsia="en-US"/>
        </w:rPr>
        <w:t xml:space="preserve"> В Протокол от 29.10.2015 г. за проведени консултации на основание чл. 74, ал. 2 между МФ и НСОРБ по проекта на ЗДБРБ за 2016 г. в частта за общините е отразено възражението на НСОРБ по отношение на едностранно наложените промени в разпределителните механизми по общини, без предварително съгласуване с общините и НСОРБ.</w:t>
      </w:r>
      <w:r w:rsidR="00C36267" w:rsidRPr="001A28D2">
        <w:rPr>
          <w:rStyle w:val="FootnoteReference"/>
          <w:rFonts w:eastAsia="Calibri"/>
          <w:lang w:eastAsia="en-US"/>
        </w:rPr>
        <w:footnoteReference w:id="115"/>
      </w:r>
    </w:p>
    <w:p w14:paraId="0F227A9C" w14:textId="77777777" w:rsidR="005908C7" w:rsidRPr="001A28D2" w:rsidRDefault="005908C7" w:rsidP="007E77CC">
      <w:pPr>
        <w:ind w:firstLine="709"/>
        <w:jc w:val="both"/>
        <w:rPr>
          <w:bCs/>
        </w:rPr>
      </w:pPr>
    </w:p>
    <w:p w14:paraId="30437AB7" w14:textId="225FA288" w:rsidR="005908C7" w:rsidRPr="001A28D2" w:rsidRDefault="005908C7" w:rsidP="007E77CC">
      <w:pPr>
        <w:ind w:firstLine="709"/>
        <w:jc w:val="both"/>
        <w:rPr>
          <w:bCs/>
          <w:i/>
        </w:rPr>
      </w:pPr>
      <w:r w:rsidRPr="001A28D2">
        <w:rPr>
          <w:i/>
        </w:rPr>
        <w:t>Определена е целевата субсидия за капиталови разходи и разпределението й по общини в изпълнение на чл.</w:t>
      </w:r>
      <w:r w:rsidR="008A4C84" w:rsidRPr="001A28D2">
        <w:rPr>
          <w:i/>
        </w:rPr>
        <w:t> </w:t>
      </w:r>
      <w:r w:rsidRPr="001A28D2">
        <w:rPr>
          <w:i/>
        </w:rPr>
        <w:t>55, ал.</w:t>
      </w:r>
      <w:r w:rsidR="008A4C84" w:rsidRPr="001A28D2">
        <w:rPr>
          <w:i/>
        </w:rPr>
        <w:t> </w:t>
      </w:r>
      <w:r w:rsidRPr="001A28D2">
        <w:rPr>
          <w:i/>
        </w:rPr>
        <w:t>1</w:t>
      </w:r>
      <w:r w:rsidR="00061CF1" w:rsidRPr="001A28D2">
        <w:rPr>
          <w:i/>
        </w:rPr>
        <w:t xml:space="preserve"> от ЗПФ</w:t>
      </w:r>
      <w:r w:rsidRPr="001A28D2">
        <w:rPr>
          <w:bCs/>
          <w:i/>
        </w:rPr>
        <w:t xml:space="preserve">. Не е изпълнена </w:t>
      </w:r>
      <w:proofErr w:type="spellStart"/>
      <w:r w:rsidRPr="001A28D2">
        <w:rPr>
          <w:bCs/>
          <w:i/>
        </w:rPr>
        <w:t>съгласувателната</w:t>
      </w:r>
      <w:proofErr w:type="spellEnd"/>
      <w:r w:rsidRPr="001A28D2">
        <w:rPr>
          <w:bCs/>
          <w:i/>
        </w:rPr>
        <w:t xml:space="preserve"> процедура по чл. 55, ал.</w:t>
      </w:r>
      <w:r w:rsidR="008A4C84" w:rsidRPr="001A28D2">
        <w:rPr>
          <w:bCs/>
          <w:i/>
        </w:rPr>
        <w:t> </w:t>
      </w:r>
      <w:r w:rsidRPr="001A28D2">
        <w:rPr>
          <w:bCs/>
          <w:i/>
        </w:rPr>
        <w:t xml:space="preserve">2 от </w:t>
      </w:r>
      <w:r w:rsidR="00BF7203" w:rsidRPr="001A28D2">
        <w:rPr>
          <w:bCs/>
          <w:i/>
        </w:rPr>
        <w:t>ЗПФ</w:t>
      </w:r>
      <w:r w:rsidRPr="001A28D2">
        <w:rPr>
          <w:bCs/>
          <w:i/>
        </w:rPr>
        <w:t>.</w:t>
      </w:r>
    </w:p>
    <w:p w14:paraId="27C79B78" w14:textId="77777777" w:rsidR="0071777F" w:rsidRPr="001A28D2" w:rsidRDefault="0071777F" w:rsidP="007E77CC">
      <w:pPr>
        <w:ind w:left="33" w:firstLine="709"/>
        <w:jc w:val="both"/>
        <w:textAlignment w:val="center"/>
        <w:rPr>
          <w:i/>
        </w:rPr>
      </w:pPr>
    </w:p>
    <w:p w14:paraId="2FA40E08" w14:textId="38D8FFDC" w:rsidR="0014421A" w:rsidRPr="001A28D2" w:rsidRDefault="0099456D" w:rsidP="007E77CC">
      <w:pPr>
        <w:ind w:left="34" w:firstLine="709"/>
        <w:jc w:val="both"/>
        <w:textAlignment w:val="center"/>
      </w:pPr>
      <w:r w:rsidRPr="001A28D2">
        <w:lastRenderedPageBreak/>
        <w:t>4.</w:t>
      </w:r>
      <w:proofErr w:type="spellStart"/>
      <w:r w:rsidRPr="001A28D2">
        <w:t>4</w:t>
      </w:r>
      <w:proofErr w:type="spellEnd"/>
      <w:r w:rsidRPr="001A28D2">
        <w:t>.</w:t>
      </w:r>
      <w:r w:rsidR="00415BB7" w:rsidRPr="001A28D2">
        <w:t xml:space="preserve"> </w:t>
      </w:r>
      <w:r w:rsidR="0014421A" w:rsidRPr="001A28D2">
        <w:t>ЗПФ дава възможност</w:t>
      </w:r>
      <w:r w:rsidR="0014421A" w:rsidRPr="001A28D2">
        <w:rPr>
          <w:rStyle w:val="FootnoteReference"/>
        </w:rPr>
        <w:footnoteReference w:id="116"/>
      </w:r>
      <w:r w:rsidR="0014421A" w:rsidRPr="001A28D2">
        <w:t xml:space="preserve"> на </w:t>
      </w:r>
      <w:r w:rsidR="00061CF1" w:rsidRPr="001A28D2">
        <w:t>МС</w:t>
      </w:r>
      <w:r w:rsidR="0014421A" w:rsidRPr="001A28D2">
        <w:t xml:space="preserve"> да одобрява предоставянето на допълнително финансиране при спазване на фискалните правила по този закон за покриване на по-високо от разчетеното усвояване на средствата от помощта, предоставена на </w:t>
      </w:r>
      <w:r w:rsidR="00061CF1" w:rsidRPr="001A28D2">
        <w:t>РБ</w:t>
      </w:r>
      <w:r w:rsidR="0014421A" w:rsidRPr="001A28D2">
        <w:t xml:space="preserve"> от </w:t>
      </w:r>
      <w:r w:rsidR="00061CF1" w:rsidRPr="001A28D2">
        <w:t>ЕС</w:t>
      </w:r>
      <w:r w:rsidR="0014421A" w:rsidRPr="001A28D2">
        <w:t xml:space="preserve">. </w:t>
      </w:r>
    </w:p>
    <w:p w14:paraId="43BB0EAA" w14:textId="0AC68E8D" w:rsidR="0014421A" w:rsidRPr="001A28D2" w:rsidRDefault="0014421A" w:rsidP="007E77CC">
      <w:pPr>
        <w:ind w:left="34" w:firstLine="709"/>
        <w:jc w:val="both"/>
        <w:textAlignment w:val="center"/>
        <w:rPr>
          <w:rFonts w:eastAsiaTheme="minorHAnsi"/>
          <w:lang w:eastAsia="en-US"/>
        </w:rPr>
      </w:pPr>
      <w:r w:rsidRPr="001A28D2">
        <w:rPr>
          <w:rFonts w:eastAsiaTheme="minorHAnsi"/>
          <w:lang w:eastAsia="en-US"/>
        </w:rPr>
        <w:t xml:space="preserve">Съгласно ЗДБРБ </w:t>
      </w:r>
      <w:r w:rsidR="00AB44A4" w:rsidRPr="001A28D2">
        <w:rPr>
          <w:rFonts w:eastAsiaTheme="minorHAnsi"/>
          <w:lang w:eastAsia="en-US"/>
        </w:rPr>
        <w:t xml:space="preserve">за </w:t>
      </w:r>
      <w:r w:rsidRPr="001A28D2">
        <w:rPr>
          <w:rFonts w:eastAsiaTheme="minorHAnsi"/>
          <w:lang w:eastAsia="en-US"/>
        </w:rPr>
        <w:t>2016</w:t>
      </w:r>
      <w:r w:rsidR="008A4C84" w:rsidRPr="001A28D2">
        <w:rPr>
          <w:rFonts w:eastAsiaTheme="minorHAnsi"/>
          <w:lang w:eastAsia="en-US"/>
        </w:rPr>
        <w:t> </w:t>
      </w:r>
      <w:r w:rsidRPr="001A28D2">
        <w:rPr>
          <w:rFonts w:eastAsiaTheme="minorHAnsi"/>
          <w:lang w:eastAsia="en-US"/>
        </w:rPr>
        <w:t xml:space="preserve">г. </w:t>
      </w:r>
      <w:r w:rsidR="0097022C" w:rsidRPr="001A28D2">
        <w:rPr>
          <w:rFonts w:eastAsiaTheme="minorHAnsi"/>
          <w:lang w:eastAsia="en-US"/>
        </w:rPr>
        <w:t xml:space="preserve">трансферът от ДБ за </w:t>
      </w:r>
      <w:r w:rsidR="00AB44A4" w:rsidRPr="001A28D2">
        <w:rPr>
          <w:rFonts w:eastAsiaTheme="minorHAnsi"/>
          <w:lang w:eastAsia="en-US"/>
        </w:rPr>
        <w:t>сметката н</w:t>
      </w:r>
      <w:r w:rsidRPr="001A28D2">
        <w:rPr>
          <w:rFonts w:eastAsiaTheme="minorHAnsi"/>
          <w:lang w:eastAsia="en-US"/>
        </w:rPr>
        <w:t xml:space="preserve">а средствата от ЕС на </w:t>
      </w:r>
      <w:r w:rsidR="008A31AC" w:rsidRPr="001A28D2">
        <w:rPr>
          <w:rFonts w:eastAsiaTheme="minorHAnsi"/>
          <w:lang w:eastAsia="en-US"/>
        </w:rPr>
        <w:t>Националния фонд (</w:t>
      </w:r>
      <w:r w:rsidRPr="001A28D2">
        <w:rPr>
          <w:rFonts w:eastAsiaTheme="minorHAnsi"/>
          <w:lang w:eastAsia="en-US"/>
        </w:rPr>
        <w:t>НФ</w:t>
      </w:r>
      <w:r w:rsidR="008A31AC" w:rsidRPr="001A28D2">
        <w:rPr>
          <w:rFonts w:eastAsiaTheme="minorHAnsi"/>
          <w:lang w:eastAsia="en-US"/>
        </w:rPr>
        <w:t>)</w:t>
      </w:r>
      <w:r w:rsidRPr="001A28D2">
        <w:rPr>
          <w:rFonts w:eastAsiaTheme="minorHAnsi"/>
          <w:lang w:eastAsia="en-US"/>
        </w:rPr>
        <w:t xml:space="preserve"> е 812 974,8 хил. лв., а на ДФЗ – 156 530,9 хил. лв. Съгласно ОИДБ </w:t>
      </w:r>
      <w:r w:rsidR="00AB44A4" w:rsidRPr="001A28D2">
        <w:rPr>
          <w:rFonts w:eastAsiaTheme="minorHAnsi"/>
          <w:lang w:eastAsia="en-US"/>
        </w:rPr>
        <w:t xml:space="preserve">за </w:t>
      </w:r>
      <w:r w:rsidRPr="001A28D2">
        <w:rPr>
          <w:rFonts w:eastAsiaTheme="minorHAnsi"/>
          <w:lang w:eastAsia="en-US"/>
        </w:rPr>
        <w:t>2016</w:t>
      </w:r>
      <w:r w:rsidR="008A4C84" w:rsidRPr="001A28D2">
        <w:rPr>
          <w:rFonts w:eastAsiaTheme="minorHAnsi"/>
          <w:lang w:eastAsia="en-US"/>
        </w:rPr>
        <w:t> </w:t>
      </w:r>
      <w:r w:rsidRPr="001A28D2">
        <w:rPr>
          <w:rFonts w:eastAsiaTheme="minorHAnsi"/>
          <w:lang w:eastAsia="en-US"/>
        </w:rPr>
        <w:t>г. са отчетени 812 974,8 хил. лв. за НФ или 100</w:t>
      </w:r>
      <w:r w:rsidR="002A174B" w:rsidRPr="001A28D2">
        <w:rPr>
          <w:rFonts w:eastAsiaTheme="minorHAnsi"/>
          <w:lang w:eastAsia="en-US"/>
        </w:rPr>
        <w:t> на сто</w:t>
      </w:r>
      <w:r w:rsidR="00AB44A4" w:rsidRPr="001A28D2">
        <w:rPr>
          <w:rFonts w:eastAsiaTheme="minorHAnsi"/>
          <w:lang w:eastAsia="en-US"/>
        </w:rPr>
        <w:t>,</w:t>
      </w:r>
      <w:r w:rsidRPr="001A28D2">
        <w:rPr>
          <w:rFonts w:eastAsiaTheme="minorHAnsi"/>
          <w:lang w:eastAsia="en-US"/>
        </w:rPr>
        <w:t xml:space="preserve"> и 101 700 хил. лв. за ДФЗ или 65</w:t>
      </w:r>
      <w:r w:rsidR="002A174B" w:rsidRPr="001A28D2">
        <w:rPr>
          <w:rFonts w:eastAsiaTheme="minorHAnsi"/>
          <w:lang w:eastAsia="en-US"/>
        </w:rPr>
        <w:t> на сто.</w:t>
      </w:r>
      <w:r w:rsidRPr="001A28D2">
        <w:rPr>
          <w:rFonts w:eastAsiaTheme="minorHAnsi"/>
          <w:lang w:eastAsia="en-US"/>
        </w:rPr>
        <w:t xml:space="preserve"> </w:t>
      </w:r>
    </w:p>
    <w:p w14:paraId="7A2E6DB7" w14:textId="77777777" w:rsidR="0030227D" w:rsidRPr="001A28D2" w:rsidRDefault="0030227D" w:rsidP="007E77CC">
      <w:pPr>
        <w:ind w:left="34" w:firstLine="709"/>
        <w:jc w:val="both"/>
        <w:textAlignment w:val="center"/>
        <w:rPr>
          <w:rFonts w:eastAsiaTheme="minorHAnsi"/>
          <w:i/>
          <w:lang w:eastAsia="en-US"/>
        </w:rPr>
      </w:pPr>
    </w:p>
    <w:p w14:paraId="6233FD24" w14:textId="77777777" w:rsidR="0014421A" w:rsidRPr="001A28D2" w:rsidRDefault="0014421A" w:rsidP="007E77CC">
      <w:pPr>
        <w:ind w:left="34" w:firstLine="709"/>
        <w:jc w:val="both"/>
        <w:textAlignment w:val="center"/>
        <w:rPr>
          <w:rFonts w:eastAsiaTheme="minorHAnsi"/>
          <w:i/>
          <w:lang w:eastAsia="en-US"/>
        </w:rPr>
      </w:pPr>
      <w:r w:rsidRPr="001A28D2">
        <w:rPr>
          <w:rFonts w:eastAsiaTheme="minorHAnsi"/>
          <w:i/>
          <w:lang w:eastAsia="en-US"/>
        </w:rPr>
        <w:t>Не са възниквали обстоятелства, налагащи предоставяне на допълнително финансиране по чл. 61 от ЗПФ.</w:t>
      </w:r>
    </w:p>
    <w:p w14:paraId="7F832B10" w14:textId="77777777" w:rsidR="0014421A" w:rsidRPr="001A28D2" w:rsidRDefault="0014421A" w:rsidP="007E77CC">
      <w:pPr>
        <w:ind w:left="34" w:firstLine="709"/>
        <w:jc w:val="both"/>
        <w:textAlignment w:val="center"/>
        <w:rPr>
          <w:i/>
        </w:rPr>
      </w:pPr>
    </w:p>
    <w:p w14:paraId="6617EE9C" w14:textId="77777777" w:rsidR="009F23F9" w:rsidRPr="001A28D2" w:rsidRDefault="00316843" w:rsidP="007E77CC">
      <w:pPr>
        <w:widowControl w:val="0"/>
        <w:tabs>
          <w:tab w:val="left" w:pos="1134"/>
        </w:tabs>
        <w:autoSpaceDE w:val="0"/>
        <w:autoSpaceDN w:val="0"/>
        <w:adjustRightInd w:val="0"/>
        <w:spacing w:after="200" w:line="276" w:lineRule="auto"/>
        <w:ind w:firstLine="709"/>
        <w:contextualSpacing/>
        <w:jc w:val="both"/>
        <w:rPr>
          <w:b/>
        </w:rPr>
      </w:pPr>
      <w:r w:rsidRPr="001A28D2">
        <w:rPr>
          <w:b/>
        </w:rPr>
        <w:t xml:space="preserve">5. </w:t>
      </w:r>
      <w:r w:rsidR="009F23F9" w:rsidRPr="001A28D2">
        <w:rPr>
          <w:b/>
        </w:rPr>
        <w:t>Изисквания относно съставяне на бюджетите</w:t>
      </w:r>
    </w:p>
    <w:p w14:paraId="3F29C2CB" w14:textId="7D28F7E4" w:rsidR="00FF1E60" w:rsidRPr="001A28D2" w:rsidRDefault="006A5E5B" w:rsidP="007E77CC">
      <w:pPr>
        <w:ind w:left="34" w:firstLine="709"/>
        <w:jc w:val="both"/>
        <w:textAlignment w:val="center"/>
      </w:pPr>
      <w:r w:rsidRPr="001A28D2">
        <w:t xml:space="preserve">5.1. </w:t>
      </w:r>
      <w:r w:rsidR="007F2482" w:rsidRPr="001A28D2">
        <w:t xml:space="preserve">Министерският съвет чрез министъра на финансите организира съставянето на средносрочната бюджетна прогноза и на проекта на </w:t>
      </w:r>
      <w:r w:rsidR="004017A2" w:rsidRPr="001A28D2">
        <w:t>ДБ</w:t>
      </w:r>
      <w:r w:rsidR="007F2482" w:rsidRPr="001A28D2">
        <w:t>. Средносрочната бюджетна прогноза се съставя за срок три години.</w:t>
      </w:r>
      <w:r w:rsidR="00FF1E60" w:rsidRPr="001A28D2">
        <w:t xml:space="preserve"> Ежегодно в срок до 31 януари </w:t>
      </w:r>
      <w:r w:rsidR="004017A2" w:rsidRPr="001A28D2">
        <w:t>МС</w:t>
      </w:r>
      <w:r w:rsidR="00FF1E60" w:rsidRPr="001A28D2">
        <w:t xml:space="preserve"> по предложение на министъра на финансите приема бюджетната процедура по съставянето на средносрочната бюджетна прогноза и на проекта на </w:t>
      </w:r>
      <w:r w:rsidR="004017A2" w:rsidRPr="001A28D2">
        <w:t>ДБ</w:t>
      </w:r>
      <w:r w:rsidR="00FF1E60" w:rsidRPr="001A28D2">
        <w:t xml:space="preserve"> за следващата година. Министърът на финансите дава указания по изпълнението на бюджетната процедура. В рамките на бюджетната процедура министърът на финансите изготвя пролетна и есенна макроикономическа прогноз</w:t>
      </w:r>
      <w:r w:rsidR="00E74F99" w:rsidRPr="001A28D2">
        <w:t>и</w:t>
      </w:r>
      <w:r w:rsidR="00FF1E60" w:rsidRPr="001A28D2">
        <w:t>, включително основните допускания, на които тези прогнози се основават,</w:t>
      </w:r>
      <w:r w:rsidR="00E74F99" w:rsidRPr="001A28D2">
        <w:t xml:space="preserve"> и</w:t>
      </w:r>
      <w:r w:rsidR="00FF1E60" w:rsidRPr="001A28D2">
        <w:t xml:space="preserve"> се публикуват</w:t>
      </w:r>
      <w:r w:rsidR="00FF1E60" w:rsidRPr="001A28D2">
        <w:rPr>
          <w:rFonts w:eastAsiaTheme="minorHAnsi"/>
          <w:lang w:eastAsia="en-US"/>
        </w:rPr>
        <w:t xml:space="preserve"> на интернет страницата на </w:t>
      </w:r>
      <w:r w:rsidR="004017A2" w:rsidRPr="001A28D2">
        <w:rPr>
          <w:rFonts w:eastAsiaTheme="minorHAnsi"/>
          <w:lang w:eastAsia="en-US"/>
        </w:rPr>
        <w:t>МФ</w:t>
      </w:r>
      <w:r w:rsidR="00FF1E60" w:rsidRPr="001A28D2">
        <w:rPr>
          <w:rFonts w:eastAsiaTheme="minorHAnsi"/>
          <w:lang w:eastAsia="en-US"/>
        </w:rPr>
        <w:t>.</w:t>
      </w:r>
      <w:r w:rsidR="00FF1E60" w:rsidRPr="001A28D2">
        <w:rPr>
          <w:rStyle w:val="FootnoteReference"/>
        </w:rPr>
        <w:t xml:space="preserve"> </w:t>
      </w:r>
      <w:r w:rsidR="00FF1E60" w:rsidRPr="001A28D2">
        <w:rPr>
          <w:rStyle w:val="FootnoteReference"/>
        </w:rPr>
        <w:footnoteReference w:id="117"/>
      </w:r>
    </w:p>
    <w:p w14:paraId="4022C3B5" w14:textId="4EBF5466" w:rsidR="00FF1E60" w:rsidRPr="001A28D2" w:rsidRDefault="00435F70" w:rsidP="007E77CC">
      <w:pPr>
        <w:ind w:firstLine="709"/>
        <w:jc w:val="both"/>
        <w:textAlignment w:val="center"/>
        <w:rPr>
          <w:rFonts w:eastAsiaTheme="minorHAnsi"/>
          <w:szCs w:val="22"/>
          <w:lang w:eastAsia="en-US"/>
        </w:rPr>
      </w:pPr>
      <w:r w:rsidRPr="001A28D2">
        <w:rPr>
          <w:rFonts w:eastAsiaTheme="minorHAnsi"/>
          <w:szCs w:val="22"/>
          <w:lang w:eastAsia="en-US"/>
        </w:rPr>
        <w:t>Издадени са РМС № 62 от 30.01.2015 г. за приемане на бюджетната процедура за 2016 г. и указания по изпълнението й</w:t>
      </w:r>
      <w:r w:rsidR="002109E9" w:rsidRPr="001A28D2">
        <w:rPr>
          <w:rFonts w:eastAsiaTheme="minorHAnsi"/>
          <w:szCs w:val="22"/>
          <w:lang w:eastAsia="en-US"/>
        </w:rPr>
        <w:t>.</w:t>
      </w:r>
      <w:r w:rsidRPr="001A28D2">
        <w:rPr>
          <w:rStyle w:val="FootnoteReference"/>
          <w:rFonts w:eastAsiaTheme="minorHAnsi"/>
          <w:lang w:eastAsia="en-US"/>
        </w:rPr>
        <w:footnoteReference w:id="118"/>
      </w:r>
      <w:r w:rsidR="00DC2879" w:rsidRPr="001A28D2">
        <w:rPr>
          <w:rFonts w:eastAsiaTheme="minorHAnsi"/>
          <w:szCs w:val="22"/>
          <w:vertAlign w:val="superscript"/>
          <w:lang w:eastAsia="en-US"/>
        </w:rPr>
        <w:t>,</w:t>
      </w:r>
      <w:r w:rsidR="00DC2879" w:rsidRPr="001A28D2">
        <w:rPr>
          <w:rFonts w:eastAsiaTheme="minorHAnsi"/>
          <w:vertAlign w:val="superscript"/>
          <w:lang w:eastAsia="en-US"/>
        </w:rPr>
        <w:footnoteReference w:id="119"/>
      </w:r>
      <w:r w:rsidRPr="001A28D2">
        <w:rPr>
          <w:rFonts w:eastAsiaTheme="minorHAnsi"/>
          <w:szCs w:val="22"/>
          <w:lang w:eastAsia="en-US"/>
        </w:rPr>
        <w:t xml:space="preserve"> </w:t>
      </w:r>
      <w:r w:rsidR="00FF1E60" w:rsidRPr="001A28D2">
        <w:rPr>
          <w:rFonts w:eastAsiaTheme="minorHAnsi"/>
          <w:szCs w:val="22"/>
          <w:lang w:eastAsia="en-US"/>
        </w:rPr>
        <w:t>Средносрочна бюджетна прогноза за периода 2016-2018</w:t>
      </w:r>
      <w:r w:rsidR="003562E8" w:rsidRPr="001A28D2">
        <w:rPr>
          <w:rFonts w:eastAsiaTheme="minorHAnsi"/>
          <w:szCs w:val="22"/>
          <w:lang w:eastAsia="en-US"/>
        </w:rPr>
        <w:t> </w:t>
      </w:r>
      <w:r w:rsidR="00FF1E60" w:rsidRPr="001A28D2">
        <w:rPr>
          <w:rFonts w:eastAsiaTheme="minorHAnsi"/>
          <w:szCs w:val="22"/>
          <w:lang w:eastAsia="en-US"/>
        </w:rPr>
        <w:t>г. е приета с РМС № 267 от 23.04.2015</w:t>
      </w:r>
      <w:r w:rsidR="00ED5B88" w:rsidRPr="001A28D2">
        <w:rPr>
          <w:rFonts w:eastAsiaTheme="minorHAnsi"/>
          <w:szCs w:val="22"/>
          <w:lang w:eastAsia="en-US"/>
        </w:rPr>
        <w:t> </w:t>
      </w:r>
      <w:r w:rsidR="00FF1E60" w:rsidRPr="001A28D2">
        <w:rPr>
          <w:rFonts w:eastAsiaTheme="minorHAnsi"/>
          <w:szCs w:val="22"/>
          <w:lang w:eastAsia="en-US"/>
        </w:rPr>
        <w:t>г.</w:t>
      </w:r>
      <w:r w:rsidR="002109E9" w:rsidRPr="001A28D2">
        <w:rPr>
          <w:rFonts w:eastAsiaTheme="minorHAnsi"/>
          <w:szCs w:val="22"/>
          <w:lang w:eastAsia="en-US"/>
        </w:rPr>
        <w:t xml:space="preserve"> </w:t>
      </w:r>
      <w:r w:rsidR="00DC2879" w:rsidRPr="001A28D2">
        <w:rPr>
          <w:rFonts w:eastAsiaTheme="minorHAnsi"/>
          <w:lang w:eastAsia="en-US"/>
        </w:rPr>
        <w:t>Изготвени</w:t>
      </w:r>
      <w:r w:rsidR="00FF1E60" w:rsidRPr="001A28D2">
        <w:rPr>
          <w:rFonts w:eastAsiaTheme="minorHAnsi"/>
          <w:lang w:eastAsia="en-US"/>
        </w:rPr>
        <w:t xml:space="preserve"> са </w:t>
      </w:r>
      <w:hyperlink r:id="rId19" w:history="1">
        <w:r w:rsidR="00FF1E60" w:rsidRPr="001A28D2">
          <w:rPr>
            <w:rFonts w:eastAsiaTheme="minorHAnsi"/>
            <w:szCs w:val="22"/>
            <w:lang w:eastAsia="en-US"/>
          </w:rPr>
          <w:t xml:space="preserve">Пролетна, </w:t>
        </w:r>
      </w:hyperlink>
      <w:hyperlink r:id="rId20" w:history="1">
        <w:r w:rsidR="00FF1E60" w:rsidRPr="001A28D2">
          <w:rPr>
            <w:rFonts w:eastAsiaTheme="minorHAnsi"/>
            <w:szCs w:val="22"/>
            <w:lang w:eastAsia="en-US"/>
          </w:rPr>
          <w:t xml:space="preserve">Есенна </w:t>
        </w:r>
      </w:hyperlink>
      <w:r w:rsidR="00FF1E60" w:rsidRPr="001A28D2">
        <w:rPr>
          <w:rFonts w:eastAsiaTheme="minorHAnsi"/>
          <w:szCs w:val="22"/>
          <w:lang w:eastAsia="en-US"/>
        </w:rPr>
        <w:t xml:space="preserve">и </w:t>
      </w:r>
      <w:hyperlink r:id="rId21" w:history="1">
        <w:r w:rsidR="00FF1E60" w:rsidRPr="001A28D2">
          <w:rPr>
            <w:rFonts w:eastAsiaTheme="minorHAnsi"/>
            <w:szCs w:val="22"/>
            <w:lang w:eastAsia="en-US"/>
          </w:rPr>
          <w:t>Актуализирана есенна макроикономически прогнози за 2016 г.</w:t>
        </w:r>
      </w:hyperlink>
      <w:r w:rsidR="00FF1E60" w:rsidRPr="001A28D2">
        <w:rPr>
          <w:rStyle w:val="FootnoteReference"/>
          <w:rFonts w:eastAsiaTheme="minorHAnsi"/>
          <w:szCs w:val="22"/>
          <w:lang w:eastAsia="en-US"/>
        </w:rPr>
        <w:footnoteReference w:id="120"/>
      </w:r>
    </w:p>
    <w:p w14:paraId="70D92B28" w14:textId="77777777" w:rsidR="0033797D" w:rsidRPr="001A28D2" w:rsidRDefault="0033797D" w:rsidP="007E77CC">
      <w:pPr>
        <w:ind w:firstLine="709"/>
        <w:jc w:val="both"/>
        <w:textAlignment w:val="center"/>
        <w:rPr>
          <w:rFonts w:eastAsiaTheme="minorHAnsi"/>
          <w:szCs w:val="22"/>
          <w:lang w:eastAsia="en-US"/>
        </w:rPr>
      </w:pPr>
    </w:p>
    <w:p w14:paraId="10BAC80E" w14:textId="14C28952" w:rsidR="00DE2DF7" w:rsidRPr="001A28D2" w:rsidRDefault="00DC2879" w:rsidP="007E77CC">
      <w:pPr>
        <w:ind w:firstLine="709"/>
        <w:jc w:val="both"/>
        <w:textAlignment w:val="center"/>
        <w:rPr>
          <w:rFonts w:eastAsiaTheme="minorHAnsi"/>
          <w:i/>
          <w:szCs w:val="22"/>
          <w:lang w:eastAsia="en-US"/>
        </w:rPr>
      </w:pPr>
      <w:r w:rsidRPr="001A28D2">
        <w:rPr>
          <w:rFonts w:eastAsiaTheme="minorHAnsi"/>
          <w:i/>
          <w:lang w:eastAsia="en-US"/>
        </w:rPr>
        <w:t>Спазен е регламентираният в ЗПФ ред за приемане на бюджетната процедура, по съставянето на средносрочната бюджетна прогноза и на проекта на държавния бюджет. Н</w:t>
      </w:r>
      <w:r w:rsidR="00435F70" w:rsidRPr="001A28D2">
        <w:rPr>
          <w:rFonts w:eastAsiaTheme="minorHAnsi"/>
          <w:i/>
          <w:lang w:eastAsia="en-US"/>
        </w:rPr>
        <w:t xml:space="preserve">а интернет страницата на МФ </w:t>
      </w:r>
      <w:r w:rsidRPr="001A28D2">
        <w:rPr>
          <w:rFonts w:eastAsiaTheme="minorHAnsi"/>
          <w:i/>
          <w:lang w:eastAsia="en-US"/>
        </w:rPr>
        <w:t xml:space="preserve">са публикувани </w:t>
      </w:r>
      <w:hyperlink r:id="rId22" w:history="1">
        <w:r w:rsidR="00435F70" w:rsidRPr="001A28D2">
          <w:rPr>
            <w:rFonts w:eastAsiaTheme="minorHAnsi"/>
            <w:i/>
            <w:szCs w:val="22"/>
            <w:lang w:eastAsia="en-US"/>
          </w:rPr>
          <w:t xml:space="preserve">Пролетна, </w:t>
        </w:r>
      </w:hyperlink>
      <w:hyperlink r:id="rId23" w:history="1">
        <w:r w:rsidR="00435F70" w:rsidRPr="001A28D2">
          <w:rPr>
            <w:rFonts w:eastAsiaTheme="minorHAnsi"/>
            <w:i/>
            <w:szCs w:val="22"/>
            <w:lang w:eastAsia="en-US"/>
          </w:rPr>
          <w:t xml:space="preserve">Есенна </w:t>
        </w:r>
      </w:hyperlink>
      <w:r w:rsidR="00435F70" w:rsidRPr="001A28D2">
        <w:rPr>
          <w:rFonts w:eastAsiaTheme="minorHAnsi"/>
          <w:i/>
          <w:szCs w:val="22"/>
          <w:lang w:eastAsia="en-US"/>
        </w:rPr>
        <w:t xml:space="preserve">и </w:t>
      </w:r>
      <w:hyperlink r:id="rId24" w:history="1">
        <w:r w:rsidR="00435F70" w:rsidRPr="001A28D2">
          <w:rPr>
            <w:rFonts w:eastAsiaTheme="minorHAnsi"/>
            <w:i/>
            <w:szCs w:val="22"/>
            <w:lang w:eastAsia="en-US"/>
          </w:rPr>
          <w:t>Актуализирана есенна макроикономически прогнози за 2016 г.</w:t>
        </w:r>
      </w:hyperlink>
    </w:p>
    <w:p w14:paraId="061AD048" w14:textId="77777777" w:rsidR="002109E9" w:rsidRPr="001A28D2" w:rsidRDefault="002109E9" w:rsidP="007E77CC">
      <w:pPr>
        <w:ind w:firstLine="709"/>
        <w:jc w:val="both"/>
        <w:textAlignment w:val="center"/>
        <w:rPr>
          <w:rFonts w:eastAsiaTheme="minorHAnsi"/>
          <w:i/>
          <w:lang w:eastAsia="en-US"/>
        </w:rPr>
      </w:pPr>
    </w:p>
    <w:p w14:paraId="32165774" w14:textId="63F1BE78" w:rsidR="00E22E7A" w:rsidRPr="001A28D2" w:rsidRDefault="006A5E5B" w:rsidP="007E77CC">
      <w:pPr>
        <w:kinsoku w:val="0"/>
        <w:overflowPunct w:val="0"/>
        <w:autoSpaceDE w:val="0"/>
        <w:autoSpaceDN w:val="0"/>
        <w:adjustRightInd w:val="0"/>
        <w:ind w:left="34" w:firstLine="709"/>
        <w:jc w:val="both"/>
        <w:rPr>
          <w:rFonts w:eastAsiaTheme="minorHAnsi"/>
          <w:lang w:eastAsia="en-US"/>
        </w:rPr>
      </w:pPr>
      <w:r w:rsidRPr="001A28D2">
        <w:rPr>
          <w:rFonts w:eastAsiaTheme="minorHAnsi"/>
          <w:lang w:eastAsia="en-US"/>
        </w:rPr>
        <w:t xml:space="preserve">5.2. </w:t>
      </w:r>
      <w:r w:rsidR="00E22E7A" w:rsidRPr="001A28D2">
        <w:rPr>
          <w:rFonts w:eastAsiaTheme="minorHAnsi"/>
          <w:lang w:eastAsia="en-US"/>
        </w:rPr>
        <w:t>Министърът на финансите съгласува с първостепенните разпоредители с бюджет, с изключение на кметовете на общините, разходните им тавани и/или размера на бюджетните им взаимоотношения по средносрочната бюджетна прогноза.</w:t>
      </w:r>
      <w:r w:rsidR="002F6771" w:rsidRPr="001A28D2">
        <w:rPr>
          <w:rFonts w:eastAsiaTheme="minorHAnsi"/>
          <w:lang w:eastAsia="en-US"/>
        </w:rPr>
        <w:t xml:space="preserve"> Министърът на финансите съгласува с </w:t>
      </w:r>
      <w:r w:rsidR="002206F5" w:rsidRPr="001A28D2">
        <w:rPr>
          <w:rFonts w:eastAsiaTheme="minorHAnsi"/>
          <w:lang w:eastAsia="en-US"/>
        </w:rPr>
        <w:t xml:space="preserve">НСОРБ </w:t>
      </w:r>
      <w:r w:rsidR="002F6771" w:rsidRPr="001A28D2">
        <w:rPr>
          <w:rFonts w:eastAsiaTheme="minorHAnsi"/>
          <w:lang w:eastAsia="en-US"/>
        </w:rPr>
        <w:t xml:space="preserve">размера на бюджетните взаимоотношения на </w:t>
      </w:r>
      <w:r w:rsidR="002206F5" w:rsidRPr="001A28D2">
        <w:rPr>
          <w:rFonts w:eastAsiaTheme="minorHAnsi"/>
          <w:lang w:eastAsia="en-US"/>
        </w:rPr>
        <w:t>ЦБ</w:t>
      </w:r>
      <w:r w:rsidR="002F6771" w:rsidRPr="001A28D2">
        <w:rPr>
          <w:rFonts w:eastAsiaTheme="minorHAnsi"/>
          <w:lang w:eastAsia="en-US"/>
        </w:rPr>
        <w:t xml:space="preserve"> с бюджетите на общините по средносрочната бюджетна прогноза.</w:t>
      </w:r>
      <w:r w:rsidR="00E22E7A" w:rsidRPr="001A28D2">
        <w:rPr>
          <w:rStyle w:val="FootnoteReference"/>
          <w:rFonts w:eastAsiaTheme="minorHAnsi"/>
          <w:lang w:eastAsia="en-US"/>
        </w:rPr>
        <w:footnoteReference w:id="121"/>
      </w:r>
    </w:p>
    <w:p w14:paraId="1E25DABA" w14:textId="4C24FAE7" w:rsidR="002F6771" w:rsidRPr="001A28D2" w:rsidRDefault="002F6771" w:rsidP="007E77CC">
      <w:pPr>
        <w:ind w:left="34" w:firstLine="709"/>
        <w:jc w:val="both"/>
        <w:textAlignment w:val="center"/>
        <w:rPr>
          <w:rFonts w:eastAsiaTheme="minorHAnsi"/>
          <w:lang w:eastAsia="en-US"/>
        </w:rPr>
      </w:pPr>
      <w:r w:rsidRPr="001A28D2">
        <w:rPr>
          <w:rFonts w:eastAsiaTheme="minorHAnsi"/>
          <w:lang w:eastAsia="en-US"/>
        </w:rPr>
        <w:t xml:space="preserve">Постъпили са становища в определения срок от 36 бюджетни организации/юридически лица с нестопанска цел. От 13 </w:t>
      </w:r>
      <w:r w:rsidR="002206F5" w:rsidRPr="001A28D2">
        <w:rPr>
          <w:rFonts w:eastAsiaTheme="minorHAnsi"/>
          <w:lang w:eastAsia="en-US"/>
        </w:rPr>
        <w:t xml:space="preserve">от тях </w:t>
      </w:r>
      <w:r w:rsidRPr="001A28D2">
        <w:rPr>
          <w:rFonts w:eastAsiaTheme="minorHAnsi"/>
          <w:lang w:eastAsia="en-US"/>
        </w:rPr>
        <w:t xml:space="preserve">законопроектът е съгласуван без забележки. Не е постъпило становище от 12 бюджетни организации/юридически лица с нестопанска цел в определения срок. Постъпилите </w:t>
      </w:r>
      <w:r w:rsidRPr="001A28D2">
        <w:rPr>
          <w:rFonts w:eastAsiaTheme="minorHAnsi"/>
          <w:lang w:eastAsia="en-US"/>
        </w:rPr>
        <w:lastRenderedPageBreak/>
        <w:t xml:space="preserve">предложения са мотивирани и мотивите са отразени в </w:t>
      </w:r>
      <w:proofErr w:type="spellStart"/>
      <w:r w:rsidRPr="001A28D2">
        <w:rPr>
          <w:rFonts w:eastAsiaTheme="minorHAnsi"/>
          <w:lang w:eastAsia="en-US"/>
        </w:rPr>
        <w:t>съгласувателна</w:t>
      </w:r>
      <w:proofErr w:type="spellEnd"/>
      <w:r w:rsidRPr="001A28D2">
        <w:rPr>
          <w:rFonts w:eastAsiaTheme="minorHAnsi"/>
          <w:lang w:eastAsia="en-US"/>
        </w:rPr>
        <w:t xml:space="preserve"> таблица. Направени са предложения и бележки по различни показатели, като 84 от тях не са приети. При</w:t>
      </w:r>
      <w:r w:rsidR="00ED5B88" w:rsidRPr="001A28D2">
        <w:rPr>
          <w:rFonts w:eastAsiaTheme="minorHAnsi"/>
          <w:lang w:eastAsia="en-US"/>
        </w:rPr>
        <w:t>ети са 33 предложения, а 7 с</w:t>
      </w:r>
      <w:r w:rsidRPr="001A28D2">
        <w:rPr>
          <w:rFonts w:eastAsiaTheme="minorHAnsi"/>
          <w:lang w:eastAsia="en-US"/>
        </w:rPr>
        <w:t xml:space="preserve">а приети частично. За неприетите предложения са </w:t>
      </w:r>
      <w:r w:rsidR="002206F5" w:rsidRPr="001A28D2">
        <w:rPr>
          <w:rFonts w:eastAsiaTheme="minorHAnsi"/>
          <w:lang w:eastAsia="en-US"/>
        </w:rPr>
        <w:t xml:space="preserve">посочени </w:t>
      </w:r>
      <w:r w:rsidRPr="001A28D2">
        <w:rPr>
          <w:rFonts w:eastAsiaTheme="minorHAnsi"/>
          <w:lang w:eastAsia="en-US"/>
        </w:rPr>
        <w:t xml:space="preserve">мотиви, които са отразени в таблицата. Извършена е </w:t>
      </w:r>
      <w:proofErr w:type="spellStart"/>
      <w:r w:rsidRPr="001A28D2">
        <w:rPr>
          <w:rFonts w:eastAsiaTheme="minorHAnsi"/>
          <w:lang w:eastAsia="en-US"/>
        </w:rPr>
        <w:t>съгласувателна</w:t>
      </w:r>
      <w:proofErr w:type="spellEnd"/>
      <w:r w:rsidRPr="001A28D2">
        <w:rPr>
          <w:rFonts w:eastAsiaTheme="minorHAnsi"/>
          <w:lang w:eastAsia="en-US"/>
        </w:rPr>
        <w:t xml:space="preserve"> процедура в съответствие с правната рамка.</w:t>
      </w:r>
    </w:p>
    <w:p w14:paraId="2D44E664" w14:textId="77777777" w:rsidR="002F6771" w:rsidRPr="001A28D2" w:rsidRDefault="002F6771" w:rsidP="007E77CC">
      <w:pPr>
        <w:ind w:left="34" w:firstLine="709"/>
        <w:jc w:val="both"/>
        <w:textAlignment w:val="center"/>
        <w:rPr>
          <w:rFonts w:eastAsiaTheme="minorHAnsi"/>
          <w:lang w:eastAsia="en-US"/>
        </w:rPr>
      </w:pPr>
      <w:r w:rsidRPr="001A28D2">
        <w:rPr>
          <w:rFonts w:eastAsiaTheme="minorHAnsi"/>
          <w:lang w:eastAsia="en-US"/>
        </w:rPr>
        <w:t>Извършено е съгласуване и е предоставен протокол за проведени консултации на основание чл.</w:t>
      </w:r>
      <w:r w:rsidR="00973E5E" w:rsidRPr="001A28D2">
        <w:rPr>
          <w:rFonts w:eastAsiaTheme="minorHAnsi"/>
          <w:lang w:eastAsia="en-US"/>
        </w:rPr>
        <w:t> </w:t>
      </w:r>
      <w:r w:rsidRPr="001A28D2">
        <w:rPr>
          <w:rFonts w:eastAsiaTheme="minorHAnsi"/>
          <w:lang w:eastAsia="en-US"/>
        </w:rPr>
        <w:t>74, ал.</w:t>
      </w:r>
      <w:r w:rsidR="00973E5E" w:rsidRPr="001A28D2">
        <w:rPr>
          <w:rFonts w:eastAsiaTheme="minorHAnsi"/>
          <w:lang w:eastAsia="en-US"/>
        </w:rPr>
        <w:t> </w:t>
      </w:r>
      <w:r w:rsidR="002E57C0" w:rsidRPr="001A28D2">
        <w:rPr>
          <w:rFonts w:eastAsiaTheme="minorHAnsi"/>
          <w:lang w:eastAsia="en-US"/>
        </w:rPr>
        <w:t xml:space="preserve">2 от ЗПФ между МФ и НСОРБ </w:t>
      </w:r>
      <w:r w:rsidRPr="001A28D2">
        <w:rPr>
          <w:rFonts w:eastAsiaTheme="minorHAnsi"/>
          <w:lang w:eastAsia="en-US"/>
        </w:rPr>
        <w:t>по проекта на ЗДБРБ за 2016</w:t>
      </w:r>
      <w:r w:rsidR="005815AD" w:rsidRPr="001A28D2">
        <w:rPr>
          <w:rFonts w:eastAsiaTheme="minorHAnsi"/>
          <w:lang w:eastAsia="en-US"/>
        </w:rPr>
        <w:t> </w:t>
      </w:r>
      <w:r w:rsidRPr="001A28D2">
        <w:rPr>
          <w:rFonts w:eastAsiaTheme="minorHAnsi"/>
          <w:lang w:eastAsia="en-US"/>
        </w:rPr>
        <w:t xml:space="preserve">г. в частта за общините. </w:t>
      </w:r>
      <w:r w:rsidR="00880A9F" w:rsidRPr="001A28D2">
        <w:rPr>
          <w:rFonts w:eastAsiaTheme="minorHAnsi"/>
          <w:lang w:eastAsia="en-US"/>
        </w:rPr>
        <w:t>Н</w:t>
      </w:r>
      <w:r w:rsidRPr="001A28D2">
        <w:rPr>
          <w:rFonts w:eastAsiaTheme="minorHAnsi"/>
          <w:lang w:eastAsia="en-US"/>
        </w:rPr>
        <w:t>аправени са конкретни предложения от страна на общините със съответни мотиви</w:t>
      </w:r>
      <w:r w:rsidR="00880A9F" w:rsidRPr="001A28D2">
        <w:rPr>
          <w:rFonts w:eastAsiaTheme="minorHAnsi"/>
          <w:lang w:eastAsia="en-US"/>
        </w:rPr>
        <w:t>, както и</w:t>
      </w:r>
      <w:r w:rsidRPr="001A28D2">
        <w:rPr>
          <w:rFonts w:eastAsiaTheme="minorHAnsi"/>
          <w:lang w:eastAsia="en-US"/>
        </w:rPr>
        <w:t xml:space="preserve"> предложения по регламентите в ЗДБРБ за 2016 г.</w:t>
      </w:r>
      <w:r w:rsidR="00880A9F" w:rsidRPr="001A28D2">
        <w:rPr>
          <w:rFonts w:eastAsiaTheme="minorHAnsi"/>
          <w:lang w:eastAsia="en-US"/>
        </w:rPr>
        <w:t> </w:t>
      </w:r>
      <w:r w:rsidRPr="001A28D2">
        <w:rPr>
          <w:rFonts w:eastAsiaTheme="minorHAnsi"/>
          <w:vertAlign w:val="superscript"/>
          <w:lang w:eastAsia="en-US"/>
        </w:rPr>
        <w:footnoteReference w:id="122"/>
      </w:r>
    </w:p>
    <w:p w14:paraId="4747557B" w14:textId="6D35561E" w:rsidR="002F6771" w:rsidRPr="001A28D2" w:rsidRDefault="006A5E5B" w:rsidP="007E77CC">
      <w:pPr>
        <w:ind w:left="34" w:firstLine="709"/>
        <w:jc w:val="both"/>
        <w:textAlignment w:val="center"/>
        <w:rPr>
          <w:rFonts w:eastAsiaTheme="minorHAnsi"/>
          <w:lang w:eastAsia="en-US"/>
        </w:rPr>
      </w:pPr>
      <w:r w:rsidRPr="001A28D2">
        <w:rPr>
          <w:rFonts w:eastAsiaTheme="minorHAnsi"/>
          <w:lang w:eastAsia="en-US"/>
        </w:rPr>
        <w:t>5.2.1.</w:t>
      </w:r>
      <w:r w:rsidR="00ED5B88" w:rsidRPr="001A28D2">
        <w:rPr>
          <w:rFonts w:eastAsiaTheme="minorHAnsi"/>
          <w:lang w:eastAsia="en-US"/>
        </w:rPr>
        <w:t xml:space="preserve"> </w:t>
      </w:r>
      <w:r w:rsidR="005815AD" w:rsidRPr="001A28D2">
        <w:rPr>
          <w:rFonts w:eastAsiaTheme="minorHAnsi"/>
          <w:lang w:eastAsia="en-US"/>
        </w:rPr>
        <w:t>Направените п</w:t>
      </w:r>
      <w:r w:rsidR="002F6771" w:rsidRPr="001A28D2">
        <w:rPr>
          <w:rFonts w:eastAsiaTheme="minorHAnsi"/>
          <w:lang w:eastAsia="en-US"/>
        </w:rPr>
        <w:t>риоритетни предложения от страна на НСОРБ са:</w:t>
      </w:r>
    </w:p>
    <w:p w14:paraId="16A730A5" w14:textId="1099C9BC" w:rsidR="002F6771" w:rsidRPr="001A28D2" w:rsidRDefault="00ED5B88" w:rsidP="007E77CC">
      <w:pPr>
        <w:widowControl w:val="0"/>
        <w:tabs>
          <w:tab w:val="left" w:pos="317"/>
        </w:tabs>
        <w:autoSpaceDE w:val="0"/>
        <w:autoSpaceDN w:val="0"/>
        <w:adjustRightInd w:val="0"/>
        <w:ind w:left="33" w:firstLine="709"/>
        <w:contextualSpacing/>
        <w:jc w:val="both"/>
        <w:textAlignment w:val="center"/>
      </w:pPr>
      <w:r w:rsidRPr="001A28D2">
        <w:t xml:space="preserve">а) </w:t>
      </w:r>
      <w:r w:rsidR="00807241" w:rsidRPr="001A28D2">
        <w:t xml:space="preserve">за </w:t>
      </w:r>
      <w:r w:rsidR="004058A7" w:rsidRPr="001A28D2">
        <w:t>р</w:t>
      </w:r>
      <w:r w:rsidR="002F6771" w:rsidRPr="001A28D2">
        <w:t>азработване на съвре</w:t>
      </w:r>
      <w:r w:rsidR="00493AE5" w:rsidRPr="001A28D2">
        <w:t xml:space="preserve">менен Закон за местните данъци </w:t>
      </w:r>
      <w:r w:rsidR="002F6771" w:rsidRPr="001A28D2">
        <w:t>и такси, разширяващ собств</w:t>
      </w:r>
      <w:r w:rsidR="004058A7" w:rsidRPr="001A28D2">
        <w:t>ената приходна база на общините;</w:t>
      </w:r>
    </w:p>
    <w:p w14:paraId="2701DF11" w14:textId="41BA4CAE" w:rsidR="002F6771" w:rsidRPr="001A28D2" w:rsidRDefault="00ED5B88" w:rsidP="007E77CC">
      <w:pPr>
        <w:widowControl w:val="0"/>
        <w:tabs>
          <w:tab w:val="left" w:pos="317"/>
        </w:tabs>
        <w:autoSpaceDE w:val="0"/>
        <w:autoSpaceDN w:val="0"/>
        <w:adjustRightInd w:val="0"/>
        <w:ind w:left="33" w:firstLine="709"/>
        <w:contextualSpacing/>
        <w:jc w:val="both"/>
        <w:textAlignment w:val="center"/>
      </w:pPr>
      <w:r w:rsidRPr="001A28D2">
        <w:t xml:space="preserve">б) </w:t>
      </w:r>
      <w:r w:rsidR="00807241" w:rsidRPr="001A28D2">
        <w:t xml:space="preserve">с характер на </w:t>
      </w:r>
      <w:r w:rsidR="004058A7" w:rsidRPr="001A28D2">
        <w:t>в</w:t>
      </w:r>
      <w:r w:rsidR="002F6771" w:rsidRPr="001A28D2">
        <w:t>ъзра</w:t>
      </w:r>
      <w:r w:rsidR="00807241" w:rsidRPr="001A28D2">
        <w:t>жение</w:t>
      </w:r>
      <w:r w:rsidR="002F6771" w:rsidRPr="001A28D2">
        <w:t xml:space="preserve"> срещу едностранно наложе</w:t>
      </w:r>
      <w:r w:rsidR="00493AE5" w:rsidRPr="001A28D2">
        <w:t xml:space="preserve">ните промени в разпределителните </w:t>
      </w:r>
      <w:r w:rsidR="002F6771" w:rsidRPr="001A28D2">
        <w:t>м</w:t>
      </w:r>
      <w:r w:rsidR="00493AE5" w:rsidRPr="001A28D2">
        <w:t>е</w:t>
      </w:r>
      <w:r w:rsidR="002F6771" w:rsidRPr="001A28D2">
        <w:t>ханизми по общини, без предварителното им съгласуване с общините и НСОРБ</w:t>
      </w:r>
      <w:r w:rsidR="004058A7" w:rsidRPr="001A28D2">
        <w:t>;</w:t>
      </w:r>
    </w:p>
    <w:p w14:paraId="0DD760B3" w14:textId="328DF5B6" w:rsidR="002F6771" w:rsidRPr="001A28D2" w:rsidRDefault="00ED5B88" w:rsidP="007E77CC">
      <w:pPr>
        <w:widowControl w:val="0"/>
        <w:tabs>
          <w:tab w:val="left" w:pos="317"/>
        </w:tabs>
        <w:autoSpaceDE w:val="0"/>
        <w:autoSpaceDN w:val="0"/>
        <w:adjustRightInd w:val="0"/>
        <w:ind w:left="33" w:firstLine="709"/>
        <w:contextualSpacing/>
        <w:jc w:val="both"/>
        <w:textAlignment w:val="center"/>
      </w:pPr>
      <w:r w:rsidRPr="001A28D2">
        <w:t xml:space="preserve">в) </w:t>
      </w:r>
      <w:r w:rsidR="00807241" w:rsidRPr="001A28D2">
        <w:t xml:space="preserve">за </w:t>
      </w:r>
      <w:r w:rsidR="004058A7" w:rsidRPr="001A28D2">
        <w:t>с</w:t>
      </w:r>
      <w:r w:rsidR="002F6771" w:rsidRPr="001A28D2">
        <w:t>воевременна съвместна работа по промените в разпределителните механизми на трансферите по общини.</w:t>
      </w:r>
    </w:p>
    <w:p w14:paraId="1AA57E7C" w14:textId="4C539301" w:rsidR="002F6771" w:rsidRPr="001A28D2" w:rsidRDefault="006A5E5B" w:rsidP="007E77CC">
      <w:pPr>
        <w:tabs>
          <w:tab w:val="left" w:pos="317"/>
        </w:tabs>
        <w:ind w:left="34" w:firstLine="709"/>
        <w:jc w:val="both"/>
        <w:textAlignment w:val="center"/>
        <w:rPr>
          <w:rFonts w:eastAsiaTheme="minorHAnsi"/>
          <w:lang w:eastAsia="en-US"/>
        </w:rPr>
      </w:pPr>
      <w:r w:rsidRPr="001A28D2">
        <w:rPr>
          <w:rFonts w:eastAsiaTheme="minorHAnsi"/>
          <w:lang w:eastAsia="en-US"/>
        </w:rPr>
        <w:t>5.2.</w:t>
      </w:r>
      <w:proofErr w:type="spellStart"/>
      <w:r w:rsidRPr="001A28D2">
        <w:rPr>
          <w:rFonts w:eastAsiaTheme="minorHAnsi"/>
          <w:lang w:eastAsia="en-US"/>
        </w:rPr>
        <w:t>2</w:t>
      </w:r>
      <w:proofErr w:type="spellEnd"/>
      <w:r w:rsidRPr="001A28D2">
        <w:rPr>
          <w:rFonts w:eastAsiaTheme="minorHAnsi"/>
          <w:lang w:eastAsia="en-US"/>
        </w:rPr>
        <w:t xml:space="preserve">. </w:t>
      </w:r>
      <w:r w:rsidR="002F6771" w:rsidRPr="001A28D2">
        <w:rPr>
          <w:rFonts w:eastAsiaTheme="minorHAnsi"/>
          <w:lang w:eastAsia="en-US"/>
        </w:rPr>
        <w:t>Конкретни</w:t>
      </w:r>
      <w:r w:rsidR="00C429DA" w:rsidRPr="001A28D2">
        <w:rPr>
          <w:rFonts w:eastAsiaTheme="minorHAnsi"/>
          <w:lang w:eastAsia="en-US"/>
        </w:rPr>
        <w:t>те</w:t>
      </w:r>
      <w:r w:rsidR="002F6771" w:rsidRPr="001A28D2">
        <w:rPr>
          <w:rFonts w:eastAsiaTheme="minorHAnsi"/>
          <w:lang w:eastAsia="en-US"/>
        </w:rPr>
        <w:t xml:space="preserve"> предложения</w:t>
      </w:r>
      <w:r w:rsidR="00C429DA" w:rsidRPr="001A28D2">
        <w:rPr>
          <w:rFonts w:eastAsiaTheme="minorHAnsi"/>
          <w:lang w:eastAsia="en-US"/>
        </w:rPr>
        <w:t xml:space="preserve"> са</w:t>
      </w:r>
      <w:r w:rsidR="00807241" w:rsidRPr="001A28D2">
        <w:rPr>
          <w:rFonts w:eastAsiaTheme="minorHAnsi"/>
          <w:lang w:eastAsia="en-US"/>
        </w:rPr>
        <w:t xml:space="preserve"> за</w:t>
      </w:r>
      <w:r w:rsidR="002F6771" w:rsidRPr="001A28D2">
        <w:rPr>
          <w:rFonts w:eastAsiaTheme="minorHAnsi"/>
          <w:lang w:eastAsia="en-US"/>
        </w:rPr>
        <w:t>:</w:t>
      </w:r>
    </w:p>
    <w:p w14:paraId="59F20B26" w14:textId="77777777" w:rsidR="002F6771" w:rsidRPr="001A28D2" w:rsidRDefault="00ED5B88" w:rsidP="007E77CC">
      <w:pPr>
        <w:widowControl w:val="0"/>
        <w:tabs>
          <w:tab w:val="left" w:pos="317"/>
        </w:tabs>
        <w:autoSpaceDE w:val="0"/>
        <w:autoSpaceDN w:val="0"/>
        <w:adjustRightInd w:val="0"/>
        <w:ind w:left="33" w:firstLine="709"/>
        <w:contextualSpacing/>
        <w:jc w:val="both"/>
        <w:textAlignment w:val="center"/>
      </w:pPr>
      <w:r w:rsidRPr="001A28D2">
        <w:t xml:space="preserve">а) </w:t>
      </w:r>
      <w:r w:rsidR="004058A7" w:rsidRPr="001A28D2">
        <w:t>у</w:t>
      </w:r>
      <w:r w:rsidR="002F6771" w:rsidRPr="001A28D2">
        <w:t>величение на средствата за общинска администрация</w:t>
      </w:r>
      <w:r w:rsidR="004058A7" w:rsidRPr="001A28D2">
        <w:t>;</w:t>
      </w:r>
    </w:p>
    <w:p w14:paraId="35A2A22C" w14:textId="77777777" w:rsidR="002F6771" w:rsidRPr="001A28D2" w:rsidRDefault="00ED5B88" w:rsidP="007E77CC">
      <w:pPr>
        <w:widowControl w:val="0"/>
        <w:tabs>
          <w:tab w:val="left" w:pos="317"/>
        </w:tabs>
        <w:autoSpaceDE w:val="0"/>
        <w:autoSpaceDN w:val="0"/>
        <w:adjustRightInd w:val="0"/>
        <w:ind w:left="33" w:firstLine="709"/>
        <w:contextualSpacing/>
        <w:jc w:val="both"/>
        <w:textAlignment w:val="center"/>
      </w:pPr>
      <w:r w:rsidRPr="001A28D2">
        <w:t xml:space="preserve">б) </w:t>
      </w:r>
      <w:r w:rsidR="004058A7" w:rsidRPr="001A28D2">
        <w:t>у</w:t>
      </w:r>
      <w:r w:rsidR="002F6771" w:rsidRPr="001A28D2">
        <w:t>величение на размера на изравнителната субсидия, целевата субсидия за капиталови разходи и допълнителният ресурс за зимно поддържане да се разпределят по подобрен механизъм по общини.</w:t>
      </w:r>
    </w:p>
    <w:p w14:paraId="3B344501" w14:textId="77777777" w:rsidR="002F6771" w:rsidRPr="001A28D2" w:rsidRDefault="006A5E5B" w:rsidP="007E77CC">
      <w:pPr>
        <w:tabs>
          <w:tab w:val="left" w:pos="317"/>
        </w:tabs>
        <w:ind w:left="34" w:firstLine="709"/>
        <w:jc w:val="both"/>
        <w:textAlignment w:val="center"/>
        <w:rPr>
          <w:rFonts w:eastAsiaTheme="minorHAnsi"/>
          <w:lang w:eastAsia="en-US"/>
        </w:rPr>
      </w:pPr>
      <w:r w:rsidRPr="001A28D2">
        <w:rPr>
          <w:rFonts w:eastAsiaTheme="minorHAnsi"/>
          <w:lang w:eastAsia="en-US"/>
        </w:rPr>
        <w:t xml:space="preserve">5.2.3. </w:t>
      </w:r>
      <w:r w:rsidR="002F6771" w:rsidRPr="001A28D2">
        <w:rPr>
          <w:rFonts w:eastAsiaTheme="minorHAnsi"/>
          <w:lang w:eastAsia="en-US"/>
        </w:rPr>
        <w:t>Други предложения:</w:t>
      </w:r>
    </w:p>
    <w:p w14:paraId="5F481B17" w14:textId="77777777" w:rsidR="002F6771" w:rsidRPr="001A28D2" w:rsidRDefault="00973E5E" w:rsidP="007E77CC">
      <w:pPr>
        <w:widowControl w:val="0"/>
        <w:tabs>
          <w:tab w:val="left" w:pos="317"/>
        </w:tabs>
        <w:autoSpaceDE w:val="0"/>
        <w:autoSpaceDN w:val="0"/>
        <w:adjustRightInd w:val="0"/>
        <w:ind w:left="33" w:firstLine="709"/>
        <w:contextualSpacing/>
        <w:jc w:val="both"/>
        <w:textAlignment w:val="center"/>
      </w:pPr>
      <w:r w:rsidRPr="001A28D2">
        <w:t xml:space="preserve">а) </w:t>
      </w:r>
      <w:r w:rsidR="00B734DF" w:rsidRPr="001A28D2">
        <w:t>у</w:t>
      </w:r>
      <w:r w:rsidR="002F6771" w:rsidRPr="001A28D2">
        <w:t>величение на размера на резерва за непредвидени и неотложни разходи за преодоляване, овладяване и преодоляване на последиците от бедствия</w:t>
      </w:r>
      <w:r w:rsidR="00B734DF" w:rsidRPr="001A28D2">
        <w:t>;</w:t>
      </w:r>
    </w:p>
    <w:p w14:paraId="6C44387D" w14:textId="77777777" w:rsidR="002F6771" w:rsidRPr="001A28D2" w:rsidRDefault="00973E5E" w:rsidP="007E77CC">
      <w:pPr>
        <w:widowControl w:val="0"/>
        <w:tabs>
          <w:tab w:val="left" w:pos="317"/>
        </w:tabs>
        <w:autoSpaceDE w:val="0"/>
        <w:autoSpaceDN w:val="0"/>
        <w:adjustRightInd w:val="0"/>
        <w:ind w:left="33" w:firstLine="709"/>
        <w:contextualSpacing/>
        <w:jc w:val="both"/>
        <w:textAlignment w:val="center"/>
      </w:pPr>
      <w:r w:rsidRPr="001A28D2">
        <w:t xml:space="preserve">б) </w:t>
      </w:r>
      <w:r w:rsidR="00B734DF" w:rsidRPr="001A28D2">
        <w:t>п</w:t>
      </w:r>
      <w:r w:rsidR="002F6771" w:rsidRPr="001A28D2">
        <w:t>оетапно осигуряване на ресурс за изпълнение на Целенасочената инвестиционна програма за слаборазвитите райони.</w:t>
      </w:r>
    </w:p>
    <w:p w14:paraId="10380C46" w14:textId="77777777" w:rsidR="00FF1E60" w:rsidRPr="001A28D2" w:rsidRDefault="006A5E5B" w:rsidP="007E77CC">
      <w:pPr>
        <w:tabs>
          <w:tab w:val="left" w:pos="317"/>
        </w:tabs>
        <w:ind w:left="34" w:firstLine="709"/>
        <w:jc w:val="both"/>
        <w:textAlignment w:val="center"/>
        <w:rPr>
          <w:rFonts w:eastAsiaTheme="minorHAnsi"/>
          <w:szCs w:val="22"/>
          <w:lang w:eastAsia="en-US"/>
        </w:rPr>
      </w:pPr>
      <w:r w:rsidRPr="001A28D2">
        <w:rPr>
          <w:rFonts w:eastAsiaTheme="minorHAnsi"/>
          <w:lang w:eastAsia="en-US"/>
        </w:rPr>
        <w:t xml:space="preserve">5.2.4. </w:t>
      </w:r>
      <w:r w:rsidR="00973E5E" w:rsidRPr="001A28D2">
        <w:rPr>
          <w:rFonts w:eastAsiaTheme="minorHAnsi"/>
          <w:lang w:eastAsia="en-US"/>
        </w:rPr>
        <w:t xml:space="preserve">По направените предложения </w:t>
      </w:r>
      <w:r w:rsidR="002F6771" w:rsidRPr="001A28D2">
        <w:rPr>
          <w:rFonts w:eastAsiaTheme="minorHAnsi"/>
          <w:lang w:eastAsia="en-US"/>
        </w:rPr>
        <w:t>по ЗДБРБ</w:t>
      </w:r>
      <w:r w:rsidR="00973E5E" w:rsidRPr="001A28D2">
        <w:rPr>
          <w:rFonts w:eastAsiaTheme="minorHAnsi"/>
          <w:lang w:eastAsia="en-US"/>
        </w:rPr>
        <w:t xml:space="preserve"> п</w:t>
      </w:r>
      <w:r w:rsidR="002F6771" w:rsidRPr="001A28D2">
        <w:rPr>
          <w:rFonts w:eastAsiaTheme="minorHAnsi"/>
          <w:lang w:eastAsia="en-US"/>
        </w:rPr>
        <w:t>озиция</w:t>
      </w:r>
      <w:r w:rsidR="00973E5E" w:rsidRPr="001A28D2">
        <w:rPr>
          <w:rFonts w:eastAsiaTheme="minorHAnsi"/>
          <w:lang w:eastAsia="en-US"/>
        </w:rPr>
        <w:t>та</w:t>
      </w:r>
      <w:r w:rsidR="002F6771" w:rsidRPr="001A28D2">
        <w:rPr>
          <w:rFonts w:eastAsiaTheme="minorHAnsi"/>
          <w:lang w:eastAsia="en-US"/>
        </w:rPr>
        <w:t xml:space="preserve"> на МФ е, че механизмите за разпределението на трансферите на общините са изготвени на основата на ясни, измерими и прозрачни критерии, като ще продължи работата за подобряване на предвидените механизми за разпределяне на средствата за общините.</w:t>
      </w:r>
      <w:r w:rsidR="002F6771" w:rsidRPr="001A28D2">
        <w:rPr>
          <w:rFonts w:eastAsiaTheme="minorHAnsi"/>
          <w:vertAlign w:val="superscript"/>
          <w:lang w:eastAsia="en-US"/>
        </w:rPr>
        <w:footnoteReference w:id="123"/>
      </w:r>
    </w:p>
    <w:p w14:paraId="513B8C75" w14:textId="77777777" w:rsidR="00FF1E60" w:rsidRPr="001A28D2" w:rsidRDefault="00FF1E60" w:rsidP="007E77CC">
      <w:pPr>
        <w:ind w:firstLine="709"/>
        <w:jc w:val="both"/>
        <w:rPr>
          <w:rFonts w:eastAsiaTheme="minorHAnsi"/>
          <w:lang w:eastAsia="en-US"/>
        </w:rPr>
      </w:pPr>
    </w:p>
    <w:p w14:paraId="748832BA" w14:textId="77777777" w:rsidR="004E2C53" w:rsidRPr="001A28D2" w:rsidRDefault="004E2C53" w:rsidP="007E77CC">
      <w:pPr>
        <w:ind w:firstLine="709"/>
        <w:jc w:val="both"/>
        <w:rPr>
          <w:rFonts w:eastAsiaTheme="minorHAnsi"/>
          <w:i/>
          <w:lang w:eastAsia="en-US"/>
        </w:rPr>
      </w:pPr>
      <w:r w:rsidRPr="001A28D2">
        <w:rPr>
          <w:rFonts w:eastAsiaTheme="minorHAnsi"/>
          <w:i/>
          <w:lang w:eastAsia="en-US"/>
        </w:rPr>
        <w:t xml:space="preserve">Проведена е </w:t>
      </w:r>
      <w:proofErr w:type="spellStart"/>
      <w:r w:rsidRPr="001A28D2">
        <w:rPr>
          <w:rFonts w:eastAsiaTheme="minorHAnsi"/>
          <w:i/>
          <w:lang w:eastAsia="en-US"/>
        </w:rPr>
        <w:t>съгласувателна</w:t>
      </w:r>
      <w:proofErr w:type="spellEnd"/>
      <w:r w:rsidRPr="001A28D2">
        <w:rPr>
          <w:rFonts w:eastAsiaTheme="minorHAnsi"/>
          <w:i/>
          <w:lang w:eastAsia="en-US"/>
        </w:rPr>
        <w:t xml:space="preserve"> процедура </w:t>
      </w:r>
      <w:r w:rsidR="00DB284D" w:rsidRPr="001A28D2">
        <w:rPr>
          <w:rFonts w:eastAsiaTheme="minorHAnsi"/>
          <w:i/>
          <w:lang w:eastAsia="en-US"/>
        </w:rPr>
        <w:t xml:space="preserve">в изпълнение на </w:t>
      </w:r>
      <w:r w:rsidRPr="001A28D2">
        <w:rPr>
          <w:rFonts w:eastAsiaTheme="minorHAnsi"/>
          <w:i/>
          <w:lang w:eastAsia="en-US"/>
        </w:rPr>
        <w:t>чл.</w:t>
      </w:r>
      <w:r w:rsidR="00DB284D" w:rsidRPr="001A28D2">
        <w:rPr>
          <w:rFonts w:eastAsiaTheme="minorHAnsi"/>
          <w:i/>
          <w:lang w:eastAsia="en-US"/>
        </w:rPr>
        <w:t> </w:t>
      </w:r>
      <w:r w:rsidRPr="001A28D2">
        <w:rPr>
          <w:rFonts w:eastAsiaTheme="minorHAnsi"/>
          <w:i/>
          <w:lang w:eastAsia="en-US"/>
        </w:rPr>
        <w:t>74 от ЗПФ.</w:t>
      </w:r>
    </w:p>
    <w:p w14:paraId="280EFBB0" w14:textId="77777777" w:rsidR="004E2C53" w:rsidRPr="001A28D2" w:rsidRDefault="004E2C53" w:rsidP="00E23853">
      <w:pPr>
        <w:tabs>
          <w:tab w:val="left" w:pos="5529"/>
        </w:tabs>
        <w:ind w:firstLine="709"/>
        <w:jc w:val="both"/>
        <w:rPr>
          <w:rFonts w:eastAsiaTheme="minorHAnsi"/>
          <w:lang w:eastAsia="en-US"/>
        </w:rPr>
      </w:pPr>
    </w:p>
    <w:p w14:paraId="61DA5AFD" w14:textId="13AA2BA7" w:rsidR="00FF1E60" w:rsidRPr="001A28D2" w:rsidRDefault="004E2C53" w:rsidP="007E77CC">
      <w:pPr>
        <w:ind w:firstLine="709"/>
        <w:jc w:val="both"/>
        <w:rPr>
          <w:rFonts w:eastAsiaTheme="minorHAnsi"/>
          <w:color w:val="000000"/>
          <w:lang w:eastAsia="en-US"/>
        </w:rPr>
      </w:pPr>
      <w:r w:rsidRPr="001A28D2">
        <w:t>5.3.</w:t>
      </w:r>
      <w:r w:rsidR="004058A7" w:rsidRPr="001A28D2">
        <w:t xml:space="preserve"> </w:t>
      </w:r>
      <w:r w:rsidR="000704F5" w:rsidRPr="001A28D2">
        <w:t>Ежегодно</w:t>
      </w:r>
      <w:r w:rsidR="002109E9" w:rsidRPr="001A28D2">
        <w:t>,</w:t>
      </w:r>
      <w:r w:rsidR="000704F5" w:rsidRPr="001A28D2">
        <w:t xml:space="preserve"> в срок до 31 октомври </w:t>
      </w:r>
      <w:r w:rsidR="00E73159" w:rsidRPr="001A28D2">
        <w:t>МС</w:t>
      </w:r>
      <w:r w:rsidR="002109E9" w:rsidRPr="001A28D2">
        <w:t>,</w:t>
      </w:r>
      <w:r w:rsidR="000704F5" w:rsidRPr="001A28D2">
        <w:t xml:space="preserve"> по предложение на министъра на финансите одобрява стратегия за управление на държавния дълг по Закона за държавния дълг за периода на съответната средносрочна бюджетна</w:t>
      </w:r>
      <w:r w:rsidR="000704F5" w:rsidRPr="001A28D2">
        <w:rPr>
          <w:spacing w:val="57"/>
        </w:rPr>
        <w:t xml:space="preserve"> </w:t>
      </w:r>
      <w:r w:rsidR="000704F5" w:rsidRPr="001A28D2">
        <w:t>прогноза.</w:t>
      </w:r>
      <w:r w:rsidR="000704F5" w:rsidRPr="001A28D2">
        <w:rPr>
          <w:rStyle w:val="FootnoteReference"/>
        </w:rPr>
        <w:footnoteReference w:id="124"/>
      </w:r>
    </w:p>
    <w:p w14:paraId="10E183C4" w14:textId="01BA1B55" w:rsidR="007F2482" w:rsidRPr="001A28D2" w:rsidRDefault="005B1104" w:rsidP="007E77CC">
      <w:pPr>
        <w:widowControl w:val="0"/>
        <w:autoSpaceDE w:val="0"/>
        <w:autoSpaceDN w:val="0"/>
        <w:adjustRightInd w:val="0"/>
        <w:ind w:firstLine="709"/>
        <w:contextualSpacing/>
        <w:jc w:val="both"/>
        <w:textAlignment w:val="center"/>
      </w:pPr>
      <w:r w:rsidRPr="001A28D2">
        <w:t>От МФ е разработена Стратегия за управление на държавния дълг 2017–2019</w:t>
      </w:r>
      <w:r w:rsidR="003562E8" w:rsidRPr="001A28D2">
        <w:t> </w:t>
      </w:r>
      <w:r w:rsidRPr="001A28D2">
        <w:t xml:space="preserve">г., </w:t>
      </w:r>
      <w:r w:rsidR="00870BD0" w:rsidRPr="001A28D2">
        <w:t xml:space="preserve">която </w:t>
      </w:r>
      <w:r w:rsidR="00B97070" w:rsidRPr="001A28D2">
        <w:t xml:space="preserve">обхваща </w:t>
      </w:r>
      <w:r w:rsidRPr="001A28D2">
        <w:t>периода на съответната средносрочна бюджетна прогноза. Обект на Стратегията е вътрешният и външен държавен дълг</w:t>
      </w:r>
      <w:r w:rsidR="008A1D22" w:rsidRPr="001A28D2">
        <w:t>, поет по реда на Закона за държавния дълг</w:t>
      </w:r>
      <w:r w:rsidRPr="001A28D2">
        <w:t>. Стратегията е</w:t>
      </w:r>
      <w:r w:rsidR="00BF0C45" w:rsidRPr="001A28D2">
        <w:t xml:space="preserve"> </w:t>
      </w:r>
      <w:r w:rsidR="00B97070" w:rsidRPr="001A28D2">
        <w:t>одобрена от МС (</w:t>
      </w:r>
      <w:r w:rsidR="002109E9" w:rsidRPr="001A28D2">
        <w:t xml:space="preserve">РМС №916 от </w:t>
      </w:r>
      <w:r w:rsidR="00B97070" w:rsidRPr="001A28D2">
        <w:t>31.10.2016 г.) и е</w:t>
      </w:r>
      <w:r w:rsidRPr="001A28D2">
        <w:t xml:space="preserve"> публикувана</w:t>
      </w:r>
      <w:r w:rsidRPr="001A28D2">
        <w:rPr>
          <w:vertAlign w:val="superscript"/>
        </w:rPr>
        <w:footnoteReference w:id="125"/>
      </w:r>
      <w:r w:rsidRPr="001A28D2">
        <w:t xml:space="preserve"> на интернет страницата на МФ.</w:t>
      </w:r>
    </w:p>
    <w:p w14:paraId="5659860E" w14:textId="77777777" w:rsidR="0033797D" w:rsidRPr="001A28D2" w:rsidRDefault="0033797D" w:rsidP="007E77CC">
      <w:pPr>
        <w:widowControl w:val="0"/>
        <w:autoSpaceDE w:val="0"/>
        <w:autoSpaceDN w:val="0"/>
        <w:adjustRightInd w:val="0"/>
        <w:ind w:firstLine="709"/>
        <w:contextualSpacing/>
        <w:jc w:val="both"/>
        <w:textAlignment w:val="center"/>
        <w:rPr>
          <w:i/>
        </w:rPr>
      </w:pPr>
    </w:p>
    <w:p w14:paraId="32781A2E" w14:textId="08D8637A" w:rsidR="005B1104" w:rsidRPr="001A28D2" w:rsidRDefault="005B1104" w:rsidP="007E77CC">
      <w:pPr>
        <w:widowControl w:val="0"/>
        <w:autoSpaceDE w:val="0"/>
        <w:autoSpaceDN w:val="0"/>
        <w:adjustRightInd w:val="0"/>
        <w:ind w:firstLine="709"/>
        <w:contextualSpacing/>
        <w:jc w:val="both"/>
        <w:textAlignment w:val="center"/>
        <w:rPr>
          <w:i/>
          <w:color w:val="000000"/>
          <w:highlight w:val="red"/>
        </w:rPr>
      </w:pPr>
      <w:r w:rsidRPr="001A28D2">
        <w:rPr>
          <w:i/>
        </w:rPr>
        <w:t>Изпълнен</w:t>
      </w:r>
      <w:r w:rsidR="00E73159" w:rsidRPr="001A28D2">
        <w:rPr>
          <w:i/>
        </w:rPr>
        <w:t>и</w:t>
      </w:r>
      <w:r w:rsidRPr="001A28D2">
        <w:rPr>
          <w:i/>
        </w:rPr>
        <w:t xml:space="preserve"> </w:t>
      </w:r>
      <w:r w:rsidR="00E73159" w:rsidRPr="001A28D2">
        <w:rPr>
          <w:i/>
        </w:rPr>
        <w:t>са</w:t>
      </w:r>
      <w:r w:rsidRPr="001A28D2">
        <w:rPr>
          <w:i/>
        </w:rPr>
        <w:t xml:space="preserve"> </w:t>
      </w:r>
      <w:r w:rsidR="00E73159" w:rsidRPr="001A28D2">
        <w:rPr>
          <w:i/>
        </w:rPr>
        <w:t xml:space="preserve">изискванията </w:t>
      </w:r>
      <w:r w:rsidRPr="001A28D2">
        <w:rPr>
          <w:i/>
        </w:rPr>
        <w:t>на</w:t>
      </w:r>
      <w:r w:rsidR="00B97070" w:rsidRPr="001A28D2">
        <w:rPr>
          <w:i/>
        </w:rPr>
        <w:t xml:space="preserve"> чл.16, ал.1 от ЗДД и</w:t>
      </w:r>
      <w:r w:rsidRPr="001A28D2">
        <w:rPr>
          <w:i/>
        </w:rPr>
        <w:t xml:space="preserve"> чл.</w:t>
      </w:r>
      <w:r w:rsidR="00B734DF" w:rsidRPr="001A28D2">
        <w:rPr>
          <w:i/>
        </w:rPr>
        <w:t> </w:t>
      </w:r>
      <w:r w:rsidRPr="001A28D2">
        <w:rPr>
          <w:i/>
        </w:rPr>
        <w:t>77а от ЗПФ.</w:t>
      </w:r>
    </w:p>
    <w:p w14:paraId="44911E44" w14:textId="001CD49D" w:rsidR="007F2482" w:rsidRPr="001A28D2" w:rsidRDefault="007F2482" w:rsidP="007E77CC">
      <w:pPr>
        <w:widowControl w:val="0"/>
        <w:autoSpaceDE w:val="0"/>
        <w:autoSpaceDN w:val="0"/>
        <w:adjustRightInd w:val="0"/>
        <w:ind w:firstLine="709"/>
        <w:contextualSpacing/>
        <w:jc w:val="both"/>
        <w:textAlignment w:val="center"/>
        <w:rPr>
          <w:color w:val="000000"/>
          <w:highlight w:val="red"/>
        </w:rPr>
      </w:pPr>
    </w:p>
    <w:p w14:paraId="0E430274" w14:textId="5DB199AB" w:rsidR="00DB76A3" w:rsidRPr="001A28D2" w:rsidRDefault="000C6A12" w:rsidP="00DB76A3">
      <w:pPr>
        <w:ind w:firstLine="709"/>
        <w:jc w:val="both"/>
        <w:rPr>
          <w:rFonts w:eastAsiaTheme="minorHAnsi"/>
          <w:lang w:eastAsia="en-US"/>
        </w:rPr>
      </w:pPr>
      <w:r w:rsidRPr="001A28D2">
        <w:rPr>
          <w:color w:val="000000"/>
        </w:rPr>
        <w:t xml:space="preserve">5.4. </w:t>
      </w:r>
      <w:r w:rsidR="00DB76A3" w:rsidRPr="001A28D2">
        <w:rPr>
          <w:color w:val="000000"/>
        </w:rPr>
        <w:t>М</w:t>
      </w:r>
      <w:r w:rsidR="00DB76A3" w:rsidRPr="001A28D2">
        <w:rPr>
          <w:rFonts w:eastAsiaTheme="minorHAnsi"/>
          <w:lang w:eastAsia="en-US"/>
        </w:rPr>
        <w:t xml:space="preserve">акроикономическо развитие на </w:t>
      </w:r>
      <w:proofErr w:type="spellStart"/>
      <w:r w:rsidR="00DB76A3" w:rsidRPr="001A28D2">
        <w:rPr>
          <w:rFonts w:eastAsiaTheme="minorHAnsi"/>
          <w:lang w:eastAsia="en-US"/>
        </w:rPr>
        <w:t>РБългария</w:t>
      </w:r>
      <w:proofErr w:type="spellEnd"/>
      <w:r w:rsidR="00DB76A3" w:rsidRPr="001A28D2">
        <w:rPr>
          <w:rFonts w:eastAsiaTheme="minorHAnsi"/>
          <w:lang w:eastAsia="en-US"/>
        </w:rPr>
        <w:t xml:space="preserve"> през 2016 г.</w:t>
      </w:r>
    </w:p>
    <w:p w14:paraId="3BC1D742" w14:textId="77777777" w:rsidR="005442FE" w:rsidRPr="001A28D2" w:rsidRDefault="005442FE" w:rsidP="007E77CC">
      <w:pPr>
        <w:ind w:firstLine="709"/>
        <w:jc w:val="both"/>
        <w:rPr>
          <w:rFonts w:eastAsiaTheme="minorHAnsi"/>
          <w:lang w:eastAsia="en-US"/>
        </w:rPr>
      </w:pPr>
      <w:r w:rsidRPr="001A28D2">
        <w:rPr>
          <w:rFonts w:eastAsiaTheme="minorHAnsi"/>
          <w:lang w:eastAsia="en-US"/>
        </w:rPr>
        <w:t>През отчетния период реалният БВП е нараснал с 3,4</w:t>
      </w:r>
      <w:r w:rsidR="005E6E8A" w:rsidRPr="001A28D2">
        <w:rPr>
          <w:rFonts w:eastAsiaTheme="minorHAnsi"/>
          <w:lang w:eastAsia="en-US"/>
        </w:rPr>
        <w:t> на </w:t>
      </w:r>
      <w:r w:rsidRPr="001A28D2">
        <w:rPr>
          <w:rFonts w:eastAsiaTheme="minorHAnsi"/>
          <w:lang w:eastAsia="en-US"/>
        </w:rPr>
        <w:t xml:space="preserve">сто. Приносът на вътрешното търсене </w:t>
      </w:r>
      <w:r w:rsidR="00DB76A3" w:rsidRPr="001A28D2">
        <w:rPr>
          <w:rFonts w:eastAsiaTheme="minorHAnsi"/>
          <w:lang w:eastAsia="en-US"/>
        </w:rPr>
        <w:t xml:space="preserve">(потребление и инвестиции) </w:t>
      </w:r>
      <w:r w:rsidRPr="001A28D2">
        <w:rPr>
          <w:rFonts w:eastAsiaTheme="minorHAnsi"/>
          <w:lang w:eastAsia="en-US"/>
        </w:rPr>
        <w:t>е 1,6</w:t>
      </w:r>
      <w:r w:rsidR="005E6E8A" w:rsidRPr="001A28D2">
        <w:rPr>
          <w:rFonts w:eastAsiaTheme="minorHAnsi"/>
          <w:lang w:eastAsia="en-US"/>
        </w:rPr>
        <w:t> </w:t>
      </w:r>
      <w:r w:rsidRPr="001A28D2">
        <w:rPr>
          <w:rFonts w:eastAsiaTheme="minorHAnsi"/>
          <w:lang w:eastAsia="en-US"/>
        </w:rPr>
        <w:t>пр.</w:t>
      </w:r>
      <w:r w:rsidR="005E6E8A" w:rsidRPr="001A28D2">
        <w:rPr>
          <w:rFonts w:eastAsiaTheme="minorHAnsi"/>
          <w:lang w:eastAsia="en-US"/>
        </w:rPr>
        <w:t> </w:t>
      </w:r>
      <w:r w:rsidRPr="001A28D2">
        <w:rPr>
          <w:rFonts w:eastAsiaTheme="minorHAnsi"/>
          <w:lang w:eastAsia="en-US"/>
        </w:rPr>
        <w:t>п., а на нетния износ – 1,8</w:t>
      </w:r>
      <w:r w:rsidR="005E6E8A" w:rsidRPr="001A28D2">
        <w:rPr>
          <w:rFonts w:eastAsiaTheme="minorHAnsi"/>
          <w:lang w:eastAsia="en-US"/>
        </w:rPr>
        <w:t> </w:t>
      </w:r>
      <w:r w:rsidRPr="001A28D2">
        <w:rPr>
          <w:rFonts w:eastAsiaTheme="minorHAnsi"/>
          <w:lang w:eastAsia="en-US"/>
        </w:rPr>
        <w:t>пр.</w:t>
      </w:r>
      <w:r w:rsidR="005E6E8A" w:rsidRPr="001A28D2">
        <w:rPr>
          <w:rFonts w:eastAsiaTheme="minorHAnsi"/>
          <w:lang w:eastAsia="en-US"/>
        </w:rPr>
        <w:t> </w:t>
      </w:r>
      <w:r w:rsidRPr="001A28D2">
        <w:rPr>
          <w:rFonts w:eastAsiaTheme="minorHAnsi"/>
          <w:lang w:eastAsia="en-US"/>
        </w:rPr>
        <w:t>п. Номиналното нарастване е 4,6</w:t>
      </w:r>
      <w:r w:rsidR="005E6E8A" w:rsidRPr="001A28D2">
        <w:rPr>
          <w:rFonts w:eastAsiaTheme="minorHAnsi"/>
          <w:lang w:eastAsia="en-US"/>
        </w:rPr>
        <w:t> </w:t>
      </w:r>
      <w:r w:rsidRPr="001A28D2">
        <w:rPr>
          <w:rFonts w:eastAsiaTheme="minorHAnsi"/>
          <w:lang w:eastAsia="en-US"/>
        </w:rPr>
        <w:t>на</w:t>
      </w:r>
      <w:r w:rsidR="005E6E8A" w:rsidRPr="001A28D2">
        <w:rPr>
          <w:rFonts w:eastAsiaTheme="minorHAnsi"/>
          <w:lang w:eastAsia="en-US"/>
        </w:rPr>
        <w:t> </w:t>
      </w:r>
      <w:r w:rsidRPr="001A28D2">
        <w:rPr>
          <w:rFonts w:eastAsiaTheme="minorHAnsi"/>
          <w:lang w:eastAsia="en-US"/>
        </w:rPr>
        <w:t xml:space="preserve">сто спрямо 2015 г. или </w:t>
      </w:r>
      <w:r w:rsidR="00490C07" w:rsidRPr="001A28D2">
        <w:rPr>
          <w:rFonts w:eastAsiaTheme="minorHAnsi"/>
          <w:lang w:eastAsia="en-US"/>
        </w:rPr>
        <w:t xml:space="preserve">БВП достига </w:t>
      </w:r>
      <w:r w:rsidRPr="001A28D2">
        <w:rPr>
          <w:rFonts w:eastAsiaTheme="minorHAnsi"/>
          <w:lang w:eastAsia="en-US"/>
        </w:rPr>
        <w:t>92 635 млн. лв.</w:t>
      </w:r>
      <w:r w:rsidR="00490C07" w:rsidRPr="001A28D2">
        <w:rPr>
          <w:rStyle w:val="FootnoteReference"/>
          <w:rFonts w:eastAsiaTheme="minorHAnsi"/>
          <w:lang w:eastAsia="en-US"/>
        </w:rPr>
        <w:footnoteReference w:id="126"/>
      </w:r>
      <w:r w:rsidR="00490C07" w:rsidRPr="001A28D2">
        <w:rPr>
          <w:rFonts w:eastAsiaTheme="minorHAnsi"/>
          <w:lang w:eastAsia="en-US"/>
        </w:rPr>
        <w:t xml:space="preserve"> през 2016 г.</w:t>
      </w:r>
      <w:r w:rsidR="003F7802" w:rsidRPr="001A28D2">
        <w:rPr>
          <w:rFonts w:eastAsiaTheme="minorHAnsi"/>
          <w:vertAlign w:val="superscript"/>
          <w:lang w:eastAsia="en-US"/>
        </w:rPr>
        <w:t xml:space="preserve"> </w:t>
      </w:r>
      <w:r w:rsidR="003F7802" w:rsidRPr="001A28D2">
        <w:rPr>
          <w:rFonts w:eastAsiaTheme="minorHAnsi"/>
          <w:vertAlign w:val="superscript"/>
          <w:lang w:eastAsia="en-US"/>
        </w:rPr>
        <w:footnoteReference w:id="127"/>
      </w:r>
    </w:p>
    <w:p w14:paraId="166BE4E2" w14:textId="489946E5" w:rsidR="00116331" w:rsidRPr="001A28D2" w:rsidRDefault="005442FE" w:rsidP="00116331">
      <w:pPr>
        <w:ind w:firstLine="709"/>
        <w:jc w:val="both"/>
        <w:rPr>
          <w:rFonts w:eastAsiaTheme="minorHAnsi"/>
          <w:color w:val="000000" w:themeColor="text1"/>
          <w:lang w:eastAsia="en-US"/>
        </w:rPr>
      </w:pPr>
      <w:r w:rsidRPr="001A28D2">
        <w:rPr>
          <w:rFonts w:eastAsiaTheme="minorHAnsi"/>
          <w:lang w:eastAsia="en-US"/>
        </w:rPr>
        <w:t>Р</w:t>
      </w:r>
      <w:r w:rsidR="005E6E8A" w:rsidRPr="001A28D2">
        <w:rPr>
          <w:rFonts w:eastAsiaTheme="minorHAnsi"/>
          <w:lang w:eastAsia="en-US"/>
        </w:rPr>
        <w:t>е</w:t>
      </w:r>
      <w:r w:rsidRPr="001A28D2">
        <w:rPr>
          <w:rFonts w:eastAsiaTheme="minorHAnsi"/>
          <w:lang w:eastAsia="en-US"/>
        </w:rPr>
        <w:t>алното нарастване на крайното потребление е 1,8</w:t>
      </w:r>
      <w:r w:rsidR="006D52CF" w:rsidRPr="001A28D2">
        <w:rPr>
          <w:rFonts w:eastAsiaTheme="minorHAnsi"/>
          <w:lang w:eastAsia="en-US"/>
        </w:rPr>
        <w:t> на </w:t>
      </w:r>
      <w:r w:rsidRPr="001A28D2">
        <w:rPr>
          <w:rFonts w:eastAsiaTheme="minorHAnsi"/>
          <w:lang w:eastAsia="en-US"/>
        </w:rPr>
        <w:t>сто при 3,8</w:t>
      </w:r>
      <w:r w:rsidR="006D52CF" w:rsidRPr="001A28D2">
        <w:rPr>
          <w:rFonts w:eastAsiaTheme="minorHAnsi"/>
          <w:lang w:eastAsia="en-US"/>
        </w:rPr>
        <w:t> </w:t>
      </w:r>
      <w:r w:rsidRPr="001A28D2">
        <w:rPr>
          <w:rFonts w:eastAsiaTheme="minorHAnsi"/>
          <w:lang w:eastAsia="en-US"/>
        </w:rPr>
        <w:t>на</w:t>
      </w:r>
      <w:r w:rsidR="006D52CF" w:rsidRPr="001A28D2">
        <w:rPr>
          <w:rFonts w:eastAsiaTheme="minorHAnsi"/>
          <w:lang w:eastAsia="en-US"/>
        </w:rPr>
        <w:t> </w:t>
      </w:r>
      <w:r w:rsidRPr="001A28D2">
        <w:rPr>
          <w:rFonts w:eastAsiaTheme="minorHAnsi"/>
          <w:lang w:eastAsia="en-US"/>
        </w:rPr>
        <w:t xml:space="preserve">сто през 2015 г. Поради по-слабото нарастване на доходите през годината, </w:t>
      </w:r>
      <w:r w:rsidR="00490C07" w:rsidRPr="001A28D2">
        <w:rPr>
          <w:rFonts w:eastAsiaTheme="minorHAnsi"/>
          <w:lang w:eastAsia="en-US"/>
        </w:rPr>
        <w:t xml:space="preserve">повишението на </w:t>
      </w:r>
      <w:r w:rsidRPr="001A28D2">
        <w:rPr>
          <w:rFonts w:eastAsiaTheme="minorHAnsi"/>
          <w:lang w:eastAsia="en-US"/>
        </w:rPr>
        <w:t>частн</w:t>
      </w:r>
      <w:r w:rsidR="006D52CF" w:rsidRPr="001A28D2">
        <w:rPr>
          <w:rFonts w:eastAsiaTheme="minorHAnsi"/>
          <w:lang w:eastAsia="en-US"/>
        </w:rPr>
        <w:t>о</w:t>
      </w:r>
      <w:r w:rsidRPr="001A28D2">
        <w:rPr>
          <w:rFonts w:eastAsiaTheme="minorHAnsi"/>
          <w:lang w:eastAsia="en-US"/>
        </w:rPr>
        <w:t>то потребление е забавено д</w:t>
      </w:r>
      <w:r w:rsidR="006D52CF" w:rsidRPr="001A28D2">
        <w:rPr>
          <w:rFonts w:eastAsiaTheme="minorHAnsi"/>
          <w:lang w:eastAsia="en-US"/>
        </w:rPr>
        <w:t>о</w:t>
      </w:r>
      <w:r w:rsidRPr="001A28D2">
        <w:rPr>
          <w:rFonts w:eastAsiaTheme="minorHAnsi"/>
          <w:lang w:eastAsia="en-US"/>
        </w:rPr>
        <w:t xml:space="preserve"> 2,1</w:t>
      </w:r>
      <w:r w:rsidR="006D52CF" w:rsidRPr="001A28D2">
        <w:rPr>
          <w:rFonts w:eastAsiaTheme="minorHAnsi"/>
          <w:lang w:eastAsia="en-US"/>
        </w:rPr>
        <w:t> </w:t>
      </w:r>
      <w:r w:rsidRPr="001A28D2">
        <w:rPr>
          <w:rFonts w:eastAsiaTheme="minorHAnsi"/>
          <w:lang w:eastAsia="en-US"/>
        </w:rPr>
        <w:t>на</w:t>
      </w:r>
      <w:r w:rsidR="006D52CF" w:rsidRPr="001A28D2">
        <w:rPr>
          <w:rFonts w:eastAsiaTheme="minorHAnsi"/>
          <w:lang w:eastAsia="en-US"/>
        </w:rPr>
        <w:t> </w:t>
      </w:r>
      <w:r w:rsidRPr="001A28D2">
        <w:rPr>
          <w:rFonts w:eastAsiaTheme="minorHAnsi"/>
          <w:lang w:eastAsia="en-US"/>
        </w:rPr>
        <w:t xml:space="preserve">сто, а </w:t>
      </w:r>
      <w:r w:rsidR="00490C07" w:rsidRPr="001A28D2">
        <w:rPr>
          <w:rFonts w:eastAsiaTheme="minorHAnsi"/>
          <w:lang w:eastAsia="en-US"/>
        </w:rPr>
        <w:t xml:space="preserve">на </w:t>
      </w:r>
      <w:proofErr w:type="spellStart"/>
      <w:r w:rsidRPr="001A28D2">
        <w:rPr>
          <w:rFonts w:eastAsiaTheme="minorHAnsi"/>
          <w:lang w:eastAsia="en-US"/>
        </w:rPr>
        <w:t>правителств</w:t>
      </w:r>
      <w:r w:rsidR="006D52CF" w:rsidRPr="001A28D2">
        <w:rPr>
          <w:rFonts w:eastAsiaTheme="minorHAnsi"/>
          <w:lang w:eastAsia="en-US"/>
        </w:rPr>
        <w:t>e</w:t>
      </w:r>
      <w:r w:rsidRPr="001A28D2">
        <w:rPr>
          <w:rFonts w:eastAsiaTheme="minorHAnsi"/>
          <w:lang w:eastAsia="en-US"/>
        </w:rPr>
        <w:t>ното</w:t>
      </w:r>
      <w:proofErr w:type="spellEnd"/>
      <w:r w:rsidRPr="001A28D2">
        <w:rPr>
          <w:rFonts w:eastAsiaTheme="minorHAnsi"/>
          <w:lang w:eastAsia="en-US"/>
        </w:rPr>
        <w:t xml:space="preserve"> – до 0,6</w:t>
      </w:r>
      <w:r w:rsidR="006D52CF" w:rsidRPr="001A28D2">
        <w:rPr>
          <w:rFonts w:eastAsiaTheme="minorHAnsi"/>
          <w:lang w:eastAsia="en-US"/>
        </w:rPr>
        <w:t> </w:t>
      </w:r>
      <w:r w:rsidRPr="001A28D2">
        <w:rPr>
          <w:rFonts w:eastAsiaTheme="minorHAnsi"/>
          <w:lang w:eastAsia="en-US"/>
        </w:rPr>
        <w:t>на</w:t>
      </w:r>
      <w:r w:rsidR="006D52CF" w:rsidRPr="001A28D2">
        <w:rPr>
          <w:rFonts w:eastAsiaTheme="minorHAnsi"/>
          <w:lang w:eastAsia="en-US"/>
        </w:rPr>
        <w:t> </w:t>
      </w:r>
      <w:r w:rsidRPr="001A28D2">
        <w:rPr>
          <w:rFonts w:eastAsiaTheme="minorHAnsi"/>
          <w:lang w:eastAsia="en-US"/>
        </w:rPr>
        <w:t xml:space="preserve">сто. </w:t>
      </w:r>
      <w:r w:rsidR="00DB76A3" w:rsidRPr="001A28D2">
        <w:rPr>
          <w:rFonts w:eastAsiaTheme="minorHAnsi"/>
          <w:lang w:eastAsia="en-US"/>
        </w:rPr>
        <w:t>Общите инвестиции нарастват с 0</w:t>
      </w:r>
      <w:r w:rsidR="008715F7" w:rsidRPr="001A28D2">
        <w:rPr>
          <w:rFonts w:eastAsiaTheme="minorHAnsi"/>
          <w:lang w:eastAsia="en-US"/>
        </w:rPr>
        <w:t>,</w:t>
      </w:r>
      <w:r w:rsidR="00DB76A3" w:rsidRPr="001A28D2">
        <w:rPr>
          <w:rFonts w:eastAsiaTheme="minorHAnsi"/>
          <w:lang w:eastAsia="en-US"/>
        </w:rPr>
        <w:t>9</w:t>
      </w:r>
      <w:r w:rsidR="008715F7" w:rsidRPr="001A28D2">
        <w:rPr>
          <w:rFonts w:eastAsiaTheme="minorHAnsi"/>
          <w:lang w:eastAsia="en-US"/>
        </w:rPr>
        <w:t xml:space="preserve"> на сто</w:t>
      </w:r>
      <w:r w:rsidR="00DB76A3" w:rsidRPr="001A28D2">
        <w:rPr>
          <w:rFonts w:eastAsiaTheme="minorHAnsi"/>
          <w:lang w:eastAsia="en-US"/>
        </w:rPr>
        <w:t>, като това увеличение се дължи изцяло на изменението на запасите. Инвестициите в основен капитал</w:t>
      </w:r>
      <w:r w:rsidR="00DB76A3" w:rsidRPr="001A28D2" w:rsidDel="00DB76A3">
        <w:rPr>
          <w:rFonts w:eastAsiaTheme="minorHAnsi"/>
          <w:lang w:eastAsia="en-US"/>
        </w:rPr>
        <w:t xml:space="preserve"> </w:t>
      </w:r>
      <w:r w:rsidRPr="001A28D2">
        <w:rPr>
          <w:rFonts w:eastAsiaTheme="minorHAnsi"/>
          <w:lang w:eastAsia="en-US"/>
        </w:rPr>
        <w:t>намаляват с 4</w:t>
      </w:r>
      <w:r w:rsidR="006D52CF" w:rsidRPr="001A28D2">
        <w:rPr>
          <w:rFonts w:eastAsiaTheme="minorHAnsi"/>
          <w:lang w:eastAsia="en-US"/>
        </w:rPr>
        <w:t> </w:t>
      </w:r>
      <w:r w:rsidRPr="001A28D2">
        <w:rPr>
          <w:rFonts w:eastAsiaTheme="minorHAnsi"/>
          <w:lang w:eastAsia="en-US"/>
        </w:rPr>
        <w:t>на</w:t>
      </w:r>
      <w:r w:rsidR="006D52CF" w:rsidRPr="001A28D2">
        <w:rPr>
          <w:rFonts w:eastAsiaTheme="minorHAnsi"/>
          <w:lang w:eastAsia="en-US"/>
        </w:rPr>
        <w:t> </w:t>
      </w:r>
      <w:r w:rsidRPr="001A28D2">
        <w:rPr>
          <w:rFonts w:eastAsiaTheme="minorHAnsi"/>
          <w:lang w:eastAsia="en-US"/>
        </w:rPr>
        <w:t xml:space="preserve">сто </w:t>
      </w:r>
      <w:r w:rsidR="00DB76A3" w:rsidRPr="001A28D2">
        <w:rPr>
          <w:rFonts w:eastAsiaTheme="minorHAnsi"/>
          <w:lang w:eastAsia="en-US"/>
        </w:rPr>
        <w:t>поради свиване на правителствените капиталови разходи. В същото време, частните инвестиции отбелязват растеж, като това бе съпроводено с подобряване на общия бизнес климат в страната.</w:t>
      </w:r>
      <w:r w:rsidRPr="001A28D2">
        <w:rPr>
          <w:rFonts w:eastAsiaTheme="minorHAnsi"/>
          <w:lang w:eastAsia="en-US"/>
        </w:rPr>
        <w:t xml:space="preserve"> Нарастването на износа е със същия темп както през 2015 г.</w:t>
      </w:r>
      <w:r w:rsidR="00116331" w:rsidRPr="001A28D2">
        <w:rPr>
          <w:rFonts w:eastAsiaTheme="minorHAnsi"/>
          <w:lang w:eastAsia="en-US"/>
        </w:rPr>
        <w:t xml:space="preserve"> (5</w:t>
      </w:r>
      <w:r w:rsidR="00FF7807" w:rsidRPr="001A28D2">
        <w:rPr>
          <w:rFonts w:eastAsiaTheme="minorHAnsi"/>
          <w:lang w:eastAsia="en-US"/>
        </w:rPr>
        <w:t>,</w:t>
      </w:r>
      <w:r w:rsidR="00116331" w:rsidRPr="001A28D2">
        <w:rPr>
          <w:rFonts w:eastAsiaTheme="minorHAnsi"/>
          <w:lang w:eastAsia="en-US"/>
        </w:rPr>
        <w:t>7 на сто).</w:t>
      </w:r>
      <w:r w:rsidRPr="001A28D2">
        <w:rPr>
          <w:rFonts w:eastAsiaTheme="minorHAnsi"/>
          <w:lang w:eastAsia="en-US"/>
        </w:rPr>
        <w:t xml:space="preserve"> Нарастването на вноса е по-ниско спрямо 2015 г., а именно с 2,8</w:t>
      </w:r>
      <w:r w:rsidR="006D52CF" w:rsidRPr="001A28D2">
        <w:rPr>
          <w:rFonts w:eastAsiaTheme="minorHAnsi"/>
          <w:lang w:eastAsia="en-US"/>
        </w:rPr>
        <w:t> </w:t>
      </w:r>
      <w:r w:rsidRPr="001A28D2">
        <w:rPr>
          <w:rFonts w:eastAsiaTheme="minorHAnsi"/>
          <w:lang w:eastAsia="en-US"/>
        </w:rPr>
        <w:t>на</w:t>
      </w:r>
      <w:r w:rsidR="006D52CF" w:rsidRPr="001A28D2">
        <w:rPr>
          <w:rFonts w:eastAsiaTheme="minorHAnsi"/>
          <w:lang w:eastAsia="en-US"/>
        </w:rPr>
        <w:t> </w:t>
      </w:r>
      <w:r w:rsidRPr="001A28D2">
        <w:rPr>
          <w:rFonts w:eastAsiaTheme="minorHAnsi"/>
          <w:lang w:eastAsia="en-US"/>
        </w:rPr>
        <w:t xml:space="preserve">сто, поради </w:t>
      </w:r>
      <w:r w:rsidR="00116331" w:rsidRPr="001A28D2">
        <w:rPr>
          <w:rFonts w:eastAsiaTheme="minorHAnsi"/>
          <w:color w:val="000000" w:themeColor="text1"/>
          <w:lang w:eastAsia="en-US"/>
        </w:rPr>
        <w:t xml:space="preserve">по-слабото вътрешно търсене. </w:t>
      </w:r>
    </w:p>
    <w:p w14:paraId="25F70E31" w14:textId="77777777" w:rsidR="00831AF8" w:rsidRPr="001A28D2" w:rsidRDefault="00831AF8" w:rsidP="00831AF8">
      <w:pPr>
        <w:ind w:firstLine="709"/>
        <w:jc w:val="both"/>
        <w:rPr>
          <w:rFonts w:eastAsiaTheme="minorHAnsi"/>
          <w:lang w:eastAsia="en-US"/>
        </w:rPr>
      </w:pPr>
      <w:r w:rsidRPr="001A28D2">
        <w:rPr>
          <w:rFonts w:eastAsiaTheme="minorHAnsi"/>
          <w:lang w:eastAsia="en-US"/>
        </w:rPr>
        <w:t xml:space="preserve">През отчетния период по трите основни сметки на платежния баланс (финансова, капиталова и текуща) са отчетени нетни входящи финансови потоци. По финансовата сметка в страната са влезли нето 51,3 млн. евро. Основните входящи потоци са свързани с емитирания държавен дълг през м. март и привлечените преки чуждестранни инвестиции, които са намалени до 1,13 млрд. евро, или 2,4 на сто от БВП. Основна част от тях е под формата на дялов капитал. </w:t>
      </w:r>
    </w:p>
    <w:p w14:paraId="11E83F1A" w14:textId="77777777" w:rsidR="00831AF8" w:rsidRPr="001A28D2" w:rsidRDefault="00831AF8" w:rsidP="00831AF8">
      <w:pPr>
        <w:ind w:firstLine="709"/>
        <w:jc w:val="both"/>
        <w:rPr>
          <w:rFonts w:eastAsiaTheme="minorHAnsi"/>
          <w:lang w:eastAsia="en-US"/>
        </w:rPr>
      </w:pPr>
      <w:r w:rsidRPr="001A28D2">
        <w:rPr>
          <w:rFonts w:eastAsiaTheme="minorHAnsi"/>
          <w:lang w:eastAsia="en-US"/>
        </w:rPr>
        <w:t>Отчетено е повишение на търгуваните количества стоки при понижени международни цени при износа и при вноса.</w:t>
      </w:r>
    </w:p>
    <w:p w14:paraId="15C97EFF" w14:textId="77777777" w:rsidR="00831AF8" w:rsidRPr="001A28D2" w:rsidRDefault="00831AF8" w:rsidP="00831AF8">
      <w:pPr>
        <w:ind w:firstLine="709"/>
        <w:jc w:val="both"/>
        <w:rPr>
          <w:rFonts w:eastAsiaTheme="minorHAnsi"/>
          <w:lang w:eastAsia="en-US"/>
        </w:rPr>
      </w:pPr>
      <w:r w:rsidRPr="001A28D2">
        <w:rPr>
          <w:rFonts w:eastAsiaTheme="minorHAnsi"/>
          <w:lang w:eastAsia="en-US"/>
        </w:rPr>
        <w:t>Излишъкът по текуща сметка възлиза на приблизително 2 млрд. евро или 4,2 на сто от БВП.</w:t>
      </w:r>
      <w:r w:rsidRPr="001A28D2">
        <w:rPr>
          <w:rStyle w:val="FootnoteReference"/>
          <w:rFonts w:eastAsiaTheme="minorHAnsi"/>
          <w:lang w:eastAsia="en-US"/>
        </w:rPr>
        <w:footnoteReference w:id="128"/>
      </w:r>
    </w:p>
    <w:p w14:paraId="1AED3055" w14:textId="48E7E114" w:rsidR="00737A7E" w:rsidRPr="001A28D2" w:rsidRDefault="005442FE" w:rsidP="00737A7E">
      <w:pPr>
        <w:ind w:firstLine="709"/>
        <w:jc w:val="both"/>
        <w:rPr>
          <w:rFonts w:eastAsiaTheme="minorHAnsi"/>
          <w:lang w:eastAsia="en-US"/>
        </w:rPr>
      </w:pPr>
      <w:r w:rsidRPr="001A28D2">
        <w:rPr>
          <w:rFonts w:eastAsiaTheme="minorHAnsi"/>
          <w:lang w:eastAsia="en-US"/>
        </w:rPr>
        <w:t xml:space="preserve">Разликата между отчетните данни към април 2017 г. на БВП по текущи цени и прогнозата, заложена в бюджета за 2016 г. възлиза на 4 352 млн. лв. От тях 2 600 млн. лв. се дължат на разлика между очакванията и отчета за 2015 г., а така също и на </w:t>
      </w:r>
      <w:proofErr w:type="spellStart"/>
      <w:r w:rsidRPr="001A28D2">
        <w:rPr>
          <w:rFonts w:eastAsiaTheme="minorHAnsi"/>
          <w:lang w:eastAsia="en-US"/>
        </w:rPr>
        <w:t>последваща</w:t>
      </w:r>
      <w:proofErr w:type="spellEnd"/>
      <w:r w:rsidRPr="001A28D2">
        <w:rPr>
          <w:rFonts w:eastAsiaTheme="minorHAnsi"/>
          <w:lang w:eastAsia="en-US"/>
        </w:rPr>
        <w:t xml:space="preserve"> ревизия на данните</w:t>
      </w:r>
      <w:r w:rsidR="00BC2C0B" w:rsidRPr="001A28D2">
        <w:rPr>
          <w:rFonts w:eastAsiaTheme="minorHAnsi"/>
          <w:lang w:eastAsia="en-US"/>
        </w:rPr>
        <w:t xml:space="preserve"> за 2015 г</w:t>
      </w:r>
      <w:r w:rsidR="000D3719" w:rsidRPr="001A28D2">
        <w:rPr>
          <w:rFonts w:eastAsiaTheme="minorHAnsi"/>
          <w:lang w:eastAsia="en-US"/>
        </w:rPr>
        <w:t>.</w:t>
      </w:r>
      <w:r w:rsidR="00BC2C0B" w:rsidRPr="001A28D2">
        <w:rPr>
          <w:rFonts w:eastAsiaTheme="minorHAnsi"/>
          <w:lang w:eastAsia="en-US"/>
        </w:rPr>
        <w:t xml:space="preserve"> и първата половина на 2016 г</w:t>
      </w:r>
      <w:r w:rsidR="000D3719" w:rsidRPr="001A28D2">
        <w:rPr>
          <w:rFonts w:eastAsiaTheme="minorHAnsi"/>
          <w:lang w:eastAsia="en-US"/>
        </w:rPr>
        <w:t>.,</w:t>
      </w:r>
      <w:r w:rsidR="00BC2C0B" w:rsidRPr="001A28D2">
        <w:rPr>
          <w:rStyle w:val="FootnoteReference"/>
          <w:rFonts w:eastAsiaTheme="minorHAnsi"/>
          <w:lang w:eastAsia="en-US"/>
        </w:rPr>
        <w:footnoteReference w:id="129"/>
      </w:r>
      <w:r w:rsidRPr="001A28D2">
        <w:rPr>
          <w:rFonts w:eastAsiaTheme="minorHAnsi"/>
          <w:lang w:eastAsia="en-US"/>
        </w:rPr>
        <w:t xml:space="preserve"> публикувана през октомври 2016 г. </w:t>
      </w:r>
      <w:r w:rsidR="00BC2C0B" w:rsidRPr="001A28D2">
        <w:rPr>
          <w:rFonts w:eastAsiaTheme="minorHAnsi"/>
          <w:lang w:eastAsia="en-US"/>
        </w:rPr>
        <w:t>Останалата част от р</w:t>
      </w:r>
      <w:r w:rsidRPr="001A28D2">
        <w:rPr>
          <w:rFonts w:eastAsiaTheme="minorHAnsi"/>
          <w:lang w:eastAsia="en-US"/>
        </w:rPr>
        <w:t>азликата от 1 750 млн. лв. се дъ</w:t>
      </w:r>
      <w:r w:rsidR="006D52CF" w:rsidRPr="001A28D2">
        <w:rPr>
          <w:rFonts w:eastAsiaTheme="minorHAnsi"/>
          <w:lang w:eastAsia="en-US"/>
        </w:rPr>
        <w:t>л</w:t>
      </w:r>
      <w:r w:rsidRPr="001A28D2">
        <w:rPr>
          <w:rFonts w:eastAsiaTheme="minorHAnsi"/>
          <w:lang w:eastAsia="en-US"/>
        </w:rPr>
        <w:t xml:space="preserve">жи на по-високи от очакваните реален растеж и </w:t>
      </w:r>
      <w:proofErr w:type="spellStart"/>
      <w:r w:rsidRPr="001A28D2">
        <w:rPr>
          <w:rFonts w:eastAsiaTheme="minorHAnsi"/>
          <w:lang w:eastAsia="en-US"/>
        </w:rPr>
        <w:t>дефлатор</w:t>
      </w:r>
      <w:proofErr w:type="spellEnd"/>
      <w:r w:rsidRPr="001A28D2">
        <w:rPr>
          <w:rFonts w:eastAsiaTheme="minorHAnsi"/>
          <w:lang w:eastAsia="en-US"/>
        </w:rPr>
        <w:t xml:space="preserve"> на БВП. </w:t>
      </w:r>
      <w:r w:rsidR="00737A7E" w:rsidRPr="001A28D2">
        <w:rPr>
          <w:rFonts w:eastAsiaTheme="minorHAnsi"/>
          <w:lang w:eastAsia="en-US"/>
        </w:rPr>
        <w:t>При о</w:t>
      </w:r>
      <w:r w:rsidRPr="001A28D2">
        <w:rPr>
          <w:rFonts w:eastAsiaTheme="minorHAnsi"/>
          <w:lang w:eastAsia="en-US"/>
        </w:rPr>
        <w:t xml:space="preserve">чаквания реален растеж на БВП </w:t>
      </w:r>
      <w:r w:rsidR="00737A7E" w:rsidRPr="001A28D2">
        <w:rPr>
          <w:rFonts w:eastAsiaTheme="minorHAnsi"/>
          <w:lang w:eastAsia="en-US"/>
        </w:rPr>
        <w:t xml:space="preserve">от </w:t>
      </w:r>
      <w:r w:rsidRPr="001A28D2">
        <w:rPr>
          <w:rFonts w:eastAsiaTheme="minorHAnsi"/>
          <w:lang w:eastAsia="en-US"/>
        </w:rPr>
        <w:t>2,1</w:t>
      </w:r>
      <w:r w:rsidR="006D52CF" w:rsidRPr="001A28D2">
        <w:rPr>
          <w:rFonts w:eastAsiaTheme="minorHAnsi"/>
          <w:lang w:eastAsia="en-US"/>
        </w:rPr>
        <w:t> на </w:t>
      </w:r>
      <w:r w:rsidRPr="001A28D2">
        <w:rPr>
          <w:rFonts w:eastAsiaTheme="minorHAnsi"/>
          <w:lang w:eastAsia="en-US"/>
        </w:rPr>
        <w:t>сто</w:t>
      </w:r>
      <w:r w:rsidR="00737A7E" w:rsidRPr="001A28D2">
        <w:rPr>
          <w:rFonts w:eastAsiaTheme="minorHAnsi"/>
          <w:lang w:eastAsia="en-US"/>
        </w:rPr>
        <w:t xml:space="preserve"> при изготвянето на бюджета за 2016 г.</w:t>
      </w:r>
      <w:r w:rsidRPr="001A28D2">
        <w:rPr>
          <w:rFonts w:eastAsiaTheme="minorHAnsi"/>
          <w:lang w:eastAsia="en-US"/>
        </w:rPr>
        <w:t xml:space="preserve">, </w:t>
      </w:r>
      <w:r w:rsidR="00737A7E" w:rsidRPr="001A28D2">
        <w:rPr>
          <w:rFonts w:eastAsiaTheme="minorHAnsi"/>
          <w:lang w:eastAsia="en-US"/>
        </w:rPr>
        <w:t>отчетения</w:t>
      </w:r>
      <w:r w:rsidR="000D3719" w:rsidRPr="001A28D2">
        <w:rPr>
          <w:rFonts w:eastAsiaTheme="minorHAnsi"/>
          <w:lang w:eastAsia="en-US"/>
        </w:rPr>
        <w:t>т</w:t>
      </w:r>
      <w:r w:rsidR="00525A68" w:rsidRPr="001A28D2">
        <w:rPr>
          <w:rFonts w:eastAsiaTheme="minorHAnsi"/>
          <w:lang w:eastAsia="en-US"/>
        </w:rPr>
        <w:t xml:space="preserve"> ръст на БВП достиг</w:t>
      </w:r>
      <w:r w:rsidR="00737A7E" w:rsidRPr="001A28D2">
        <w:rPr>
          <w:rFonts w:eastAsiaTheme="minorHAnsi"/>
          <w:lang w:eastAsia="en-US"/>
        </w:rPr>
        <w:t>а 3,4 на сто.</w:t>
      </w:r>
    </w:p>
    <w:p w14:paraId="4378AFE9" w14:textId="77777777" w:rsidR="0033797D" w:rsidRPr="001A28D2" w:rsidRDefault="0033797D" w:rsidP="00737A7E">
      <w:pPr>
        <w:ind w:firstLine="709"/>
        <w:jc w:val="both"/>
        <w:rPr>
          <w:rFonts w:eastAsiaTheme="minorHAnsi"/>
          <w:lang w:eastAsia="en-US"/>
        </w:rPr>
      </w:pPr>
    </w:p>
    <w:p w14:paraId="08015BE8" w14:textId="77777777" w:rsidR="0033797D" w:rsidRPr="001A28D2" w:rsidRDefault="0033797D" w:rsidP="00737A7E">
      <w:pPr>
        <w:ind w:firstLine="709"/>
        <w:jc w:val="both"/>
        <w:rPr>
          <w:rFonts w:eastAsiaTheme="minorHAnsi"/>
          <w:lang w:eastAsia="en-US"/>
        </w:rPr>
      </w:pPr>
    </w:p>
    <w:p w14:paraId="372F9A17" w14:textId="77777777" w:rsidR="0033797D" w:rsidRPr="001A28D2" w:rsidRDefault="0033797D" w:rsidP="00737A7E">
      <w:pPr>
        <w:ind w:firstLine="709"/>
        <w:jc w:val="both"/>
        <w:rPr>
          <w:rFonts w:eastAsiaTheme="minorHAnsi"/>
          <w:lang w:eastAsia="en-US"/>
        </w:rPr>
      </w:pPr>
    </w:p>
    <w:p w14:paraId="383730C8" w14:textId="77777777" w:rsidR="0033797D" w:rsidRPr="001A28D2" w:rsidRDefault="0033797D" w:rsidP="00737A7E">
      <w:pPr>
        <w:ind w:firstLine="709"/>
        <w:jc w:val="both"/>
        <w:rPr>
          <w:rFonts w:eastAsiaTheme="minorHAnsi"/>
          <w:lang w:eastAsia="en-US"/>
        </w:rPr>
      </w:pPr>
    </w:p>
    <w:p w14:paraId="49CB3E6E" w14:textId="77777777" w:rsidR="005442FE" w:rsidRPr="001A28D2" w:rsidRDefault="005442FE" w:rsidP="00A2132A">
      <w:pPr>
        <w:ind w:firstLine="709"/>
        <w:jc w:val="both"/>
        <w:rPr>
          <w:rFonts w:eastAsiaTheme="minorHAnsi"/>
          <w:lang w:eastAsia="en-US"/>
        </w:rPr>
      </w:pPr>
    </w:p>
    <w:p w14:paraId="1526DD87" w14:textId="77777777" w:rsidR="00490C07" w:rsidRPr="001A28D2" w:rsidRDefault="00490C07" w:rsidP="00490C07">
      <w:pPr>
        <w:spacing w:line="276" w:lineRule="auto"/>
        <w:jc w:val="center"/>
        <w:rPr>
          <w:rFonts w:eastAsiaTheme="minorHAnsi"/>
          <w:b/>
          <w:sz w:val="20"/>
          <w:szCs w:val="20"/>
          <w:lang w:eastAsia="en-US"/>
        </w:rPr>
      </w:pPr>
      <w:r w:rsidRPr="001A28D2">
        <w:rPr>
          <w:rFonts w:eastAsiaTheme="minorHAnsi"/>
          <w:b/>
          <w:sz w:val="20"/>
          <w:szCs w:val="20"/>
          <w:lang w:eastAsia="en-US"/>
        </w:rPr>
        <w:lastRenderedPageBreak/>
        <w:t>Външни допускания и основни макроикономически показатели на България през 2016 г.</w:t>
      </w:r>
    </w:p>
    <w:tbl>
      <w:tblPr>
        <w:tblStyle w:val="TableGrid"/>
        <w:tblW w:w="0" w:type="auto"/>
        <w:jc w:val="center"/>
        <w:tblLayout w:type="fixed"/>
        <w:tblLook w:val="04A0" w:firstRow="1" w:lastRow="0" w:firstColumn="1" w:lastColumn="0" w:noHBand="0" w:noVBand="1"/>
      </w:tblPr>
      <w:tblGrid>
        <w:gridCol w:w="2943"/>
        <w:gridCol w:w="1276"/>
        <w:gridCol w:w="1276"/>
        <w:gridCol w:w="1151"/>
      </w:tblGrid>
      <w:tr w:rsidR="005442FE" w:rsidRPr="001A28D2" w14:paraId="6F4600A3" w14:textId="77777777" w:rsidTr="001315AC">
        <w:trPr>
          <w:jc w:val="center"/>
        </w:trPr>
        <w:tc>
          <w:tcPr>
            <w:tcW w:w="2943" w:type="dxa"/>
            <w:shd w:val="clear" w:color="auto" w:fill="C6D9F1" w:themeFill="text2" w:themeFillTint="33"/>
            <w:vAlign w:val="center"/>
          </w:tcPr>
          <w:p w14:paraId="0F0D362C" w14:textId="77777777" w:rsidR="005442FE" w:rsidRPr="001A28D2" w:rsidRDefault="005442FE" w:rsidP="005442FE">
            <w:pPr>
              <w:jc w:val="center"/>
              <w:rPr>
                <w:rFonts w:eastAsiaTheme="minorHAnsi"/>
                <w:b/>
                <w:sz w:val="20"/>
                <w:szCs w:val="20"/>
                <w:lang w:eastAsia="en-US"/>
              </w:rPr>
            </w:pPr>
            <w:r w:rsidRPr="001A28D2">
              <w:rPr>
                <w:rFonts w:eastAsiaTheme="minorHAnsi"/>
                <w:b/>
                <w:sz w:val="20"/>
                <w:szCs w:val="20"/>
                <w:lang w:eastAsia="en-US"/>
              </w:rPr>
              <w:t>Показатели</w:t>
            </w:r>
          </w:p>
        </w:tc>
        <w:tc>
          <w:tcPr>
            <w:tcW w:w="1276" w:type="dxa"/>
            <w:shd w:val="clear" w:color="auto" w:fill="C6D9F1" w:themeFill="text2" w:themeFillTint="33"/>
            <w:vAlign w:val="center"/>
          </w:tcPr>
          <w:p w14:paraId="08E3FD52" w14:textId="77777777" w:rsidR="005442FE" w:rsidRPr="001A28D2" w:rsidRDefault="005442FE" w:rsidP="005442FE">
            <w:pPr>
              <w:jc w:val="center"/>
              <w:rPr>
                <w:rFonts w:eastAsiaTheme="minorHAnsi"/>
                <w:b/>
                <w:sz w:val="20"/>
                <w:szCs w:val="20"/>
                <w:lang w:eastAsia="en-US"/>
              </w:rPr>
            </w:pPr>
            <w:r w:rsidRPr="001A28D2">
              <w:rPr>
                <w:rFonts w:eastAsiaTheme="minorHAnsi"/>
                <w:b/>
                <w:sz w:val="20"/>
                <w:szCs w:val="20"/>
                <w:lang w:eastAsia="en-US"/>
              </w:rPr>
              <w:t>Измерител</w:t>
            </w:r>
          </w:p>
        </w:tc>
        <w:tc>
          <w:tcPr>
            <w:tcW w:w="1276" w:type="dxa"/>
            <w:shd w:val="clear" w:color="auto" w:fill="C6D9F1" w:themeFill="text2" w:themeFillTint="33"/>
          </w:tcPr>
          <w:p w14:paraId="2D79E345" w14:textId="77777777" w:rsidR="005442FE" w:rsidRPr="001A28D2" w:rsidRDefault="005442FE" w:rsidP="005442FE">
            <w:pPr>
              <w:jc w:val="center"/>
              <w:rPr>
                <w:rFonts w:eastAsiaTheme="minorHAnsi"/>
                <w:b/>
                <w:sz w:val="20"/>
                <w:szCs w:val="20"/>
                <w:lang w:eastAsia="en-US"/>
              </w:rPr>
            </w:pPr>
            <w:r w:rsidRPr="001A28D2">
              <w:rPr>
                <w:rFonts w:eastAsiaTheme="minorHAnsi"/>
                <w:b/>
                <w:sz w:val="20"/>
                <w:szCs w:val="20"/>
                <w:lang w:eastAsia="en-US"/>
              </w:rPr>
              <w:t>Бюджетна прогноза</w:t>
            </w:r>
          </w:p>
        </w:tc>
        <w:tc>
          <w:tcPr>
            <w:tcW w:w="1151" w:type="dxa"/>
            <w:shd w:val="clear" w:color="auto" w:fill="C6D9F1" w:themeFill="text2" w:themeFillTint="33"/>
          </w:tcPr>
          <w:p w14:paraId="3810958C" w14:textId="77777777" w:rsidR="005442FE" w:rsidRPr="001A28D2" w:rsidRDefault="005442FE" w:rsidP="005442FE">
            <w:pPr>
              <w:jc w:val="center"/>
              <w:rPr>
                <w:rFonts w:eastAsiaTheme="minorHAnsi"/>
                <w:b/>
                <w:sz w:val="20"/>
                <w:szCs w:val="20"/>
                <w:lang w:eastAsia="en-US"/>
              </w:rPr>
            </w:pPr>
            <w:r w:rsidRPr="001A28D2">
              <w:rPr>
                <w:rFonts w:eastAsiaTheme="minorHAnsi"/>
                <w:b/>
                <w:sz w:val="20"/>
                <w:szCs w:val="20"/>
                <w:lang w:eastAsia="en-US"/>
              </w:rPr>
              <w:t>Отчетни данни</w:t>
            </w:r>
            <w:r w:rsidR="00737A7E" w:rsidRPr="001A28D2">
              <w:rPr>
                <w:rStyle w:val="FootnoteReference"/>
                <w:rFonts w:eastAsiaTheme="minorHAnsi"/>
                <w:b/>
                <w:sz w:val="20"/>
                <w:szCs w:val="20"/>
                <w:lang w:eastAsia="en-US"/>
              </w:rPr>
              <w:footnoteReference w:id="130"/>
            </w:r>
          </w:p>
        </w:tc>
      </w:tr>
      <w:tr w:rsidR="005442FE" w:rsidRPr="001A28D2" w14:paraId="6CD27219" w14:textId="77777777" w:rsidTr="001315AC">
        <w:trPr>
          <w:jc w:val="center"/>
        </w:trPr>
        <w:tc>
          <w:tcPr>
            <w:tcW w:w="2943" w:type="dxa"/>
            <w:shd w:val="clear" w:color="auto" w:fill="DAEEF3" w:themeFill="accent5" w:themeFillTint="33"/>
          </w:tcPr>
          <w:p w14:paraId="6B9352D1" w14:textId="77777777" w:rsidR="005442FE" w:rsidRPr="001A28D2" w:rsidRDefault="005442FE" w:rsidP="005442FE">
            <w:pPr>
              <w:rPr>
                <w:rFonts w:eastAsiaTheme="minorHAnsi"/>
                <w:b/>
                <w:sz w:val="20"/>
                <w:szCs w:val="20"/>
                <w:lang w:eastAsia="en-US"/>
              </w:rPr>
            </w:pPr>
            <w:r w:rsidRPr="001A28D2">
              <w:rPr>
                <w:rFonts w:eastAsiaTheme="minorHAnsi"/>
                <w:b/>
                <w:sz w:val="20"/>
                <w:szCs w:val="20"/>
                <w:lang w:eastAsia="en-US"/>
              </w:rPr>
              <w:t>Международна среда</w:t>
            </w:r>
          </w:p>
        </w:tc>
        <w:tc>
          <w:tcPr>
            <w:tcW w:w="1276" w:type="dxa"/>
            <w:shd w:val="clear" w:color="auto" w:fill="DAEEF3" w:themeFill="accent5" w:themeFillTint="33"/>
          </w:tcPr>
          <w:p w14:paraId="0DDD0175" w14:textId="77777777" w:rsidR="005442FE" w:rsidRPr="001A28D2" w:rsidRDefault="005442FE" w:rsidP="005442FE">
            <w:pPr>
              <w:rPr>
                <w:rFonts w:eastAsiaTheme="minorHAnsi"/>
                <w:sz w:val="20"/>
                <w:szCs w:val="20"/>
                <w:lang w:eastAsia="en-US"/>
              </w:rPr>
            </w:pPr>
          </w:p>
        </w:tc>
        <w:tc>
          <w:tcPr>
            <w:tcW w:w="1276" w:type="dxa"/>
            <w:shd w:val="clear" w:color="auto" w:fill="DAEEF3" w:themeFill="accent5" w:themeFillTint="33"/>
          </w:tcPr>
          <w:p w14:paraId="728D9DC6" w14:textId="77777777" w:rsidR="005442FE" w:rsidRPr="001A28D2" w:rsidRDefault="005442FE" w:rsidP="005442FE">
            <w:pPr>
              <w:rPr>
                <w:rFonts w:eastAsiaTheme="minorHAnsi"/>
                <w:sz w:val="20"/>
                <w:szCs w:val="20"/>
                <w:lang w:eastAsia="en-US"/>
              </w:rPr>
            </w:pPr>
          </w:p>
        </w:tc>
        <w:tc>
          <w:tcPr>
            <w:tcW w:w="1151" w:type="dxa"/>
            <w:shd w:val="clear" w:color="auto" w:fill="DAEEF3" w:themeFill="accent5" w:themeFillTint="33"/>
          </w:tcPr>
          <w:p w14:paraId="3DEA9E94" w14:textId="77777777" w:rsidR="005442FE" w:rsidRPr="001A28D2" w:rsidRDefault="005442FE" w:rsidP="005442FE">
            <w:pPr>
              <w:rPr>
                <w:rFonts w:eastAsiaTheme="minorHAnsi"/>
                <w:sz w:val="20"/>
                <w:szCs w:val="20"/>
                <w:lang w:eastAsia="en-US"/>
              </w:rPr>
            </w:pPr>
          </w:p>
        </w:tc>
      </w:tr>
      <w:tr w:rsidR="005442FE" w:rsidRPr="001A28D2" w14:paraId="7D93904A" w14:textId="77777777" w:rsidTr="001315AC">
        <w:trPr>
          <w:jc w:val="center"/>
        </w:trPr>
        <w:tc>
          <w:tcPr>
            <w:tcW w:w="2943" w:type="dxa"/>
          </w:tcPr>
          <w:p w14:paraId="60701D38"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Растеж на световната икономика</w:t>
            </w:r>
          </w:p>
        </w:tc>
        <w:tc>
          <w:tcPr>
            <w:tcW w:w="1276" w:type="dxa"/>
          </w:tcPr>
          <w:p w14:paraId="481DDC2A"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3C940389"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3,8</w:t>
            </w:r>
          </w:p>
        </w:tc>
        <w:tc>
          <w:tcPr>
            <w:tcW w:w="1151" w:type="dxa"/>
          </w:tcPr>
          <w:p w14:paraId="1558752A"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3,1</w:t>
            </w:r>
            <w:r w:rsidRPr="001A28D2">
              <w:rPr>
                <w:rFonts w:eastAsiaTheme="minorHAnsi"/>
                <w:sz w:val="20"/>
                <w:szCs w:val="20"/>
                <w:vertAlign w:val="superscript"/>
                <w:lang w:eastAsia="en-US"/>
              </w:rPr>
              <w:footnoteReference w:id="131"/>
            </w:r>
          </w:p>
        </w:tc>
      </w:tr>
      <w:tr w:rsidR="005442FE" w:rsidRPr="001A28D2" w14:paraId="02191866" w14:textId="77777777" w:rsidTr="001315AC">
        <w:trPr>
          <w:jc w:val="center"/>
        </w:trPr>
        <w:tc>
          <w:tcPr>
            <w:tcW w:w="2943" w:type="dxa"/>
          </w:tcPr>
          <w:p w14:paraId="21136464"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Растеж на икономиката на ЕС</w:t>
            </w:r>
          </w:p>
        </w:tc>
        <w:tc>
          <w:tcPr>
            <w:tcW w:w="1276" w:type="dxa"/>
          </w:tcPr>
          <w:p w14:paraId="7FFF0D64"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76B1B6F3"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2,0</w:t>
            </w:r>
          </w:p>
        </w:tc>
        <w:tc>
          <w:tcPr>
            <w:tcW w:w="1151" w:type="dxa"/>
          </w:tcPr>
          <w:p w14:paraId="1AC491C6"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1,9</w:t>
            </w:r>
          </w:p>
        </w:tc>
      </w:tr>
      <w:tr w:rsidR="005442FE" w:rsidRPr="001A28D2" w14:paraId="08B39EC1" w14:textId="77777777" w:rsidTr="001315AC">
        <w:trPr>
          <w:jc w:val="center"/>
        </w:trPr>
        <w:tc>
          <w:tcPr>
            <w:tcW w:w="2943" w:type="dxa"/>
          </w:tcPr>
          <w:p w14:paraId="17C9AEC4"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Валутен курс</w:t>
            </w:r>
          </w:p>
        </w:tc>
        <w:tc>
          <w:tcPr>
            <w:tcW w:w="1276" w:type="dxa"/>
          </w:tcPr>
          <w:p w14:paraId="2F42410A"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лв./щ.д.</w:t>
            </w:r>
          </w:p>
        </w:tc>
        <w:tc>
          <w:tcPr>
            <w:tcW w:w="1276" w:type="dxa"/>
          </w:tcPr>
          <w:p w14:paraId="1BC5F114"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1,73</w:t>
            </w:r>
          </w:p>
        </w:tc>
        <w:tc>
          <w:tcPr>
            <w:tcW w:w="1151" w:type="dxa"/>
          </w:tcPr>
          <w:p w14:paraId="13BE5AF2"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1,77</w:t>
            </w:r>
          </w:p>
        </w:tc>
      </w:tr>
      <w:tr w:rsidR="005442FE" w:rsidRPr="001A28D2" w14:paraId="279D63A2" w14:textId="77777777" w:rsidTr="001315AC">
        <w:trPr>
          <w:jc w:val="center"/>
        </w:trPr>
        <w:tc>
          <w:tcPr>
            <w:tcW w:w="2943" w:type="dxa"/>
          </w:tcPr>
          <w:p w14:paraId="6DDE055D"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Петрол „</w:t>
            </w:r>
            <w:proofErr w:type="spellStart"/>
            <w:r w:rsidRPr="001A28D2">
              <w:rPr>
                <w:rFonts w:eastAsiaTheme="minorHAnsi"/>
                <w:sz w:val="20"/>
                <w:szCs w:val="20"/>
                <w:lang w:eastAsia="en-US"/>
              </w:rPr>
              <w:t>Брент</w:t>
            </w:r>
            <w:proofErr w:type="spellEnd"/>
            <w:r w:rsidRPr="001A28D2">
              <w:rPr>
                <w:rFonts w:eastAsiaTheme="minorHAnsi"/>
                <w:sz w:val="20"/>
                <w:szCs w:val="20"/>
                <w:lang w:eastAsia="en-US"/>
              </w:rPr>
              <w:t>“-цена</w:t>
            </w:r>
          </w:p>
        </w:tc>
        <w:tc>
          <w:tcPr>
            <w:tcW w:w="1276" w:type="dxa"/>
          </w:tcPr>
          <w:p w14:paraId="7980A3E9"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щ.д./барел</w:t>
            </w:r>
          </w:p>
        </w:tc>
        <w:tc>
          <w:tcPr>
            <w:tcW w:w="1276" w:type="dxa"/>
          </w:tcPr>
          <w:p w14:paraId="571D2DD6"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51,8</w:t>
            </w:r>
          </w:p>
        </w:tc>
        <w:tc>
          <w:tcPr>
            <w:tcW w:w="1151" w:type="dxa"/>
          </w:tcPr>
          <w:p w14:paraId="15743EE4"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44,2</w:t>
            </w:r>
          </w:p>
        </w:tc>
      </w:tr>
      <w:tr w:rsidR="005442FE" w:rsidRPr="001A28D2" w14:paraId="0F26BF10" w14:textId="77777777" w:rsidTr="001315AC">
        <w:trPr>
          <w:jc w:val="center"/>
        </w:trPr>
        <w:tc>
          <w:tcPr>
            <w:tcW w:w="2943" w:type="dxa"/>
          </w:tcPr>
          <w:p w14:paraId="5C03F72C"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Неенергийни суровини - цена</w:t>
            </w:r>
          </w:p>
        </w:tc>
        <w:tc>
          <w:tcPr>
            <w:tcW w:w="1276" w:type="dxa"/>
          </w:tcPr>
          <w:p w14:paraId="1F2E2B1A"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щ.д., %</w:t>
            </w:r>
          </w:p>
        </w:tc>
        <w:tc>
          <w:tcPr>
            <w:tcW w:w="1276" w:type="dxa"/>
          </w:tcPr>
          <w:p w14:paraId="49384F4C"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-5,2</w:t>
            </w:r>
          </w:p>
        </w:tc>
        <w:tc>
          <w:tcPr>
            <w:tcW w:w="1151" w:type="dxa"/>
          </w:tcPr>
          <w:p w14:paraId="1047020F"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-1,7</w:t>
            </w:r>
          </w:p>
        </w:tc>
      </w:tr>
      <w:tr w:rsidR="005442FE" w:rsidRPr="001A28D2" w14:paraId="71E957C5" w14:textId="77777777" w:rsidTr="001315AC">
        <w:trPr>
          <w:jc w:val="center"/>
        </w:trPr>
        <w:tc>
          <w:tcPr>
            <w:tcW w:w="2943" w:type="dxa"/>
            <w:shd w:val="clear" w:color="auto" w:fill="DAEEF3" w:themeFill="accent5" w:themeFillTint="33"/>
          </w:tcPr>
          <w:p w14:paraId="5C7C7279" w14:textId="77777777" w:rsidR="005442FE" w:rsidRPr="001A28D2" w:rsidRDefault="005442FE" w:rsidP="005442FE">
            <w:pPr>
              <w:rPr>
                <w:rFonts w:eastAsiaTheme="minorHAnsi"/>
                <w:b/>
                <w:sz w:val="20"/>
                <w:szCs w:val="20"/>
                <w:lang w:eastAsia="en-US"/>
              </w:rPr>
            </w:pPr>
            <w:r w:rsidRPr="001A28D2">
              <w:rPr>
                <w:rFonts w:eastAsiaTheme="minorHAnsi"/>
                <w:b/>
                <w:sz w:val="20"/>
                <w:szCs w:val="20"/>
                <w:lang w:eastAsia="en-US"/>
              </w:rPr>
              <w:t>БВП</w:t>
            </w:r>
          </w:p>
        </w:tc>
        <w:tc>
          <w:tcPr>
            <w:tcW w:w="1276" w:type="dxa"/>
            <w:shd w:val="clear" w:color="auto" w:fill="DAEEF3" w:themeFill="accent5" w:themeFillTint="33"/>
          </w:tcPr>
          <w:p w14:paraId="2D40657F" w14:textId="77777777" w:rsidR="005442FE" w:rsidRPr="001A28D2" w:rsidRDefault="005442FE" w:rsidP="005442FE">
            <w:pPr>
              <w:jc w:val="center"/>
              <w:rPr>
                <w:rFonts w:eastAsiaTheme="minorHAnsi"/>
                <w:sz w:val="20"/>
                <w:szCs w:val="20"/>
                <w:lang w:eastAsia="en-US"/>
              </w:rPr>
            </w:pPr>
          </w:p>
        </w:tc>
        <w:tc>
          <w:tcPr>
            <w:tcW w:w="1276" w:type="dxa"/>
            <w:shd w:val="clear" w:color="auto" w:fill="DAEEF3" w:themeFill="accent5" w:themeFillTint="33"/>
          </w:tcPr>
          <w:p w14:paraId="1A82954D" w14:textId="77777777" w:rsidR="005442FE" w:rsidRPr="001A28D2" w:rsidRDefault="005442FE" w:rsidP="005442FE">
            <w:pPr>
              <w:jc w:val="right"/>
              <w:rPr>
                <w:rFonts w:eastAsiaTheme="minorHAnsi"/>
                <w:sz w:val="20"/>
                <w:szCs w:val="20"/>
                <w:lang w:eastAsia="en-US"/>
              </w:rPr>
            </w:pPr>
          </w:p>
        </w:tc>
        <w:tc>
          <w:tcPr>
            <w:tcW w:w="1151" w:type="dxa"/>
            <w:shd w:val="clear" w:color="auto" w:fill="DAEEF3" w:themeFill="accent5" w:themeFillTint="33"/>
          </w:tcPr>
          <w:p w14:paraId="1EA66E7C" w14:textId="77777777" w:rsidR="005442FE" w:rsidRPr="001A28D2" w:rsidRDefault="005442FE" w:rsidP="005442FE">
            <w:pPr>
              <w:jc w:val="right"/>
              <w:rPr>
                <w:rFonts w:eastAsiaTheme="minorHAnsi"/>
                <w:sz w:val="20"/>
                <w:szCs w:val="20"/>
                <w:lang w:eastAsia="en-US"/>
              </w:rPr>
            </w:pPr>
          </w:p>
        </w:tc>
      </w:tr>
      <w:tr w:rsidR="005442FE" w:rsidRPr="001A28D2" w14:paraId="7333A2CE" w14:textId="77777777" w:rsidTr="001315AC">
        <w:trPr>
          <w:jc w:val="center"/>
        </w:trPr>
        <w:tc>
          <w:tcPr>
            <w:tcW w:w="2943" w:type="dxa"/>
          </w:tcPr>
          <w:p w14:paraId="1FD920C5"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По текущи цени</w:t>
            </w:r>
          </w:p>
        </w:tc>
        <w:tc>
          <w:tcPr>
            <w:tcW w:w="1276" w:type="dxa"/>
          </w:tcPr>
          <w:p w14:paraId="67CAF750"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млн. лв.</w:t>
            </w:r>
          </w:p>
        </w:tc>
        <w:tc>
          <w:tcPr>
            <w:tcW w:w="1276" w:type="dxa"/>
          </w:tcPr>
          <w:p w14:paraId="707E986B"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88 282</w:t>
            </w:r>
          </w:p>
        </w:tc>
        <w:tc>
          <w:tcPr>
            <w:tcW w:w="1151" w:type="dxa"/>
          </w:tcPr>
          <w:p w14:paraId="43AA3157"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92 635</w:t>
            </w:r>
          </w:p>
        </w:tc>
      </w:tr>
      <w:tr w:rsidR="005442FE" w:rsidRPr="001A28D2" w14:paraId="60983550" w14:textId="77777777" w:rsidTr="001315AC">
        <w:trPr>
          <w:jc w:val="center"/>
        </w:trPr>
        <w:tc>
          <w:tcPr>
            <w:tcW w:w="2943" w:type="dxa"/>
          </w:tcPr>
          <w:p w14:paraId="1EF9AEA0"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Реален растеж</w:t>
            </w:r>
          </w:p>
        </w:tc>
        <w:tc>
          <w:tcPr>
            <w:tcW w:w="1276" w:type="dxa"/>
          </w:tcPr>
          <w:p w14:paraId="6BACF847"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65BDB8EC"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2,1</w:t>
            </w:r>
          </w:p>
        </w:tc>
        <w:tc>
          <w:tcPr>
            <w:tcW w:w="1151" w:type="dxa"/>
          </w:tcPr>
          <w:p w14:paraId="3A6C1CC3"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3,4</w:t>
            </w:r>
          </w:p>
        </w:tc>
      </w:tr>
      <w:tr w:rsidR="005442FE" w:rsidRPr="001A28D2" w14:paraId="06AB18CA" w14:textId="77777777" w:rsidTr="001315AC">
        <w:trPr>
          <w:jc w:val="center"/>
        </w:trPr>
        <w:tc>
          <w:tcPr>
            <w:tcW w:w="2943" w:type="dxa"/>
          </w:tcPr>
          <w:p w14:paraId="4A421B0C"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Потребление</w:t>
            </w:r>
          </w:p>
        </w:tc>
        <w:tc>
          <w:tcPr>
            <w:tcW w:w="1276" w:type="dxa"/>
          </w:tcPr>
          <w:p w14:paraId="65148528"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5F453BA7"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1,3</w:t>
            </w:r>
          </w:p>
        </w:tc>
        <w:tc>
          <w:tcPr>
            <w:tcW w:w="1151" w:type="dxa"/>
          </w:tcPr>
          <w:p w14:paraId="7E0E53A0"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1,8</w:t>
            </w:r>
          </w:p>
        </w:tc>
      </w:tr>
      <w:tr w:rsidR="005442FE" w:rsidRPr="001A28D2" w14:paraId="7A728BCD" w14:textId="77777777" w:rsidTr="001315AC">
        <w:trPr>
          <w:jc w:val="center"/>
        </w:trPr>
        <w:tc>
          <w:tcPr>
            <w:tcW w:w="2943" w:type="dxa"/>
          </w:tcPr>
          <w:p w14:paraId="6CE2B401"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Инвестиции</w:t>
            </w:r>
          </w:p>
        </w:tc>
        <w:tc>
          <w:tcPr>
            <w:tcW w:w="1276" w:type="dxa"/>
          </w:tcPr>
          <w:p w14:paraId="50207429"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08153505"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0,7</w:t>
            </w:r>
          </w:p>
        </w:tc>
        <w:tc>
          <w:tcPr>
            <w:tcW w:w="1151" w:type="dxa"/>
          </w:tcPr>
          <w:p w14:paraId="309FB86A"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0,9</w:t>
            </w:r>
          </w:p>
        </w:tc>
      </w:tr>
      <w:tr w:rsidR="005442FE" w:rsidRPr="001A28D2" w14:paraId="0E54DC11" w14:textId="77777777" w:rsidTr="001315AC">
        <w:trPr>
          <w:jc w:val="center"/>
        </w:trPr>
        <w:tc>
          <w:tcPr>
            <w:tcW w:w="2943" w:type="dxa"/>
          </w:tcPr>
          <w:p w14:paraId="176A3AC0"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 xml:space="preserve">Износ </w:t>
            </w:r>
          </w:p>
        </w:tc>
        <w:tc>
          <w:tcPr>
            <w:tcW w:w="1276" w:type="dxa"/>
          </w:tcPr>
          <w:p w14:paraId="615C9437"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37AEF239"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4,6</w:t>
            </w:r>
          </w:p>
        </w:tc>
        <w:tc>
          <w:tcPr>
            <w:tcW w:w="1151" w:type="dxa"/>
          </w:tcPr>
          <w:p w14:paraId="4D8F524B"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5,7</w:t>
            </w:r>
          </w:p>
        </w:tc>
      </w:tr>
      <w:tr w:rsidR="005442FE" w:rsidRPr="001A28D2" w14:paraId="176CFBA5" w14:textId="77777777" w:rsidTr="001315AC">
        <w:trPr>
          <w:jc w:val="center"/>
        </w:trPr>
        <w:tc>
          <w:tcPr>
            <w:tcW w:w="2943" w:type="dxa"/>
          </w:tcPr>
          <w:p w14:paraId="688B4354"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Внос</w:t>
            </w:r>
          </w:p>
        </w:tc>
        <w:tc>
          <w:tcPr>
            <w:tcW w:w="1276" w:type="dxa"/>
          </w:tcPr>
          <w:p w14:paraId="41A2CE79"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1DD7D372"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3,</w:t>
            </w:r>
            <w:proofErr w:type="spellStart"/>
            <w:r w:rsidRPr="001A28D2">
              <w:rPr>
                <w:rFonts w:eastAsiaTheme="minorHAnsi"/>
                <w:sz w:val="20"/>
                <w:szCs w:val="20"/>
                <w:lang w:eastAsia="en-US"/>
              </w:rPr>
              <w:t>3</w:t>
            </w:r>
            <w:proofErr w:type="spellEnd"/>
          </w:p>
        </w:tc>
        <w:tc>
          <w:tcPr>
            <w:tcW w:w="1151" w:type="dxa"/>
          </w:tcPr>
          <w:p w14:paraId="7BD78DEF"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2,8</w:t>
            </w:r>
          </w:p>
        </w:tc>
      </w:tr>
      <w:tr w:rsidR="005442FE" w:rsidRPr="001A28D2" w14:paraId="725C0AD1" w14:textId="77777777" w:rsidTr="001315AC">
        <w:trPr>
          <w:jc w:val="center"/>
        </w:trPr>
        <w:tc>
          <w:tcPr>
            <w:tcW w:w="2943" w:type="dxa"/>
          </w:tcPr>
          <w:p w14:paraId="4AFE991F"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Средногодишна инфлация</w:t>
            </w:r>
          </w:p>
        </w:tc>
        <w:tc>
          <w:tcPr>
            <w:tcW w:w="1276" w:type="dxa"/>
          </w:tcPr>
          <w:p w14:paraId="24450C3C"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07F328B3"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0,5</w:t>
            </w:r>
          </w:p>
        </w:tc>
        <w:tc>
          <w:tcPr>
            <w:tcW w:w="1151" w:type="dxa"/>
          </w:tcPr>
          <w:p w14:paraId="166D18C5"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-1,3</w:t>
            </w:r>
          </w:p>
        </w:tc>
      </w:tr>
      <w:tr w:rsidR="005442FE" w:rsidRPr="001A28D2" w14:paraId="31FAB869" w14:textId="77777777" w:rsidTr="001315AC">
        <w:trPr>
          <w:jc w:val="center"/>
        </w:trPr>
        <w:tc>
          <w:tcPr>
            <w:tcW w:w="2943" w:type="dxa"/>
            <w:shd w:val="clear" w:color="auto" w:fill="DAEEF3" w:themeFill="accent5" w:themeFillTint="33"/>
          </w:tcPr>
          <w:p w14:paraId="5017D82E" w14:textId="77777777" w:rsidR="005442FE" w:rsidRPr="001A28D2" w:rsidRDefault="005442FE" w:rsidP="005442FE">
            <w:pPr>
              <w:rPr>
                <w:rFonts w:eastAsiaTheme="minorHAnsi"/>
                <w:b/>
                <w:sz w:val="20"/>
                <w:szCs w:val="20"/>
                <w:lang w:eastAsia="en-US"/>
              </w:rPr>
            </w:pPr>
            <w:r w:rsidRPr="001A28D2">
              <w:rPr>
                <w:rFonts w:eastAsiaTheme="minorHAnsi"/>
                <w:b/>
                <w:sz w:val="20"/>
                <w:szCs w:val="20"/>
                <w:lang w:eastAsia="en-US"/>
              </w:rPr>
              <w:t>Платежен баланс</w:t>
            </w:r>
          </w:p>
        </w:tc>
        <w:tc>
          <w:tcPr>
            <w:tcW w:w="1276" w:type="dxa"/>
            <w:shd w:val="clear" w:color="auto" w:fill="DAEEF3" w:themeFill="accent5" w:themeFillTint="33"/>
          </w:tcPr>
          <w:p w14:paraId="3DCD380D" w14:textId="77777777" w:rsidR="005442FE" w:rsidRPr="001A28D2" w:rsidRDefault="005442FE" w:rsidP="005442FE">
            <w:pPr>
              <w:rPr>
                <w:rFonts w:eastAsiaTheme="minorHAnsi"/>
                <w:sz w:val="20"/>
                <w:szCs w:val="20"/>
                <w:lang w:eastAsia="en-US"/>
              </w:rPr>
            </w:pPr>
          </w:p>
        </w:tc>
        <w:tc>
          <w:tcPr>
            <w:tcW w:w="1276" w:type="dxa"/>
            <w:shd w:val="clear" w:color="auto" w:fill="DAEEF3" w:themeFill="accent5" w:themeFillTint="33"/>
          </w:tcPr>
          <w:p w14:paraId="04EC0E50" w14:textId="77777777" w:rsidR="005442FE" w:rsidRPr="001A28D2" w:rsidRDefault="005442FE" w:rsidP="005442FE">
            <w:pPr>
              <w:jc w:val="right"/>
              <w:rPr>
                <w:rFonts w:eastAsiaTheme="minorHAnsi"/>
                <w:sz w:val="20"/>
                <w:szCs w:val="20"/>
                <w:lang w:eastAsia="en-US"/>
              </w:rPr>
            </w:pPr>
          </w:p>
        </w:tc>
        <w:tc>
          <w:tcPr>
            <w:tcW w:w="1151" w:type="dxa"/>
            <w:shd w:val="clear" w:color="auto" w:fill="DAEEF3" w:themeFill="accent5" w:themeFillTint="33"/>
          </w:tcPr>
          <w:p w14:paraId="6EEDC064" w14:textId="77777777" w:rsidR="005442FE" w:rsidRPr="001A28D2" w:rsidRDefault="005442FE" w:rsidP="005442FE">
            <w:pPr>
              <w:jc w:val="right"/>
              <w:rPr>
                <w:rFonts w:eastAsiaTheme="minorHAnsi"/>
                <w:sz w:val="20"/>
                <w:szCs w:val="20"/>
                <w:lang w:eastAsia="en-US"/>
              </w:rPr>
            </w:pPr>
          </w:p>
        </w:tc>
      </w:tr>
      <w:tr w:rsidR="005442FE" w:rsidRPr="001A28D2" w14:paraId="3FF4D2D7" w14:textId="77777777" w:rsidTr="001315AC">
        <w:trPr>
          <w:jc w:val="center"/>
        </w:trPr>
        <w:tc>
          <w:tcPr>
            <w:tcW w:w="2943" w:type="dxa"/>
          </w:tcPr>
          <w:p w14:paraId="7A816630"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Текуща сметка</w:t>
            </w:r>
          </w:p>
        </w:tc>
        <w:tc>
          <w:tcPr>
            <w:tcW w:w="1276" w:type="dxa"/>
          </w:tcPr>
          <w:p w14:paraId="513A3BAB"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млн. евро</w:t>
            </w:r>
          </w:p>
        </w:tc>
        <w:tc>
          <w:tcPr>
            <w:tcW w:w="1276" w:type="dxa"/>
          </w:tcPr>
          <w:p w14:paraId="420FEF41"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830</w:t>
            </w:r>
          </w:p>
        </w:tc>
        <w:tc>
          <w:tcPr>
            <w:tcW w:w="1151" w:type="dxa"/>
          </w:tcPr>
          <w:p w14:paraId="785A6C2C"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1 988,6</w:t>
            </w:r>
          </w:p>
        </w:tc>
      </w:tr>
      <w:tr w:rsidR="005442FE" w:rsidRPr="001A28D2" w14:paraId="36E7C87F" w14:textId="77777777" w:rsidTr="001315AC">
        <w:trPr>
          <w:jc w:val="center"/>
        </w:trPr>
        <w:tc>
          <w:tcPr>
            <w:tcW w:w="2943" w:type="dxa"/>
          </w:tcPr>
          <w:p w14:paraId="2E494983" w14:textId="77777777" w:rsidR="005442FE" w:rsidRPr="001A28D2" w:rsidRDefault="005442FE" w:rsidP="005442FE">
            <w:pPr>
              <w:rPr>
                <w:rFonts w:eastAsiaTheme="minorHAnsi"/>
                <w:sz w:val="20"/>
                <w:szCs w:val="20"/>
                <w:lang w:eastAsia="en-US"/>
              </w:rPr>
            </w:pPr>
            <w:r w:rsidRPr="001A28D2">
              <w:rPr>
                <w:rFonts w:eastAsiaTheme="minorHAnsi"/>
                <w:sz w:val="20"/>
                <w:szCs w:val="20"/>
                <w:lang w:eastAsia="en-US"/>
              </w:rPr>
              <w:t>в % от БВП</w:t>
            </w:r>
          </w:p>
        </w:tc>
        <w:tc>
          <w:tcPr>
            <w:tcW w:w="1276" w:type="dxa"/>
          </w:tcPr>
          <w:p w14:paraId="4C960466" w14:textId="77777777" w:rsidR="005442FE" w:rsidRPr="001A28D2" w:rsidRDefault="005442FE" w:rsidP="005442FE">
            <w:pPr>
              <w:jc w:val="center"/>
              <w:rPr>
                <w:rFonts w:eastAsiaTheme="minorHAnsi"/>
                <w:sz w:val="20"/>
                <w:szCs w:val="20"/>
                <w:lang w:eastAsia="en-US"/>
              </w:rPr>
            </w:pPr>
            <w:r w:rsidRPr="001A28D2">
              <w:rPr>
                <w:rFonts w:eastAsiaTheme="minorHAnsi"/>
                <w:sz w:val="20"/>
                <w:szCs w:val="20"/>
                <w:lang w:eastAsia="en-US"/>
              </w:rPr>
              <w:t>%</w:t>
            </w:r>
          </w:p>
        </w:tc>
        <w:tc>
          <w:tcPr>
            <w:tcW w:w="1276" w:type="dxa"/>
          </w:tcPr>
          <w:p w14:paraId="3233A6C8"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1,8</w:t>
            </w:r>
          </w:p>
        </w:tc>
        <w:tc>
          <w:tcPr>
            <w:tcW w:w="1151" w:type="dxa"/>
          </w:tcPr>
          <w:p w14:paraId="02920573" w14:textId="77777777" w:rsidR="005442FE" w:rsidRPr="001A28D2" w:rsidRDefault="005442FE" w:rsidP="005442FE">
            <w:pPr>
              <w:jc w:val="right"/>
              <w:rPr>
                <w:rFonts w:eastAsiaTheme="minorHAnsi"/>
                <w:sz w:val="20"/>
                <w:szCs w:val="20"/>
                <w:lang w:eastAsia="en-US"/>
              </w:rPr>
            </w:pPr>
            <w:r w:rsidRPr="001A28D2">
              <w:rPr>
                <w:rFonts w:eastAsiaTheme="minorHAnsi"/>
                <w:sz w:val="20"/>
                <w:szCs w:val="20"/>
                <w:lang w:eastAsia="en-US"/>
              </w:rPr>
              <w:t>4,2</w:t>
            </w:r>
          </w:p>
        </w:tc>
      </w:tr>
    </w:tbl>
    <w:p w14:paraId="7503810F" w14:textId="77777777" w:rsidR="005442FE" w:rsidRPr="001A28D2" w:rsidRDefault="003562E8" w:rsidP="00490C07">
      <w:pPr>
        <w:ind w:right="1422"/>
        <w:jc w:val="right"/>
        <w:rPr>
          <w:rFonts w:eastAsiaTheme="minorHAnsi"/>
          <w:i/>
          <w:sz w:val="16"/>
          <w:szCs w:val="16"/>
          <w:lang w:eastAsia="en-US"/>
        </w:rPr>
      </w:pPr>
      <w:r w:rsidRPr="001A28D2">
        <w:rPr>
          <w:rFonts w:eastAsiaTheme="minorHAnsi"/>
          <w:i/>
          <w:sz w:val="16"/>
          <w:szCs w:val="16"/>
          <w:lang w:eastAsia="en-US"/>
        </w:rPr>
        <w:t xml:space="preserve">Източник: НСИ, МФ, БНБ, </w:t>
      </w:r>
      <w:proofErr w:type="spellStart"/>
      <w:r w:rsidRPr="001A28D2">
        <w:rPr>
          <w:rFonts w:eastAsiaTheme="minorHAnsi"/>
          <w:i/>
          <w:sz w:val="16"/>
          <w:szCs w:val="16"/>
          <w:lang w:eastAsia="en-US"/>
        </w:rPr>
        <w:t>Е</w:t>
      </w:r>
      <w:r w:rsidR="00490C07" w:rsidRPr="001A28D2">
        <w:rPr>
          <w:rFonts w:eastAsiaTheme="minorHAnsi"/>
          <w:i/>
          <w:sz w:val="16"/>
          <w:szCs w:val="16"/>
          <w:lang w:eastAsia="en-US"/>
        </w:rPr>
        <w:t>вростат</w:t>
      </w:r>
      <w:proofErr w:type="spellEnd"/>
      <w:r w:rsidR="00490C07" w:rsidRPr="001A28D2">
        <w:rPr>
          <w:rFonts w:eastAsiaTheme="minorHAnsi"/>
          <w:i/>
          <w:sz w:val="16"/>
          <w:szCs w:val="16"/>
          <w:lang w:eastAsia="en-US"/>
        </w:rPr>
        <w:t xml:space="preserve">, </w:t>
      </w:r>
      <w:r w:rsidRPr="001A28D2">
        <w:rPr>
          <w:rFonts w:eastAsiaTheme="minorHAnsi"/>
          <w:i/>
          <w:sz w:val="16"/>
          <w:szCs w:val="16"/>
          <w:lang w:eastAsia="en-US"/>
        </w:rPr>
        <w:t>С</w:t>
      </w:r>
      <w:r w:rsidR="00490C07" w:rsidRPr="001A28D2">
        <w:rPr>
          <w:rFonts w:eastAsiaTheme="minorHAnsi"/>
          <w:i/>
          <w:sz w:val="16"/>
          <w:szCs w:val="16"/>
          <w:lang w:eastAsia="en-US"/>
        </w:rPr>
        <w:t>Б, МВФ</w:t>
      </w:r>
    </w:p>
    <w:p w14:paraId="227B13E3" w14:textId="77777777" w:rsidR="003562E8" w:rsidRPr="001A28D2" w:rsidRDefault="003562E8" w:rsidP="003F7802">
      <w:pPr>
        <w:rPr>
          <w:rFonts w:eastAsiaTheme="minorHAnsi"/>
          <w:lang w:eastAsia="en-US"/>
        </w:rPr>
      </w:pPr>
    </w:p>
    <w:p w14:paraId="66B6B39E" w14:textId="28867182" w:rsidR="009D7A18" w:rsidRPr="001A28D2" w:rsidRDefault="007D7735" w:rsidP="009D7A18">
      <w:pPr>
        <w:ind w:firstLine="709"/>
        <w:jc w:val="both"/>
        <w:rPr>
          <w:rFonts w:eastAsiaTheme="minorHAnsi"/>
          <w:lang w:eastAsia="en-US"/>
        </w:rPr>
      </w:pPr>
      <w:r w:rsidRPr="001A28D2">
        <w:rPr>
          <w:rFonts w:eastAsiaTheme="minorHAnsi"/>
          <w:lang w:eastAsia="en-US"/>
        </w:rPr>
        <w:t xml:space="preserve">Една от </w:t>
      </w:r>
      <w:r w:rsidR="005442FE" w:rsidRPr="001A28D2">
        <w:rPr>
          <w:rFonts w:eastAsiaTheme="minorHAnsi"/>
          <w:lang w:eastAsia="en-US"/>
        </w:rPr>
        <w:t>причини</w:t>
      </w:r>
      <w:r w:rsidRPr="001A28D2">
        <w:rPr>
          <w:rFonts w:eastAsiaTheme="minorHAnsi"/>
          <w:lang w:eastAsia="en-US"/>
        </w:rPr>
        <w:t>те</w:t>
      </w:r>
      <w:r w:rsidR="005442FE" w:rsidRPr="001A28D2">
        <w:rPr>
          <w:rFonts w:eastAsiaTheme="minorHAnsi"/>
          <w:lang w:eastAsia="en-US"/>
        </w:rPr>
        <w:t xml:space="preserve"> за разликите </w:t>
      </w:r>
      <w:r w:rsidRPr="001A28D2">
        <w:rPr>
          <w:rFonts w:eastAsiaTheme="minorHAnsi"/>
          <w:lang w:eastAsia="en-US"/>
        </w:rPr>
        <w:t>в очаквания и отчетен реален растеж на БВП за 2016 г.</w:t>
      </w:r>
      <w:r w:rsidR="008175E1" w:rsidRPr="001A28D2">
        <w:rPr>
          <w:rFonts w:eastAsiaTheme="minorHAnsi"/>
          <w:lang w:eastAsia="en-US"/>
        </w:rPr>
        <w:t xml:space="preserve"> </w:t>
      </w:r>
      <w:r w:rsidRPr="001A28D2">
        <w:rPr>
          <w:rFonts w:eastAsiaTheme="minorHAnsi"/>
          <w:lang w:eastAsia="en-US"/>
        </w:rPr>
        <w:t xml:space="preserve">е </w:t>
      </w:r>
      <w:r w:rsidR="005442FE" w:rsidRPr="001A28D2">
        <w:rPr>
          <w:rFonts w:eastAsiaTheme="minorHAnsi"/>
          <w:lang w:eastAsia="en-US"/>
        </w:rPr>
        <w:t>свързан</w:t>
      </w:r>
      <w:r w:rsidRPr="001A28D2">
        <w:rPr>
          <w:rFonts w:eastAsiaTheme="minorHAnsi"/>
          <w:lang w:eastAsia="en-US"/>
        </w:rPr>
        <w:t>а</w:t>
      </w:r>
      <w:r w:rsidR="005442FE" w:rsidRPr="001A28D2">
        <w:rPr>
          <w:rFonts w:eastAsiaTheme="minorHAnsi"/>
          <w:lang w:eastAsia="en-US"/>
        </w:rPr>
        <w:t xml:space="preserve"> с положителното влияние на компонента изменение на запасите. Обикновено приносът към растежа на БВП на този компонент се залага да е нулев. През 2016 г. приносът му е 1 пр. п. Той е допринесъл </w:t>
      </w:r>
      <w:r w:rsidR="00B73C6F" w:rsidRPr="001A28D2">
        <w:rPr>
          <w:rFonts w:eastAsiaTheme="minorHAnsi"/>
          <w:lang w:eastAsia="en-US"/>
        </w:rPr>
        <w:t>за</w:t>
      </w:r>
      <w:r w:rsidR="005442FE" w:rsidRPr="001A28D2">
        <w:rPr>
          <w:rFonts w:eastAsiaTheme="minorHAnsi"/>
          <w:lang w:eastAsia="en-US"/>
        </w:rPr>
        <w:t xml:space="preserve"> нарастване на общите инвестиции с 0,2 на сто спрямо очакваното</w:t>
      </w:r>
      <w:r w:rsidR="009D7A18" w:rsidRPr="001A28D2">
        <w:rPr>
          <w:rFonts w:eastAsiaTheme="minorHAnsi"/>
          <w:lang w:eastAsia="en-US"/>
        </w:rPr>
        <w:t xml:space="preserve">, въпреки че инвестициите в основен капитал </w:t>
      </w:r>
      <w:r w:rsidR="006D3E19" w:rsidRPr="001A28D2">
        <w:rPr>
          <w:rFonts w:eastAsiaTheme="minorHAnsi"/>
          <w:lang w:eastAsia="en-US"/>
        </w:rPr>
        <w:t>са</w:t>
      </w:r>
      <w:r w:rsidR="009D7A18" w:rsidRPr="001A28D2">
        <w:rPr>
          <w:rFonts w:eastAsiaTheme="minorHAnsi"/>
          <w:lang w:eastAsia="en-US"/>
        </w:rPr>
        <w:t xml:space="preserve"> по-ниски от прогнозираните поради спад при публичните капиталови разходи</w:t>
      </w:r>
      <w:r w:rsidR="005442FE" w:rsidRPr="001A28D2">
        <w:rPr>
          <w:rFonts w:eastAsiaTheme="minorHAnsi"/>
          <w:lang w:eastAsia="en-US"/>
        </w:rPr>
        <w:t xml:space="preserve">. Друга причина е по-високият растеж на потреблението – при първоначално отчетен растеж 0,8 на сто (отчетен към март 2016 г.) и очакван 0,5 на сто в бюджет 2016 г., ревизията на данните показва реален растеж от 4,3 на сто. Отчетен е и </w:t>
      </w:r>
      <w:r w:rsidR="009D7A18" w:rsidRPr="001A28D2">
        <w:rPr>
          <w:rFonts w:eastAsiaTheme="minorHAnsi"/>
          <w:lang w:eastAsia="en-US"/>
        </w:rPr>
        <w:t xml:space="preserve">по-висок </w:t>
      </w:r>
      <w:r w:rsidR="005442FE" w:rsidRPr="001A28D2">
        <w:rPr>
          <w:rFonts w:eastAsiaTheme="minorHAnsi"/>
          <w:lang w:eastAsia="en-US"/>
        </w:rPr>
        <w:t>положителен принос на нетния износ</w:t>
      </w:r>
      <w:r w:rsidR="009D7A18" w:rsidRPr="001A28D2">
        <w:rPr>
          <w:rFonts w:eastAsiaTheme="minorHAnsi"/>
          <w:lang w:eastAsia="en-US"/>
        </w:rPr>
        <w:t>,</w:t>
      </w:r>
      <w:r w:rsidR="009D7A18" w:rsidRPr="001A28D2">
        <w:t xml:space="preserve"> </w:t>
      </w:r>
      <w:r w:rsidR="009D7A18" w:rsidRPr="001A28D2">
        <w:rPr>
          <w:rFonts w:eastAsiaTheme="minorHAnsi"/>
          <w:lang w:eastAsia="en-US"/>
        </w:rPr>
        <w:t xml:space="preserve">както по линия на по-високо от очакваното реално нарастване на износа, така и поради по-ниско от очакваното увеличение на вноса. </w:t>
      </w:r>
    </w:p>
    <w:p w14:paraId="7D486EEB" w14:textId="7CDE62D3" w:rsidR="00E27C6D" w:rsidRPr="001A28D2" w:rsidRDefault="00E27C6D" w:rsidP="00E27C6D">
      <w:pPr>
        <w:ind w:firstLine="709"/>
        <w:jc w:val="both"/>
        <w:rPr>
          <w:rFonts w:eastAsiaTheme="minorHAnsi"/>
          <w:lang w:eastAsia="en-US"/>
        </w:rPr>
      </w:pPr>
      <w:r w:rsidRPr="001A28D2">
        <w:rPr>
          <w:rFonts w:eastAsiaTheme="minorHAnsi"/>
          <w:lang w:eastAsia="en-US"/>
        </w:rPr>
        <w:t>Освен по-високия реален растеж на БВП, влияние върху номиналната стойност на БВП оказва и по-високата отчетна стойност от 1</w:t>
      </w:r>
      <w:r w:rsidR="006D3E19" w:rsidRPr="001A28D2">
        <w:rPr>
          <w:rFonts w:eastAsiaTheme="minorHAnsi"/>
          <w:lang w:eastAsia="en-US"/>
        </w:rPr>
        <w:t>,</w:t>
      </w:r>
      <w:proofErr w:type="spellStart"/>
      <w:r w:rsidRPr="001A28D2">
        <w:rPr>
          <w:rFonts w:eastAsiaTheme="minorHAnsi"/>
          <w:lang w:eastAsia="en-US"/>
        </w:rPr>
        <w:t>1</w:t>
      </w:r>
      <w:proofErr w:type="spellEnd"/>
      <w:r w:rsidR="006B015E" w:rsidRPr="001A28D2">
        <w:rPr>
          <w:rFonts w:eastAsiaTheme="minorHAnsi"/>
          <w:lang w:eastAsia="en-US"/>
        </w:rPr>
        <w:t xml:space="preserve"> на сто</w:t>
      </w:r>
      <w:r w:rsidRPr="001A28D2">
        <w:rPr>
          <w:rFonts w:eastAsiaTheme="minorHAnsi"/>
          <w:lang w:eastAsia="en-US"/>
        </w:rPr>
        <w:t xml:space="preserve"> на</w:t>
      </w:r>
      <w:r w:rsidR="005442FE" w:rsidRPr="001A28D2">
        <w:rPr>
          <w:rFonts w:eastAsiaTheme="minorHAnsi"/>
          <w:lang w:eastAsia="en-US"/>
        </w:rPr>
        <w:t xml:space="preserve"> </w:t>
      </w:r>
      <w:proofErr w:type="spellStart"/>
      <w:r w:rsidR="005442FE" w:rsidRPr="001A28D2">
        <w:rPr>
          <w:rFonts w:eastAsiaTheme="minorHAnsi"/>
          <w:lang w:eastAsia="en-US"/>
        </w:rPr>
        <w:t>дефлатора</w:t>
      </w:r>
      <w:proofErr w:type="spellEnd"/>
      <w:r w:rsidR="005442FE" w:rsidRPr="001A28D2">
        <w:rPr>
          <w:rFonts w:eastAsiaTheme="minorHAnsi"/>
          <w:lang w:eastAsia="en-US"/>
        </w:rPr>
        <w:t xml:space="preserve"> на БВП, </w:t>
      </w:r>
      <w:r w:rsidRPr="001A28D2">
        <w:rPr>
          <w:rFonts w:eastAsiaTheme="minorHAnsi"/>
          <w:lang w:eastAsia="en-US"/>
        </w:rPr>
        <w:t xml:space="preserve">при </w:t>
      </w:r>
      <w:r w:rsidR="005442FE" w:rsidRPr="001A28D2">
        <w:rPr>
          <w:rFonts w:eastAsiaTheme="minorHAnsi"/>
          <w:lang w:eastAsia="en-US"/>
        </w:rPr>
        <w:t>очакван</w:t>
      </w:r>
      <w:r w:rsidRPr="001A28D2">
        <w:rPr>
          <w:rFonts w:eastAsiaTheme="minorHAnsi"/>
          <w:lang w:eastAsia="en-US"/>
        </w:rPr>
        <w:t xml:space="preserve"> растеж от </w:t>
      </w:r>
      <w:r w:rsidR="005442FE" w:rsidRPr="001A28D2">
        <w:rPr>
          <w:rFonts w:eastAsiaTheme="minorHAnsi"/>
          <w:lang w:eastAsia="en-US"/>
        </w:rPr>
        <w:t xml:space="preserve">0,6 на сто. Причината за по-високия </w:t>
      </w:r>
      <w:proofErr w:type="spellStart"/>
      <w:r w:rsidR="005442FE" w:rsidRPr="001A28D2">
        <w:rPr>
          <w:rFonts w:eastAsiaTheme="minorHAnsi"/>
          <w:lang w:eastAsia="en-US"/>
        </w:rPr>
        <w:t>дефлатор</w:t>
      </w:r>
      <w:proofErr w:type="spellEnd"/>
      <w:r w:rsidR="005442FE" w:rsidRPr="001A28D2">
        <w:rPr>
          <w:rFonts w:eastAsiaTheme="minorHAnsi"/>
          <w:lang w:eastAsia="en-US"/>
        </w:rPr>
        <w:t xml:space="preserve"> са положителните условия на търговия, които са резултат от </w:t>
      </w:r>
      <w:r w:rsidRPr="001A28D2">
        <w:rPr>
          <w:rFonts w:eastAsiaTheme="minorHAnsi"/>
          <w:lang w:eastAsia="en-US"/>
        </w:rPr>
        <w:t xml:space="preserve">по-голямото понижение при цените на вноса спрямо цените на износа. </w:t>
      </w:r>
    </w:p>
    <w:p w14:paraId="09673A4C" w14:textId="351F0B20" w:rsidR="00C07756" w:rsidRPr="001A28D2" w:rsidRDefault="005442FE" w:rsidP="00C07756">
      <w:pPr>
        <w:ind w:firstLine="709"/>
        <w:jc w:val="both"/>
        <w:rPr>
          <w:rFonts w:eastAsiaTheme="minorHAnsi"/>
          <w:lang w:eastAsia="en-US"/>
        </w:rPr>
      </w:pPr>
      <w:r w:rsidRPr="001A28D2">
        <w:rPr>
          <w:rFonts w:eastAsiaTheme="minorHAnsi"/>
          <w:lang w:eastAsia="en-US"/>
        </w:rPr>
        <w:t xml:space="preserve">При изготвяне на прогнозата, външните допускания за динамиката на цените на международните пазари през 2016 г. са за минимален спад на цената на нефта и </w:t>
      </w:r>
      <w:r w:rsidR="000C4C26" w:rsidRPr="001A28D2">
        <w:rPr>
          <w:rFonts w:eastAsiaTheme="minorHAnsi"/>
          <w:lang w:eastAsia="en-US"/>
        </w:rPr>
        <w:t xml:space="preserve">другите </w:t>
      </w:r>
      <w:r w:rsidRPr="001A28D2">
        <w:rPr>
          <w:rFonts w:eastAsiaTheme="minorHAnsi"/>
          <w:lang w:eastAsia="en-US"/>
        </w:rPr>
        <w:t>горива, по-съществено понижение на цената на металите и отрицателни условия на търговия. Реално са формирани положителни условия на търговия</w:t>
      </w:r>
      <w:r w:rsidR="00C07756" w:rsidRPr="001A28D2">
        <w:rPr>
          <w:rFonts w:eastAsiaTheme="minorHAnsi"/>
          <w:lang w:eastAsia="en-US"/>
        </w:rPr>
        <w:t>,</w:t>
      </w:r>
      <w:r w:rsidRPr="001A28D2">
        <w:rPr>
          <w:rFonts w:eastAsiaTheme="minorHAnsi"/>
          <w:lang w:eastAsia="en-US"/>
        </w:rPr>
        <w:t xml:space="preserve"> </w:t>
      </w:r>
      <w:r w:rsidR="00C07756" w:rsidRPr="001A28D2">
        <w:rPr>
          <w:rFonts w:eastAsiaTheme="minorHAnsi"/>
          <w:lang w:eastAsia="en-US"/>
        </w:rPr>
        <w:t xml:space="preserve">тъй като поради по-съществения спад на цените на вносните стоки (вкл. горива), </w:t>
      </w:r>
      <w:proofErr w:type="spellStart"/>
      <w:r w:rsidR="00C07756" w:rsidRPr="001A28D2">
        <w:rPr>
          <w:rFonts w:eastAsiaTheme="minorHAnsi"/>
          <w:lang w:eastAsia="en-US"/>
        </w:rPr>
        <w:t>дефлаторът</w:t>
      </w:r>
      <w:proofErr w:type="spellEnd"/>
      <w:r w:rsidR="00C07756" w:rsidRPr="001A28D2">
        <w:rPr>
          <w:rFonts w:eastAsiaTheme="minorHAnsi"/>
          <w:lang w:eastAsia="en-US"/>
        </w:rPr>
        <w:t xml:space="preserve"> на вноса се понижи в по-голяма степен спрямо този на износа.</w:t>
      </w:r>
    </w:p>
    <w:p w14:paraId="66608869" w14:textId="3DF03092" w:rsidR="005442FE" w:rsidRPr="001A28D2" w:rsidRDefault="005442FE" w:rsidP="007E77CC">
      <w:pPr>
        <w:ind w:firstLine="709"/>
        <w:jc w:val="both"/>
        <w:rPr>
          <w:rFonts w:eastAsiaTheme="minorHAnsi"/>
          <w:lang w:eastAsia="en-US"/>
        </w:rPr>
      </w:pPr>
      <w:r w:rsidRPr="001A28D2">
        <w:rPr>
          <w:rFonts w:eastAsiaTheme="minorHAnsi"/>
          <w:lang w:eastAsia="en-US"/>
        </w:rPr>
        <w:t xml:space="preserve">При изготвяне на прогнозата, очакванията за инфлацията – средногодишна и в края на периода, са за положителна стойност. При очаквано поскъпване на услугите е отчетено </w:t>
      </w:r>
      <w:r w:rsidRPr="001A28D2">
        <w:rPr>
          <w:rFonts w:eastAsiaTheme="minorHAnsi"/>
          <w:lang w:eastAsia="en-US"/>
        </w:rPr>
        <w:lastRenderedPageBreak/>
        <w:t xml:space="preserve">тяхното поевтиняване, което се дължи най-вече на направената корекция в </w:t>
      </w:r>
      <w:proofErr w:type="spellStart"/>
      <w:r w:rsidRPr="001A28D2">
        <w:rPr>
          <w:rFonts w:eastAsiaTheme="minorHAnsi"/>
          <w:lang w:eastAsia="en-US"/>
        </w:rPr>
        <w:t>роуминг</w:t>
      </w:r>
      <w:proofErr w:type="spellEnd"/>
      <w:r w:rsidRPr="001A28D2">
        <w:rPr>
          <w:rFonts w:eastAsiaTheme="minorHAnsi"/>
          <w:lang w:eastAsia="en-US"/>
        </w:rPr>
        <w:t xml:space="preserve"> тарифите в ЕС, както и с нарасналата конкуренция измежду </w:t>
      </w:r>
      <w:proofErr w:type="spellStart"/>
      <w:r w:rsidRPr="001A28D2">
        <w:rPr>
          <w:rFonts w:eastAsiaTheme="minorHAnsi"/>
          <w:lang w:eastAsia="en-US"/>
        </w:rPr>
        <w:t>авиопревозвачите</w:t>
      </w:r>
      <w:proofErr w:type="spellEnd"/>
      <w:r w:rsidRPr="001A28D2">
        <w:rPr>
          <w:rFonts w:eastAsiaTheme="minorHAnsi"/>
          <w:lang w:eastAsia="en-US"/>
        </w:rPr>
        <w:t xml:space="preserve"> в страната. Освен това е отчетено по-голямо понижение на цените на транспортните горива от очакваното – цената на петрола в доларово изражение е понижена средно с 15,7 на сто при очаквано понижение от 2,4 на сто. Изменението на потребителските цени е отрицателно през цялата година.</w:t>
      </w:r>
      <w:r w:rsidR="006D3E19" w:rsidRPr="001A28D2">
        <w:rPr>
          <w:rStyle w:val="FootnoteReference"/>
          <w:rFonts w:eastAsiaTheme="minorHAnsi"/>
          <w:lang w:eastAsia="en-US"/>
        </w:rPr>
        <w:footnoteReference w:id="132"/>
      </w:r>
    </w:p>
    <w:p w14:paraId="42842542" w14:textId="77777777" w:rsidR="00525A68" w:rsidRPr="001A28D2" w:rsidRDefault="00525A68" w:rsidP="007E77CC">
      <w:pPr>
        <w:ind w:firstLine="709"/>
        <w:jc w:val="both"/>
        <w:rPr>
          <w:rFonts w:eastAsiaTheme="minorHAnsi"/>
          <w:lang w:eastAsia="en-US"/>
        </w:rPr>
      </w:pPr>
    </w:p>
    <w:p w14:paraId="242F4AC0" w14:textId="77777777" w:rsidR="009F23F9" w:rsidRPr="001A28D2" w:rsidRDefault="00BD20C1" w:rsidP="007E77CC">
      <w:pPr>
        <w:widowControl w:val="0"/>
        <w:tabs>
          <w:tab w:val="left" w:pos="1134"/>
          <w:tab w:val="left" w:pos="1560"/>
        </w:tabs>
        <w:autoSpaceDE w:val="0"/>
        <w:autoSpaceDN w:val="0"/>
        <w:adjustRightInd w:val="0"/>
        <w:ind w:firstLine="709"/>
        <w:contextualSpacing/>
        <w:jc w:val="both"/>
        <w:rPr>
          <w:b/>
        </w:rPr>
      </w:pPr>
      <w:r w:rsidRPr="001A28D2">
        <w:rPr>
          <w:b/>
        </w:rPr>
        <w:t>5.</w:t>
      </w:r>
      <w:proofErr w:type="spellStart"/>
      <w:r w:rsidRPr="001A28D2">
        <w:rPr>
          <w:b/>
        </w:rPr>
        <w:t>5</w:t>
      </w:r>
      <w:proofErr w:type="spellEnd"/>
      <w:r w:rsidRPr="001A28D2">
        <w:rPr>
          <w:b/>
        </w:rPr>
        <w:t xml:space="preserve">. </w:t>
      </w:r>
      <w:r w:rsidR="009F23F9" w:rsidRPr="001A28D2">
        <w:rPr>
          <w:b/>
        </w:rPr>
        <w:t xml:space="preserve">Изисквания по ЗПФ относно </w:t>
      </w:r>
      <w:r w:rsidR="009F23F9" w:rsidRPr="001A28D2">
        <w:rPr>
          <w:b/>
          <w:color w:val="000000"/>
        </w:rPr>
        <w:t>приемане на бюджетите</w:t>
      </w:r>
    </w:p>
    <w:p w14:paraId="4553759A" w14:textId="6CDB10EA" w:rsidR="00D0733B" w:rsidRPr="001A28D2" w:rsidRDefault="00BD20C1" w:rsidP="007E77CC">
      <w:pPr>
        <w:ind w:firstLine="709"/>
        <w:jc w:val="both"/>
        <w:rPr>
          <w:rFonts w:eastAsiaTheme="minorHAnsi"/>
          <w:lang w:eastAsia="en-US"/>
        </w:rPr>
      </w:pPr>
      <w:r w:rsidRPr="001A28D2">
        <w:rPr>
          <w:rFonts w:eastAsiaTheme="minorHAnsi"/>
          <w:lang w:eastAsia="en-US"/>
        </w:rPr>
        <w:t>5.</w:t>
      </w:r>
      <w:proofErr w:type="spellStart"/>
      <w:r w:rsidRPr="001A28D2">
        <w:rPr>
          <w:rFonts w:eastAsiaTheme="minorHAnsi"/>
          <w:lang w:eastAsia="en-US"/>
        </w:rPr>
        <w:t>5</w:t>
      </w:r>
      <w:proofErr w:type="spellEnd"/>
      <w:r w:rsidRPr="001A28D2">
        <w:rPr>
          <w:rFonts w:eastAsiaTheme="minorHAnsi"/>
          <w:lang w:eastAsia="en-US"/>
        </w:rPr>
        <w:t>.</w:t>
      </w:r>
      <w:r w:rsidR="00EF3397" w:rsidRPr="001A28D2">
        <w:rPr>
          <w:rFonts w:eastAsiaTheme="minorHAnsi"/>
          <w:lang w:eastAsia="en-US"/>
        </w:rPr>
        <w:t>1.</w:t>
      </w:r>
      <w:r w:rsidRPr="001A28D2">
        <w:rPr>
          <w:rFonts w:eastAsiaTheme="minorHAnsi"/>
          <w:lang w:eastAsia="en-US"/>
        </w:rPr>
        <w:t xml:space="preserve"> </w:t>
      </w:r>
      <w:r w:rsidR="00D0733B" w:rsidRPr="001A28D2">
        <w:rPr>
          <w:rFonts w:eastAsiaTheme="minorHAnsi"/>
          <w:lang w:eastAsia="en-US"/>
        </w:rPr>
        <w:t>Държавният бюджет е приет със закон,</w:t>
      </w:r>
      <w:r w:rsidR="00D0733B" w:rsidRPr="001A28D2">
        <w:rPr>
          <w:rStyle w:val="FootnoteReference"/>
          <w:rFonts w:eastAsiaTheme="minorHAnsi"/>
          <w:lang w:eastAsia="en-US"/>
        </w:rPr>
        <w:footnoteReference w:id="133"/>
      </w:r>
      <w:r w:rsidR="00D0733B" w:rsidRPr="001A28D2">
        <w:rPr>
          <w:rFonts w:eastAsiaTheme="minorHAnsi"/>
          <w:lang w:eastAsia="en-US"/>
        </w:rPr>
        <w:t xml:space="preserve"> който включва обобщени показатели за </w:t>
      </w:r>
      <w:r w:rsidR="00EB3387" w:rsidRPr="001A28D2">
        <w:rPr>
          <w:rFonts w:eastAsiaTheme="minorHAnsi"/>
          <w:lang w:eastAsia="en-US"/>
        </w:rPr>
        <w:t>ДБ</w:t>
      </w:r>
      <w:r w:rsidR="00D0733B" w:rsidRPr="001A28D2">
        <w:rPr>
          <w:rFonts w:eastAsiaTheme="minorHAnsi"/>
          <w:lang w:eastAsia="en-US"/>
        </w:rPr>
        <w:t xml:space="preserve"> на касова основа за приходите, помощите и даренията, разходите, бюджетните взаимоотношения, вноската в общия бюджет на </w:t>
      </w:r>
      <w:r w:rsidR="00EB3387" w:rsidRPr="001A28D2">
        <w:rPr>
          <w:rFonts w:eastAsiaTheme="minorHAnsi"/>
          <w:lang w:eastAsia="en-US"/>
        </w:rPr>
        <w:t>ЕС</w:t>
      </w:r>
      <w:r w:rsidR="00D0733B" w:rsidRPr="001A28D2">
        <w:rPr>
          <w:rFonts w:eastAsiaTheme="minorHAnsi"/>
          <w:lang w:eastAsia="en-US"/>
        </w:rPr>
        <w:t>, бюджетното салдо и операции в частта на финансирането, бюджетните взаимоотношения на държавния бюджет с бюд</w:t>
      </w:r>
      <w:r w:rsidR="00525A68" w:rsidRPr="001A28D2">
        <w:rPr>
          <w:rFonts w:eastAsiaTheme="minorHAnsi"/>
          <w:lang w:eastAsia="en-US"/>
        </w:rPr>
        <w:t>жетите на общините, на социално</w:t>
      </w:r>
      <w:r w:rsidR="00D0733B" w:rsidRPr="001A28D2">
        <w:rPr>
          <w:rFonts w:eastAsiaTheme="minorHAnsi"/>
          <w:lang w:eastAsia="en-US"/>
        </w:rPr>
        <w:t xml:space="preserve"> и здравноосигурителните фондове и с другите бюджети и сметки, попадащи в обхвата на консолидираната фискална програма; бюджетите</w:t>
      </w:r>
      <w:r w:rsidR="00D0733B" w:rsidRPr="001A28D2">
        <w:rPr>
          <w:rFonts w:eastAsiaTheme="minorHAnsi"/>
          <w:spacing w:val="50"/>
          <w:lang w:eastAsia="en-US"/>
        </w:rPr>
        <w:t xml:space="preserve"> </w:t>
      </w:r>
      <w:r w:rsidR="00D0733B" w:rsidRPr="001A28D2">
        <w:rPr>
          <w:rFonts w:eastAsiaTheme="minorHAnsi"/>
          <w:lang w:eastAsia="en-US"/>
        </w:rPr>
        <w:t>на</w:t>
      </w:r>
      <w:r w:rsidR="00D0733B" w:rsidRPr="001A28D2">
        <w:rPr>
          <w:rFonts w:eastAsiaTheme="minorHAnsi"/>
          <w:spacing w:val="52"/>
          <w:lang w:eastAsia="en-US"/>
        </w:rPr>
        <w:t xml:space="preserve"> </w:t>
      </w:r>
      <w:r w:rsidR="00D0733B" w:rsidRPr="001A28D2">
        <w:rPr>
          <w:rFonts w:eastAsiaTheme="minorHAnsi"/>
          <w:lang w:eastAsia="en-US"/>
        </w:rPr>
        <w:t>първостепенните</w:t>
      </w:r>
      <w:r w:rsidR="00D0733B" w:rsidRPr="001A28D2">
        <w:rPr>
          <w:rFonts w:eastAsiaTheme="minorHAnsi"/>
          <w:spacing w:val="50"/>
          <w:lang w:eastAsia="en-US"/>
        </w:rPr>
        <w:t xml:space="preserve"> </w:t>
      </w:r>
      <w:r w:rsidR="00D0733B" w:rsidRPr="001A28D2">
        <w:rPr>
          <w:rFonts w:eastAsiaTheme="minorHAnsi"/>
          <w:lang w:eastAsia="en-US"/>
        </w:rPr>
        <w:t>разпоредители</w:t>
      </w:r>
      <w:r w:rsidR="00D0733B" w:rsidRPr="001A28D2">
        <w:rPr>
          <w:rFonts w:eastAsiaTheme="minorHAnsi"/>
          <w:spacing w:val="52"/>
          <w:lang w:eastAsia="en-US"/>
        </w:rPr>
        <w:t xml:space="preserve"> </w:t>
      </w:r>
      <w:r w:rsidR="00D0733B" w:rsidRPr="001A28D2">
        <w:rPr>
          <w:rFonts w:eastAsiaTheme="minorHAnsi"/>
          <w:lang w:eastAsia="en-US"/>
        </w:rPr>
        <w:t>с</w:t>
      </w:r>
      <w:r w:rsidR="00D0733B" w:rsidRPr="001A28D2">
        <w:rPr>
          <w:rFonts w:eastAsiaTheme="minorHAnsi"/>
          <w:spacing w:val="50"/>
          <w:lang w:eastAsia="en-US"/>
        </w:rPr>
        <w:t xml:space="preserve"> </w:t>
      </w:r>
      <w:r w:rsidR="00D0733B" w:rsidRPr="001A28D2">
        <w:rPr>
          <w:rFonts w:eastAsiaTheme="minorHAnsi"/>
          <w:lang w:eastAsia="en-US"/>
        </w:rPr>
        <w:t>бюджет</w:t>
      </w:r>
      <w:r w:rsidR="00D0733B" w:rsidRPr="001A28D2">
        <w:rPr>
          <w:rFonts w:eastAsiaTheme="minorHAnsi"/>
          <w:spacing w:val="57"/>
          <w:lang w:eastAsia="en-US"/>
        </w:rPr>
        <w:t xml:space="preserve"> </w:t>
      </w:r>
      <w:r w:rsidR="00D0733B" w:rsidRPr="001A28D2">
        <w:rPr>
          <w:rFonts w:eastAsiaTheme="minorHAnsi"/>
          <w:lang w:eastAsia="en-US"/>
        </w:rPr>
        <w:t>-</w:t>
      </w:r>
      <w:r w:rsidR="00D0733B" w:rsidRPr="001A28D2">
        <w:rPr>
          <w:rFonts w:eastAsiaTheme="minorHAnsi"/>
          <w:spacing w:val="53"/>
          <w:lang w:eastAsia="en-US"/>
        </w:rPr>
        <w:t xml:space="preserve"> </w:t>
      </w:r>
      <w:r w:rsidR="00D0733B" w:rsidRPr="001A28D2">
        <w:rPr>
          <w:rFonts w:eastAsiaTheme="minorHAnsi"/>
          <w:lang w:eastAsia="en-US"/>
        </w:rPr>
        <w:t>част</w:t>
      </w:r>
      <w:r w:rsidR="00D0733B" w:rsidRPr="001A28D2">
        <w:rPr>
          <w:rFonts w:eastAsiaTheme="minorHAnsi"/>
          <w:spacing w:val="53"/>
          <w:lang w:eastAsia="en-US"/>
        </w:rPr>
        <w:t xml:space="preserve"> </w:t>
      </w:r>
      <w:r w:rsidR="00D0733B" w:rsidRPr="001A28D2">
        <w:rPr>
          <w:rFonts w:eastAsiaTheme="minorHAnsi"/>
          <w:lang w:eastAsia="en-US"/>
        </w:rPr>
        <w:t>от</w:t>
      </w:r>
      <w:r w:rsidR="00D0733B" w:rsidRPr="001A28D2">
        <w:rPr>
          <w:rFonts w:eastAsiaTheme="minorHAnsi"/>
          <w:spacing w:val="52"/>
          <w:lang w:eastAsia="en-US"/>
        </w:rPr>
        <w:t xml:space="preserve"> </w:t>
      </w:r>
      <w:r w:rsidR="00D0733B" w:rsidRPr="001A28D2">
        <w:rPr>
          <w:rFonts w:eastAsiaTheme="minorHAnsi"/>
          <w:lang w:eastAsia="en-US"/>
        </w:rPr>
        <w:t>държавния</w:t>
      </w:r>
      <w:r w:rsidR="00D0733B" w:rsidRPr="001A28D2">
        <w:rPr>
          <w:rFonts w:eastAsiaTheme="minorHAnsi"/>
          <w:spacing w:val="51"/>
          <w:lang w:eastAsia="en-US"/>
        </w:rPr>
        <w:t xml:space="preserve"> </w:t>
      </w:r>
      <w:r w:rsidR="00D0733B" w:rsidRPr="001A28D2">
        <w:rPr>
          <w:rFonts w:eastAsiaTheme="minorHAnsi"/>
          <w:lang w:eastAsia="en-US"/>
        </w:rPr>
        <w:t>бюджет,</w:t>
      </w:r>
      <w:r w:rsidR="00D0733B" w:rsidRPr="001A28D2">
        <w:rPr>
          <w:rFonts w:eastAsiaTheme="minorHAnsi"/>
          <w:spacing w:val="51"/>
          <w:lang w:eastAsia="en-US"/>
        </w:rPr>
        <w:t xml:space="preserve"> </w:t>
      </w:r>
      <w:r w:rsidR="00D0733B" w:rsidRPr="001A28D2">
        <w:rPr>
          <w:rFonts w:eastAsiaTheme="minorHAnsi"/>
          <w:lang w:eastAsia="en-US"/>
        </w:rPr>
        <w:t>по основни показатели на касова основа за приходите, помощите и даренията, разходите, бюджетните взаимоотношения, бюджетното салдо и операции в частта на финансирането; р</w:t>
      </w:r>
      <w:r w:rsidR="00D0733B" w:rsidRPr="001A28D2">
        <w:t xml:space="preserve">азходите по бюджетите на първостепенните разпоредители с бюджет, които прилагат програмен формат на бюджет - по области на политики и/или бюджетни програми, а разходите на </w:t>
      </w:r>
      <w:r w:rsidR="00EB3387" w:rsidRPr="001A28D2">
        <w:t>НС</w:t>
      </w:r>
      <w:r w:rsidR="00D0733B" w:rsidRPr="001A28D2">
        <w:t xml:space="preserve"> - по функционални области; разходите на съдебната власт, включително по органи; </w:t>
      </w:r>
      <w:r w:rsidR="00D0733B" w:rsidRPr="001A28D2">
        <w:rPr>
          <w:rFonts w:eastAsiaTheme="minorHAnsi"/>
          <w:lang w:eastAsia="en-US"/>
        </w:rPr>
        <w:t>максималните размери на ангажименти за разходи, които могат да бъдат поети през годината от ПРБ, както и максималните размери на новите задължения за разходи, които могат да бъдат натрупани през годината.</w:t>
      </w:r>
    </w:p>
    <w:p w14:paraId="2DD36439" w14:textId="77777777" w:rsidR="00D0733B" w:rsidRPr="001A28D2" w:rsidRDefault="00D0733B" w:rsidP="007E77CC">
      <w:pPr>
        <w:ind w:firstLine="709"/>
        <w:jc w:val="both"/>
        <w:rPr>
          <w:rFonts w:eastAsiaTheme="minorHAnsi"/>
          <w:lang w:eastAsia="en-US"/>
        </w:rPr>
      </w:pPr>
    </w:p>
    <w:p w14:paraId="21B898EE" w14:textId="16521DE7" w:rsidR="00D0733B" w:rsidRPr="001A28D2" w:rsidRDefault="00D0733B" w:rsidP="007E77CC">
      <w:pPr>
        <w:ind w:firstLine="709"/>
        <w:jc w:val="both"/>
        <w:rPr>
          <w:rFonts w:eastAsiaTheme="minorHAnsi"/>
          <w:i/>
          <w:lang w:eastAsia="en-US"/>
        </w:rPr>
      </w:pPr>
      <w:r w:rsidRPr="001A28D2">
        <w:rPr>
          <w:rFonts w:eastAsiaTheme="minorHAnsi"/>
          <w:i/>
          <w:lang w:eastAsia="en-US"/>
        </w:rPr>
        <w:t>Държавният бюджет е приет в съответствие с изискванията на чл.</w:t>
      </w:r>
      <w:r w:rsidR="00EF3397" w:rsidRPr="001A28D2">
        <w:rPr>
          <w:rFonts w:eastAsiaTheme="minorHAnsi"/>
          <w:i/>
          <w:lang w:eastAsia="en-US"/>
        </w:rPr>
        <w:t> </w:t>
      </w:r>
      <w:r w:rsidRPr="001A28D2">
        <w:rPr>
          <w:rFonts w:eastAsiaTheme="minorHAnsi"/>
          <w:i/>
          <w:lang w:eastAsia="en-US"/>
        </w:rPr>
        <w:t>86</w:t>
      </w:r>
      <w:r w:rsidR="004E6135" w:rsidRPr="001A28D2">
        <w:rPr>
          <w:rFonts w:eastAsiaTheme="minorHAnsi"/>
          <w:i/>
          <w:lang w:eastAsia="en-US"/>
        </w:rPr>
        <w:t>, ал. 2-5</w:t>
      </w:r>
      <w:r w:rsidRPr="001A28D2">
        <w:rPr>
          <w:rFonts w:eastAsiaTheme="minorHAnsi"/>
          <w:i/>
          <w:lang w:eastAsia="en-US"/>
        </w:rPr>
        <w:t xml:space="preserve"> от ЗПФ.</w:t>
      </w:r>
    </w:p>
    <w:p w14:paraId="38574CFC" w14:textId="77777777" w:rsidR="0033797D" w:rsidRPr="001A28D2" w:rsidRDefault="0033797D" w:rsidP="007E77CC">
      <w:pPr>
        <w:ind w:firstLine="709"/>
        <w:jc w:val="both"/>
        <w:rPr>
          <w:rFonts w:eastAsiaTheme="minorHAnsi"/>
          <w:i/>
          <w:lang w:eastAsia="en-US"/>
        </w:rPr>
      </w:pPr>
    </w:p>
    <w:p w14:paraId="547E40EF" w14:textId="68E9E5C3" w:rsidR="00003C88" w:rsidRPr="001A28D2" w:rsidRDefault="00BD20C1" w:rsidP="007E77CC">
      <w:pPr>
        <w:widowControl w:val="0"/>
        <w:autoSpaceDE w:val="0"/>
        <w:autoSpaceDN w:val="0"/>
        <w:adjustRightInd w:val="0"/>
        <w:ind w:firstLine="709"/>
        <w:contextualSpacing/>
        <w:jc w:val="both"/>
      </w:pPr>
      <w:r w:rsidRPr="001A28D2">
        <w:t>5.</w:t>
      </w:r>
      <w:proofErr w:type="spellStart"/>
      <w:r w:rsidRPr="001A28D2">
        <w:t>5</w:t>
      </w:r>
      <w:proofErr w:type="spellEnd"/>
      <w:r w:rsidR="00EF3397" w:rsidRPr="001A28D2">
        <w:t>.2.</w:t>
      </w:r>
      <w:r w:rsidRPr="001A28D2">
        <w:t xml:space="preserve"> </w:t>
      </w:r>
      <w:r w:rsidR="00003C88" w:rsidRPr="001A28D2">
        <w:t xml:space="preserve">Първостепенните разпоредители с бюджет по </w:t>
      </w:r>
      <w:r w:rsidR="003476EF" w:rsidRPr="001A28D2">
        <w:t>ДБ</w:t>
      </w:r>
      <w:r w:rsidR="00003C88" w:rsidRPr="001A28D2">
        <w:t xml:space="preserve"> не могат да натрупват нови задължения за разходи, както и да поемат ангажименти за разходи над определените им, освен при извършени промени на тези показатели по реда на този закон или ако за това има решение на </w:t>
      </w:r>
      <w:r w:rsidR="003476EF" w:rsidRPr="001A28D2">
        <w:t>НС</w:t>
      </w:r>
      <w:r w:rsidR="00003C88" w:rsidRPr="001A28D2">
        <w:t>.</w:t>
      </w:r>
      <w:r w:rsidR="00003C88" w:rsidRPr="001A28D2">
        <w:rPr>
          <w:rStyle w:val="FootnoteReference"/>
        </w:rPr>
        <w:footnoteReference w:id="134"/>
      </w:r>
    </w:p>
    <w:p w14:paraId="0A8E00C5" w14:textId="75B409CD" w:rsidR="00866261" w:rsidRPr="001A28D2" w:rsidRDefault="00866261" w:rsidP="007E77CC">
      <w:pPr>
        <w:ind w:left="34" w:firstLine="709"/>
        <w:jc w:val="both"/>
        <w:textAlignment w:val="center"/>
        <w:rPr>
          <w:rFonts w:eastAsiaTheme="minorHAnsi"/>
          <w:lang w:eastAsia="en-US"/>
        </w:rPr>
      </w:pPr>
      <w:r w:rsidRPr="001A28D2">
        <w:rPr>
          <w:rFonts w:eastAsiaTheme="minorHAnsi"/>
          <w:lang w:eastAsia="en-US"/>
        </w:rPr>
        <w:t xml:space="preserve">През 2016 г. МФ писмено е уведомявало ПРБ за предприемане на мерки за недопускане на </w:t>
      </w:r>
      <w:proofErr w:type="spellStart"/>
      <w:r w:rsidRPr="001A28D2">
        <w:rPr>
          <w:rFonts w:eastAsiaTheme="minorHAnsi"/>
          <w:lang w:eastAsia="en-US"/>
        </w:rPr>
        <w:t>превишение</w:t>
      </w:r>
      <w:proofErr w:type="spellEnd"/>
      <w:r w:rsidRPr="001A28D2">
        <w:rPr>
          <w:rFonts w:eastAsiaTheme="minorHAnsi"/>
          <w:lang w:eastAsia="en-US"/>
        </w:rPr>
        <w:t xml:space="preserve"> на определените им максимални размери на ангажиментите и новите задължения за разходи въз основа на преглед на отчетна информация</w:t>
      </w:r>
      <w:r w:rsidR="00BB289C" w:rsidRPr="001A28D2">
        <w:rPr>
          <w:rFonts w:eastAsiaTheme="minorHAnsi"/>
          <w:lang w:eastAsia="en-US"/>
        </w:rPr>
        <w:t>,</w:t>
      </w:r>
      <w:r w:rsidRPr="001A28D2">
        <w:rPr>
          <w:rFonts w:eastAsiaTheme="minorHAnsi"/>
          <w:lang w:eastAsia="en-US"/>
        </w:rPr>
        <w:t xml:space="preserve"> получавана с тримесечните отчети за касово изпълнение на бюджетите към 30.06.2016</w:t>
      </w:r>
      <w:r w:rsidR="00BD20C1" w:rsidRPr="001A28D2">
        <w:rPr>
          <w:rFonts w:eastAsiaTheme="minorHAnsi"/>
          <w:lang w:eastAsia="en-US"/>
        </w:rPr>
        <w:t> </w:t>
      </w:r>
      <w:r w:rsidRPr="001A28D2">
        <w:rPr>
          <w:rFonts w:eastAsiaTheme="minorHAnsi"/>
          <w:lang w:eastAsia="en-US"/>
        </w:rPr>
        <w:t>г. и съпоставянето на данните по уточнен план. МФ е уведомявало</w:t>
      </w:r>
      <w:r w:rsidRPr="001A28D2">
        <w:rPr>
          <w:rFonts w:eastAsiaTheme="minorHAnsi"/>
          <w:vertAlign w:val="superscript"/>
          <w:lang w:eastAsia="en-US"/>
        </w:rPr>
        <w:footnoteReference w:id="135"/>
      </w:r>
      <w:r w:rsidRPr="001A28D2">
        <w:rPr>
          <w:rFonts w:eastAsiaTheme="minorHAnsi"/>
          <w:lang w:eastAsia="en-US"/>
        </w:rPr>
        <w:t xml:space="preserve"> съответните ПРБ, надхвърлили 50 на сто от утвърдените по уточнен план към 30.06.2016</w:t>
      </w:r>
      <w:r w:rsidR="00BD20C1" w:rsidRPr="001A28D2">
        <w:rPr>
          <w:rFonts w:eastAsiaTheme="minorHAnsi"/>
          <w:lang w:eastAsia="en-US"/>
        </w:rPr>
        <w:t> </w:t>
      </w:r>
      <w:r w:rsidRPr="001A28D2">
        <w:rPr>
          <w:rFonts w:eastAsiaTheme="minorHAnsi"/>
          <w:lang w:eastAsia="en-US"/>
        </w:rPr>
        <w:t>г. годишни размери на ангажиментите и новите задължения за разходи.</w:t>
      </w:r>
      <w:r w:rsidRPr="001A28D2">
        <w:rPr>
          <w:rFonts w:eastAsiaTheme="minorHAnsi"/>
          <w:vertAlign w:val="superscript"/>
          <w:lang w:eastAsia="en-US"/>
        </w:rPr>
        <w:footnoteReference w:id="136"/>
      </w:r>
      <w:r w:rsidRPr="001A28D2">
        <w:rPr>
          <w:rFonts w:eastAsiaTheme="minorHAnsi"/>
          <w:lang w:eastAsia="en-US"/>
        </w:rPr>
        <w:t xml:space="preserve"> За превишени с 50 на сто ангажименти за разходи, които могат да бъдат поети през 2016 г. са предупредени 1</w:t>
      </w:r>
      <w:r w:rsidR="00751653" w:rsidRPr="001A28D2">
        <w:rPr>
          <w:rFonts w:eastAsiaTheme="minorHAnsi"/>
          <w:lang w:eastAsia="en-US"/>
        </w:rPr>
        <w:t>1</w:t>
      </w:r>
      <w:r w:rsidRPr="001A28D2">
        <w:rPr>
          <w:rFonts w:eastAsiaTheme="minorHAnsi"/>
          <w:lang w:eastAsia="en-US"/>
        </w:rPr>
        <w:t xml:space="preserve"> ПРБ, а за превишени нови задължения за разходи, които могат да бъдат натрупани през 2016</w:t>
      </w:r>
      <w:r w:rsidR="00A83304" w:rsidRPr="001A28D2">
        <w:rPr>
          <w:rFonts w:eastAsiaTheme="minorHAnsi"/>
          <w:lang w:eastAsia="en-US"/>
        </w:rPr>
        <w:t> </w:t>
      </w:r>
      <w:r w:rsidRPr="001A28D2">
        <w:rPr>
          <w:rFonts w:eastAsiaTheme="minorHAnsi"/>
          <w:lang w:eastAsia="en-US"/>
        </w:rPr>
        <w:t xml:space="preserve">г. – 6 ПРБ. При 5 ПРБ са установени превишения и по двата показателя. Направена е </w:t>
      </w:r>
      <w:r w:rsidRPr="001A28D2">
        <w:rPr>
          <w:rFonts w:eastAsiaTheme="minorHAnsi"/>
          <w:lang w:eastAsia="en-US"/>
        </w:rPr>
        <w:lastRenderedPageBreak/>
        <w:t>препоръка за анализиране на отчетите и предприемане на действия за предотвратяването нарушаването на финансовата дисциплина, в случай, че са налице рискове за надхвърляне на годишните размери. Въз основа на отчетната информация към 30.09.2016</w:t>
      </w:r>
      <w:r w:rsidR="00A83304" w:rsidRPr="001A28D2">
        <w:rPr>
          <w:rFonts w:eastAsiaTheme="minorHAnsi"/>
          <w:lang w:eastAsia="en-US"/>
        </w:rPr>
        <w:t> </w:t>
      </w:r>
      <w:r w:rsidRPr="001A28D2">
        <w:rPr>
          <w:rFonts w:eastAsiaTheme="minorHAnsi"/>
          <w:lang w:eastAsia="en-US"/>
        </w:rPr>
        <w:t>г. са уведомявани ПРБ, надхвърлили 75 на сто от утвърдените</w:t>
      </w:r>
      <w:r w:rsidR="00BB289C" w:rsidRPr="001A28D2">
        <w:rPr>
          <w:rFonts w:eastAsiaTheme="minorHAnsi"/>
          <w:lang w:eastAsia="en-US"/>
        </w:rPr>
        <w:t xml:space="preserve"> по уточнен план към 30.09.2016 </w:t>
      </w:r>
      <w:r w:rsidRPr="001A28D2">
        <w:rPr>
          <w:rFonts w:eastAsiaTheme="minorHAnsi"/>
          <w:lang w:eastAsia="en-US"/>
        </w:rPr>
        <w:t xml:space="preserve">г. Изпратени са </w:t>
      </w:r>
      <w:proofErr w:type="spellStart"/>
      <w:r w:rsidRPr="001A28D2">
        <w:rPr>
          <w:rFonts w:eastAsiaTheme="minorHAnsi"/>
          <w:lang w:eastAsia="en-US"/>
        </w:rPr>
        <w:t>напомнителни</w:t>
      </w:r>
      <w:proofErr w:type="spellEnd"/>
      <w:r w:rsidRPr="001A28D2">
        <w:rPr>
          <w:rFonts w:eastAsiaTheme="minorHAnsi"/>
          <w:lang w:eastAsia="en-US"/>
        </w:rPr>
        <w:t xml:space="preserve"> писма на 7 ПРБ за извършените превишения.</w:t>
      </w:r>
      <w:r w:rsidRPr="001A28D2">
        <w:rPr>
          <w:rFonts w:eastAsiaTheme="minorHAnsi"/>
          <w:vertAlign w:val="superscript"/>
          <w:lang w:eastAsia="en-US"/>
        </w:rPr>
        <w:footnoteReference w:id="137"/>
      </w:r>
    </w:p>
    <w:p w14:paraId="04C04748" w14:textId="601A3619" w:rsidR="00866261" w:rsidRPr="001A28D2" w:rsidRDefault="00866261" w:rsidP="007E77CC">
      <w:pPr>
        <w:ind w:left="34" w:firstLine="709"/>
        <w:jc w:val="both"/>
        <w:textAlignment w:val="center"/>
        <w:rPr>
          <w:rFonts w:eastAsiaTheme="minorHAnsi"/>
          <w:lang w:eastAsia="en-US"/>
        </w:rPr>
      </w:pPr>
      <w:r w:rsidRPr="001A28D2">
        <w:rPr>
          <w:rFonts w:eastAsiaTheme="minorHAnsi"/>
          <w:lang w:eastAsia="en-US"/>
        </w:rPr>
        <w:t>Към 31.12.2016</w:t>
      </w:r>
      <w:r w:rsidR="00A83304" w:rsidRPr="001A28D2">
        <w:rPr>
          <w:rFonts w:eastAsiaTheme="minorHAnsi"/>
          <w:lang w:eastAsia="en-US"/>
        </w:rPr>
        <w:t> </w:t>
      </w:r>
      <w:r w:rsidRPr="001A28D2">
        <w:rPr>
          <w:rFonts w:eastAsiaTheme="minorHAnsi"/>
          <w:lang w:eastAsia="en-US"/>
        </w:rPr>
        <w:t>г. са отчетени превишения на определените максимални размери на ангажиментите за разходи, които могат да бъдат поети през 2016</w:t>
      </w:r>
      <w:r w:rsidR="00A83304" w:rsidRPr="001A28D2">
        <w:rPr>
          <w:rFonts w:eastAsiaTheme="minorHAnsi"/>
          <w:lang w:eastAsia="en-US"/>
        </w:rPr>
        <w:t> </w:t>
      </w:r>
      <w:r w:rsidRPr="001A28D2">
        <w:rPr>
          <w:rFonts w:eastAsiaTheme="minorHAnsi"/>
          <w:lang w:eastAsia="en-US"/>
        </w:rPr>
        <w:t>г., по уточнен план към 31.12.2016</w:t>
      </w:r>
      <w:r w:rsidR="00A83304" w:rsidRPr="001A28D2">
        <w:rPr>
          <w:rFonts w:eastAsiaTheme="minorHAnsi"/>
          <w:lang w:eastAsia="en-US"/>
        </w:rPr>
        <w:t> </w:t>
      </w:r>
      <w:r w:rsidRPr="001A28D2">
        <w:rPr>
          <w:rFonts w:eastAsiaTheme="minorHAnsi"/>
          <w:lang w:eastAsia="en-US"/>
        </w:rPr>
        <w:t>г., от 3 ПРБ в общ размер на 26 435</w:t>
      </w:r>
      <w:r w:rsidR="00A83304" w:rsidRPr="001A28D2">
        <w:rPr>
          <w:rFonts w:eastAsiaTheme="minorHAnsi"/>
          <w:lang w:eastAsia="en-US"/>
        </w:rPr>
        <w:t> </w:t>
      </w:r>
      <w:r w:rsidRPr="001A28D2">
        <w:rPr>
          <w:rFonts w:eastAsiaTheme="minorHAnsi"/>
          <w:lang w:eastAsia="en-US"/>
        </w:rPr>
        <w:t>650</w:t>
      </w:r>
      <w:r w:rsidR="00A83304" w:rsidRPr="001A28D2">
        <w:rPr>
          <w:rFonts w:eastAsiaTheme="minorHAnsi"/>
          <w:lang w:eastAsia="en-US"/>
        </w:rPr>
        <w:t> </w:t>
      </w:r>
      <w:r w:rsidRPr="001A28D2">
        <w:rPr>
          <w:rFonts w:eastAsiaTheme="minorHAnsi"/>
          <w:lang w:eastAsia="en-US"/>
        </w:rPr>
        <w:t>лв.</w:t>
      </w:r>
    </w:p>
    <w:p w14:paraId="5F7B5418" w14:textId="5AE1E101" w:rsidR="00866261" w:rsidRPr="001A28D2" w:rsidRDefault="00866261" w:rsidP="007E77CC">
      <w:pPr>
        <w:ind w:left="34" w:firstLine="709"/>
        <w:jc w:val="both"/>
        <w:textAlignment w:val="center"/>
        <w:rPr>
          <w:rFonts w:eastAsiaTheme="minorHAnsi"/>
          <w:lang w:eastAsia="en-US"/>
        </w:rPr>
      </w:pPr>
      <w:r w:rsidRPr="001A28D2">
        <w:rPr>
          <w:rFonts w:eastAsiaTheme="minorHAnsi"/>
          <w:lang w:eastAsia="en-US"/>
        </w:rPr>
        <w:t>Отчетени са превишения на определените максимални размери на новите задължения за разходи, които могат да бъдат натрупани през 2016</w:t>
      </w:r>
      <w:r w:rsidR="00CE09A2" w:rsidRPr="001A28D2">
        <w:rPr>
          <w:rFonts w:eastAsiaTheme="minorHAnsi"/>
          <w:lang w:eastAsia="en-US"/>
        </w:rPr>
        <w:t> </w:t>
      </w:r>
      <w:r w:rsidRPr="001A28D2">
        <w:rPr>
          <w:rFonts w:eastAsiaTheme="minorHAnsi"/>
          <w:lang w:eastAsia="en-US"/>
        </w:rPr>
        <w:t>г., по уточнен план към 31.12.2016</w:t>
      </w:r>
      <w:r w:rsidR="00CE09A2" w:rsidRPr="001A28D2">
        <w:rPr>
          <w:rFonts w:eastAsiaTheme="minorHAnsi"/>
          <w:lang w:eastAsia="en-US"/>
        </w:rPr>
        <w:t> </w:t>
      </w:r>
      <w:r w:rsidRPr="001A28D2">
        <w:rPr>
          <w:rFonts w:eastAsiaTheme="minorHAnsi"/>
          <w:lang w:eastAsia="en-US"/>
        </w:rPr>
        <w:t>г., от 2 ПРБ в общ размер на 5 667</w:t>
      </w:r>
      <w:r w:rsidR="00A83304" w:rsidRPr="001A28D2">
        <w:rPr>
          <w:rFonts w:eastAsiaTheme="minorHAnsi"/>
          <w:lang w:eastAsia="en-US"/>
        </w:rPr>
        <w:t> </w:t>
      </w:r>
      <w:r w:rsidRPr="001A28D2">
        <w:rPr>
          <w:rFonts w:eastAsiaTheme="minorHAnsi"/>
          <w:lang w:eastAsia="en-US"/>
        </w:rPr>
        <w:t>725</w:t>
      </w:r>
      <w:r w:rsidR="00A83304" w:rsidRPr="001A28D2">
        <w:rPr>
          <w:rFonts w:eastAsiaTheme="minorHAnsi"/>
          <w:lang w:eastAsia="en-US"/>
        </w:rPr>
        <w:t> </w:t>
      </w:r>
      <w:r w:rsidRPr="001A28D2">
        <w:rPr>
          <w:rFonts w:eastAsiaTheme="minorHAnsi"/>
          <w:lang w:eastAsia="en-US"/>
        </w:rPr>
        <w:t>лв.</w:t>
      </w:r>
      <w:r w:rsidRPr="001A28D2">
        <w:rPr>
          <w:rFonts w:eastAsiaTheme="minorHAnsi"/>
          <w:vertAlign w:val="superscript"/>
          <w:lang w:eastAsia="en-US"/>
        </w:rPr>
        <w:footnoteReference w:id="138"/>
      </w:r>
    </w:p>
    <w:p w14:paraId="19560CBD" w14:textId="77777777" w:rsidR="00866261" w:rsidRPr="001A28D2" w:rsidRDefault="00866261" w:rsidP="007E77CC">
      <w:pPr>
        <w:widowControl w:val="0"/>
        <w:autoSpaceDE w:val="0"/>
        <w:autoSpaceDN w:val="0"/>
        <w:adjustRightInd w:val="0"/>
        <w:ind w:firstLine="709"/>
        <w:contextualSpacing/>
        <w:jc w:val="both"/>
      </w:pPr>
    </w:p>
    <w:p w14:paraId="15337758" w14:textId="77777777" w:rsidR="00C5516F" w:rsidRPr="001A28D2" w:rsidRDefault="00C5516F" w:rsidP="007E77CC">
      <w:pPr>
        <w:widowControl w:val="0"/>
        <w:autoSpaceDE w:val="0"/>
        <w:autoSpaceDN w:val="0"/>
        <w:adjustRightInd w:val="0"/>
        <w:ind w:firstLine="709"/>
        <w:contextualSpacing/>
        <w:jc w:val="both"/>
        <w:rPr>
          <w:i/>
        </w:rPr>
      </w:pPr>
      <w:r w:rsidRPr="001A28D2">
        <w:rPr>
          <w:i/>
        </w:rPr>
        <w:t xml:space="preserve">Изпълнени са разпоредбите на чл. 88 от ЗПФ с изключение на </w:t>
      </w:r>
      <w:r w:rsidR="00751653" w:rsidRPr="001A28D2">
        <w:rPr>
          <w:i/>
        </w:rPr>
        <w:t>4</w:t>
      </w:r>
      <w:r w:rsidRPr="001A28D2">
        <w:rPr>
          <w:i/>
        </w:rPr>
        <w:t xml:space="preserve"> ПРБ, от които е извършено </w:t>
      </w:r>
      <w:proofErr w:type="spellStart"/>
      <w:r w:rsidRPr="001A28D2">
        <w:rPr>
          <w:i/>
        </w:rPr>
        <w:t>превишение</w:t>
      </w:r>
      <w:proofErr w:type="spellEnd"/>
      <w:r w:rsidRPr="001A28D2">
        <w:rPr>
          <w:i/>
        </w:rPr>
        <w:t>.</w:t>
      </w:r>
    </w:p>
    <w:p w14:paraId="727625C9" w14:textId="77777777" w:rsidR="00DC1231" w:rsidRPr="001A28D2" w:rsidRDefault="00DC1231" w:rsidP="007E77CC">
      <w:pPr>
        <w:widowControl w:val="0"/>
        <w:autoSpaceDE w:val="0"/>
        <w:autoSpaceDN w:val="0"/>
        <w:adjustRightInd w:val="0"/>
        <w:ind w:firstLine="709"/>
        <w:contextualSpacing/>
        <w:jc w:val="both"/>
      </w:pPr>
    </w:p>
    <w:p w14:paraId="3994806A" w14:textId="77777777" w:rsidR="009F23F9" w:rsidRPr="001A28D2" w:rsidRDefault="00CC7B5A" w:rsidP="00A83304">
      <w:pPr>
        <w:widowControl w:val="0"/>
        <w:tabs>
          <w:tab w:val="left" w:pos="0"/>
          <w:tab w:val="left" w:pos="1701"/>
        </w:tabs>
        <w:autoSpaceDE w:val="0"/>
        <w:autoSpaceDN w:val="0"/>
        <w:adjustRightInd w:val="0"/>
        <w:spacing w:after="200" w:line="276" w:lineRule="auto"/>
        <w:ind w:firstLine="709"/>
        <w:contextualSpacing/>
        <w:jc w:val="both"/>
        <w:rPr>
          <w:b/>
        </w:rPr>
      </w:pPr>
      <w:r w:rsidRPr="001A28D2">
        <w:rPr>
          <w:b/>
        </w:rPr>
        <w:t xml:space="preserve">5.6. </w:t>
      </w:r>
      <w:r w:rsidR="009F23F9" w:rsidRPr="001A28D2">
        <w:rPr>
          <w:b/>
        </w:rPr>
        <w:t xml:space="preserve">Изисквания по ЗПФ относно </w:t>
      </w:r>
      <w:r w:rsidR="009F23F9" w:rsidRPr="001A28D2">
        <w:rPr>
          <w:b/>
          <w:color w:val="000000"/>
        </w:rPr>
        <w:t>изпълнение на бюджетите</w:t>
      </w:r>
    </w:p>
    <w:p w14:paraId="110F27AB" w14:textId="77777777" w:rsidR="009F23F9" w:rsidRPr="001A28D2" w:rsidRDefault="00CC7B5A" w:rsidP="00CC7B5A">
      <w:pPr>
        <w:widowControl w:val="0"/>
        <w:tabs>
          <w:tab w:val="left" w:pos="1418"/>
        </w:tabs>
        <w:autoSpaceDE w:val="0"/>
        <w:autoSpaceDN w:val="0"/>
        <w:adjustRightInd w:val="0"/>
        <w:ind w:firstLine="709"/>
        <w:contextualSpacing/>
        <w:jc w:val="both"/>
        <w:textAlignment w:val="center"/>
        <w:rPr>
          <w:color w:val="000000"/>
        </w:rPr>
      </w:pPr>
      <w:r w:rsidRPr="001A28D2">
        <w:rPr>
          <w:color w:val="000000"/>
        </w:rPr>
        <w:t xml:space="preserve">5.6.1. </w:t>
      </w:r>
      <w:r w:rsidR="009F23F9" w:rsidRPr="001A28D2">
        <w:rPr>
          <w:color w:val="000000"/>
        </w:rPr>
        <w:t xml:space="preserve">Първостепенните разпоредители с бюджет не могат да извършват разходи и да поемат задължения за разходи за текущата година, надхвърлящи общия размер на утвърдените разходи и задължения за разходи по бюджетите им. Наложените санкции и неустойки, както и неправомерно усвоеното безвъзмездно финансиране са за сметка на утвърдения бюджет на </w:t>
      </w:r>
      <w:r w:rsidR="00E20343" w:rsidRPr="001A28D2">
        <w:rPr>
          <w:color w:val="000000"/>
        </w:rPr>
        <w:t>ПРБ</w:t>
      </w:r>
      <w:r w:rsidR="009F23F9" w:rsidRPr="001A28D2">
        <w:rPr>
          <w:color w:val="000000"/>
        </w:rPr>
        <w:t>, доколкото със закон не е определено друго.</w:t>
      </w:r>
      <w:r w:rsidR="009F23F9" w:rsidRPr="001A28D2">
        <w:rPr>
          <w:color w:val="000000"/>
          <w:vertAlign w:val="superscript"/>
        </w:rPr>
        <w:footnoteReference w:id="139"/>
      </w:r>
    </w:p>
    <w:p w14:paraId="0D7197B4" w14:textId="2436186C" w:rsidR="00BB7564" w:rsidRPr="001A28D2" w:rsidRDefault="00C47FC5" w:rsidP="007E77CC">
      <w:pPr>
        <w:tabs>
          <w:tab w:val="left" w:pos="1701"/>
        </w:tabs>
        <w:ind w:firstLine="709"/>
        <w:jc w:val="both"/>
        <w:rPr>
          <w:rFonts w:eastAsiaTheme="minorHAnsi"/>
          <w:lang w:eastAsia="en-US"/>
        </w:rPr>
      </w:pPr>
      <w:r w:rsidRPr="001A28D2">
        <w:rPr>
          <w:rFonts w:eastAsiaTheme="minorHAnsi"/>
          <w:lang w:eastAsia="en-US"/>
        </w:rPr>
        <w:t>Утвърдените със ЗДБРБ за 2016</w:t>
      </w:r>
      <w:r w:rsidR="00FF26E8" w:rsidRPr="001A28D2">
        <w:rPr>
          <w:rFonts w:eastAsiaTheme="minorHAnsi"/>
          <w:lang w:eastAsia="en-US"/>
        </w:rPr>
        <w:t> </w:t>
      </w:r>
      <w:r w:rsidRPr="001A28D2">
        <w:rPr>
          <w:rFonts w:eastAsiaTheme="minorHAnsi"/>
          <w:lang w:eastAsia="en-US"/>
        </w:rPr>
        <w:t>г. разходи на ПРБ, с изключение на Министерски съвет</w:t>
      </w:r>
      <w:r w:rsidR="00C8736E" w:rsidRPr="001A28D2">
        <w:rPr>
          <w:rFonts w:eastAsiaTheme="minorHAnsi"/>
          <w:lang w:eastAsia="en-US"/>
        </w:rPr>
        <w:t>,</w:t>
      </w:r>
      <w:r w:rsidR="00C8736E" w:rsidRPr="001A28D2">
        <w:rPr>
          <w:rStyle w:val="FootnoteReference"/>
          <w:rFonts w:eastAsiaTheme="minorHAnsi"/>
          <w:lang w:eastAsia="en-US"/>
        </w:rPr>
        <w:footnoteReference w:id="140"/>
      </w:r>
      <w:r w:rsidRPr="001A28D2">
        <w:rPr>
          <w:rFonts w:eastAsiaTheme="minorHAnsi"/>
          <w:lang w:eastAsia="en-US"/>
        </w:rPr>
        <w:t xml:space="preserve"> са съобразени със заложените в Средносрочната бюджетна прогноза тавани на разходите за 2016</w:t>
      </w:r>
      <w:r w:rsidR="00C8736E" w:rsidRPr="001A28D2">
        <w:rPr>
          <w:rFonts w:eastAsiaTheme="minorHAnsi"/>
          <w:lang w:eastAsia="en-US"/>
        </w:rPr>
        <w:t> </w:t>
      </w:r>
      <w:r w:rsidRPr="001A28D2">
        <w:rPr>
          <w:rFonts w:eastAsiaTheme="minorHAnsi"/>
          <w:lang w:eastAsia="en-US"/>
        </w:rPr>
        <w:t xml:space="preserve">г. на ПРБ по ДБ и препоръчителните тавани на разходите на НС и ВСС. Промени по показателя </w:t>
      </w:r>
      <w:r w:rsidR="00882469" w:rsidRPr="001A28D2">
        <w:rPr>
          <w:rFonts w:eastAsiaTheme="minorHAnsi"/>
          <w:lang w:eastAsia="en-US"/>
        </w:rPr>
        <w:t>„</w:t>
      </w:r>
      <w:r w:rsidRPr="001A28D2">
        <w:rPr>
          <w:rFonts w:eastAsiaTheme="minorHAnsi"/>
          <w:lang w:eastAsia="en-US"/>
        </w:rPr>
        <w:t>Разходи</w:t>
      </w:r>
      <w:r w:rsidR="00882469" w:rsidRPr="001A28D2">
        <w:rPr>
          <w:rFonts w:eastAsiaTheme="minorHAnsi"/>
          <w:lang w:eastAsia="en-US"/>
        </w:rPr>
        <w:t>“</w:t>
      </w:r>
      <w:r w:rsidRPr="001A28D2">
        <w:rPr>
          <w:rFonts w:eastAsiaTheme="minorHAnsi"/>
          <w:lang w:eastAsia="en-US"/>
        </w:rPr>
        <w:t xml:space="preserve"> по бюджетите на ПРБ по ДБ през 2016</w:t>
      </w:r>
      <w:r w:rsidR="00FF26E8" w:rsidRPr="001A28D2">
        <w:rPr>
          <w:rFonts w:eastAsiaTheme="minorHAnsi"/>
          <w:lang w:eastAsia="en-US"/>
        </w:rPr>
        <w:t> </w:t>
      </w:r>
      <w:r w:rsidRPr="001A28D2">
        <w:rPr>
          <w:rFonts w:eastAsiaTheme="minorHAnsi"/>
          <w:lang w:eastAsia="en-US"/>
        </w:rPr>
        <w:t>г. са извършени при 37 ПРБ, както и по бюд</w:t>
      </w:r>
      <w:r w:rsidR="00525A68" w:rsidRPr="001A28D2">
        <w:rPr>
          <w:rFonts w:eastAsiaTheme="minorHAnsi"/>
          <w:lang w:eastAsia="en-US"/>
        </w:rPr>
        <w:t>жетите на Народното събрание и С</w:t>
      </w:r>
      <w:r w:rsidRPr="001A28D2">
        <w:rPr>
          <w:rFonts w:eastAsiaTheme="minorHAnsi"/>
          <w:lang w:eastAsia="en-US"/>
        </w:rPr>
        <w:t>ъдебната власт. Размерът на отчетените разходи от всички разпоредители за 2016</w:t>
      </w:r>
      <w:r w:rsidR="00C8736E" w:rsidRPr="001A28D2">
        <w:rPr>
          <w:rFonts w:eastAsiaTheme="minorHAnsi"/>
          <w:lang w:eastAsia="en-US"/>
        </w:rPr>
        <w:t> </w:t>
      </w:r>
      <w:r w:rsidRPr="001A28D2">
        <w:rPr>
          <w:rFonts w:eastAsiaTheme="minorHAnsi"/>
          <w:lang w:eastAsia="en-US"/>
        </w:rPr>
        <w:t xml:space="preserve">г. са в рамките на </w:t>
      </w:r>
      <w:r w:rsidR="00E00EA9" w:rsidRPr="001A28D2">
        <w:rPr>
          <w:rFonts w:eastAsiaTheme="minorHAnsi"/>
          <w:lang w:eastAsia="en-US"/>
        </w:rPr>
        <w:t>уточнения план</w:t>
      </w:r>
      <w:r w:rsidRPr="001A28D2">
        <w:rPr>
          <w:rFonts w:eastAsiaTheme="minorHAnsi"/>
          <w:lang w:eastAsia="en-US"/>
        </w:rPr>
        <w:t>.</w:t>
      </w:r>
    </w:p>
    <w:p w14:paraId="59D579EE" w14:textId="77777777" w:rsidR="0070603B" w:rsidRPr="001A28D2" w:rsidRDefault="0070603B" w:rsidP="007E77CC">
      <w:pPr>
        <w:ind w:firstLine="709"/>
        <w:jc w:val="both"/>
        <w:rPr>
          <w:rFonts w:eastAsiaTheme="minorHAnsi"/>
          <w:lang w:eastAsia="en-US"/>
        </w:rPr>
      </w:pPr>
    </w:p>
    <w:p w14:paraId="68060D4B" w14:textId="77777777" w:rsidR="00CC35D8" w:rsidRPr="001A28D2" w:rsidRDefault="00B33DDE" w:rsidP="007E77CC">
      <w:pPr>
        <w:kinsoku w:val="0"/>
        <w:overflowPunct w:val="0"/>
        <w:autoSpaceDE w:val="0"/>
        <w:autoSpaceDN w:val="0"/>
        <w:adjustRightInd w:val="0"/>
        <w:ind w:firstLine="709"/>
        <w:jc w:val="both"/>
        <w:rPr>
          <w:rFonts w:eastAsiaTheme="minorHAnsi"/>
          <w:lang w:eastAsia="en-US"/>
        </w:rPr>
      </w:pPr>
      <w:r w:rsidRPr="001A28D2">
        <w:rPr>
          <w:rFonts w:eastAsiaTheme="minorHAnsi"/>
          <w:lang w:eastAsia="en-US"/>
        </w:rPr>
        <w:t>5.</w:t>
      </w:r>
      <w:r w:rsidR="00CC7B5A" w:rsidRPr="001A28D2">
        <w:rPr>
          <w:rFonts w:eastAsiaTheme="minorHAnsi"/>
          <w:lang w:eastAsia="en-US"/>
        </w:rPr>
        <w:t>6</w:t>
      </w:r>
      <w:r w:rsidRPr="001A28D2">
        <w:rPr>
          <w:rFonts w:eastAsiaTheme="minorHAnsi"/>
          <w:lang w:eastAsia="en-US"/>
        </w:rPr>
        <w:t>.2.</w:t>
      </w:r>
      <w:r w:rsidR="002E3826" w:rsidRPr="001A28D2">
        <w:rPr>
          <w:rFonts w:eastAsiaTheme="minorHAnsi"/>
          <w:lang w:eastAsia="en-US"/>
        </w:rPr>
        <w:t xml:space="preserve"> </w:t>
      </w:r>
      <w:r w:rsidR="004F07B8" w:rsidRPr="001A28D2">
        <w:rPr>
          <w:rFonts w:eastAsiaTheme="minorHAnsi"/>
          <w:lang w:eastAsia="en-US"/>
        </w:rPr>
        <w:t xml:space="preserve">Министерският съвет може да одобрява </w:t>
      </w:r>
      <w:proofErr w:type="spellStart"/>
      <w:r w:rsidR="004F07B8" w:rsidRPr="001A28D2">
        <w:rPr>
          <w:rFonts w:eastAsiaTheme="minorHAnsi"/>
          <w:lang w:eastAsia="en-US"/>
        </w:rPr>
        <w:t>вътрешнокомпенсирани</w:t>
      </w:r>
      <w:proofErr w:type="spellEnd"/>
      <w:r w:rsidR="004F07B8" w:rsidRPr="001A28D2">
        <w:rPr>
          <w:rFonts w:eastAsiaTheme="minorHAnsi"/>
          <w:lang w:eastAsia="en-US"/>
        </w:rPr>
        <w:t xml:space="preserve"> промени на утвърдените разходи по области на политики по бюджетите на ПРБ по ДБ по тяхно предложение, съгласувано с министъра на финансите. Министърът на финансите може да извършва промени по бюджетите на ПРБ по ДБ за сметка на помощи и дарения и на приходи от застрахователни обезщетения, като ПРБ извършва съответните промени по бюджета си, включително по бюджетите на </w:t>
      </w:r>
      <w:r w:rsidRPr="001A28D2">
        <w:rPr>
          <w:rFonts w:eastAsiaTheme="minorHAnsi"/>
          <w:lang w:eastAsia="en-US"/>
        </w:rPr>
        <w:t>второстепенните разпоредители с бюджет</w:t>
      </w:r>
      <w:r w:rsidR="004F07B8" w:rsidRPr="001A28D2">
        <w:rPr>
          <w:rFonts w:eastAsiaTheme="minorHAnsi"/>
          <w:lang w:eastAsia="en-US"/>
        </w:rPr>
        <w:t>, в рамките на промените, одобрени от МС и министъра на финансите.</w:t>
      </w:r>
      <w:r w:rsidR="003A44D0" w:rsidRPr="001A28D2">
        <w:rPr>
          <w:rStyle w:val="FootnoteReference"/>
          <w:rFonts w:eastAsiaTheme="minorHAnsi"/>
          <w:lang w:eastAsia="en-US"/>
        </w:rPr>
        <w:footnoteReference w:id="141"/>
      </w:r>
    </w:p>
    <w:p w14:paraId="4B38F22D" w14:textId="77777777" w:rsidR="00CC35D8" w:rsidRPr="001A28D2" w:rsidRDefault="00CC35D8" w:rsidP="007E77CC">
      <w:pPr>
        <w:ind w:left="33" w:firstLine="709"/>
        <w:jc w:val="both"/>
        <w:textAlignment w:val="center"/>
        <w:rPr>
          <w:rFonts w:eastAsiaTheme="minorHAnsi"/>
          <w:lang w:eastAsia="en-US"/>
        </w:rPr>
      </w:pPr>
      <w:r w:rsidRPr="001A28D2">
        <w:rPr>
          <w:rFonts w:eastAsiaTheme="minorHAnsi"/>
          <w:lang w:eastAsia="en-US"/>
        </w:rPr>
        <w:t xml:space="preserve">Извършвани са </w:t>
      </w:r>
      <w:r w:rsidR="00B33DDE" w:rsidRPr="001A28D2">
        <w:rPr>
          <w:rFonts w:eastAsiaTheme="minorHAnsi"/>
          <w:lang w:eastAsia="en-US"/>
        </w:rPr>
        <w:t>промени</w:t>
      </w:r>
      <w:r w:rsidRPr="001A28D2">
        <w:rPr>
          <w:rFonts w:eastAsiaTheme="minorHAnsi"/>
          <w:lang w:eastAsia="en-US"/>
        </w:rPr>
        <w:t xml:space="preserve"> по бюджетите на ПРБ.</w:t>
      </w:r>
      <w:r w:rsidRPr="001A28D2">
        <w:rPr>
          <w:rFonts w:eastAsiaTheme="minorHAnsi"/>
          <w:vertAlign w:val="superscript"/>
          <w:lang w:eastAsia="en-US"/>
        </w:rPr>
        <w:footnoteReference w:id="142"/>
      </w:r>
      <w:r w:rsidRPr="001A28D2">
        <w:rPr>
          <w:rFonts w:eastAsiaTheme="minorHAnsi"/>
          <w:lang w:eastAsia="en-US"/>
        </w:rPr>
        <w:t xml:space="preserve"> По чл.</w:t>
      </w:r>
      <w:r w:rsidR="00D47908" w:rsidRPr="001A28D2">
        <w:rPr>
          <w:rFonts w:eastAsiaTheme="minorHAnsi"/>
          <w:lang w:eastAsia="en-US"/>
        </w:rPr>
        <w:t> </w:t>
      </w:r>
      <w:r w:rsidRPr="001A28D2">
        <w:rPr>
          <w:rFonts w:eastAsiaTheme="minorHAnsi"/>
          <w:lang w:eastAsia="en-US"/>
        </w:rPr>
        <w:t>109 от ЗПФ са одобрени от Министерския съвет 323</w:t>
      </w:r>
      <w:r w:rsidR="00D47908" w:rsidRPr="001A28D2">
        <w:rPr>
          <w:rFonts w:eastAsiaTheme="minorHAnsi"/>
          <w:lang w:eastAsia="en-US"/>
        </w:rPr>
        <w:t> </w:t>
      </w:r>
      <w:r w:rsidRPr="001A28D2">
        <w:rPr>
          <w:rFonts w:eastAsiaTheme="minorHAnsi"/>
          <w:lang w:eastAsia="en-US"/>
        </w:rPr>
        <w:t>бр. промени по бюджетите на ПРБ. По чл.</w:t>
      </w:r>
      <w:r w:rsidR="00D47908" w:rsidRPr="001A28D2">
        <w:rPr>
          <w:rFonts w:eastAsiaTheme="minorHAnsi"/>
          <w:lang w:eastAsia="en-US"/>
        </w:rPr>
        <w:t> </w:t>
      </w:r>
      <w:r w:rsidRPr="001A28D2">
        <w:rPr>
          <w:rFonts w:eastAsiaTheme="minorHAnsi"/>
          <w:lang w:eastAsia="en-US"/>
        </w:rPr>
        <w:t>110 от ЗПФ от МФ са одобрени 536</w:t>
      </w:r>
      <w:r w:rsidR="00D47908" w:rsidRPr="001A28D2">
        <w:rPr>
          <w:rFonts w:eastAsiaTheme="minorHAnsi"/>
          <w:lang w:eastAsia="en-US"/>
        </w:rPr>
        <w:t> </w:t>
      </w:r>
      <w:r w:rsidRPr="001A28D2">
        <w:rPr>
          <w:rFonts w:eastAsiaTheme="minorHAnsi"/>
          <w:lang w:eastAsia="en-US"/>
        </w:rPr>
        <w:t>бр. промени и са извършени 317</w:t>
      </w:r>
      <w:r w:rsidR="00D47908" w:rsidRPr="001A28D2">
        <w:rPr>
          <w:rFonts w:eastAsiaTheme="minorHAnsi"/>
          <w:lang w:eastAsia="en-US"/>
        </w:rPr>
        <w:t> </w:t>
      </w:r>
      <w:r w:rsidRPr="001A28D2">
        <w:rPr>
          <w:rFonts w:eastAsiaTheme="minorHAnsi"/>
          <w:lang w:eastAsia="en-US"/>
        </w:rPr>
        <w:t>промени по чл.</w:t>
      </w:r>
      <w:r w:rsidR="00D47908" w:rsidRPr="001A28D2">
        <w:rPr>
          <w:rFonts w:eastAsiaTheme="minorHAnsi"/>
          <w:lang w:eastAsia="en-US"/>
        </w:rPr>
        <w:t> </w:t>
      </w:r>
      <w:r w:rsidRPr="001A28D2">
        <w:rPr>
          <w:rFonts w:eastAsiaTheme="minorHAnsi"/>
          <w:lang w:eastAsia="en-US"/>
        </w:rPr>
        <w:t>112, ал.</w:t>
      </w:r>
      <w:r w:rsidR="00D47908" w:rsidRPr="001A28D2">
        <w:rPr>
          <w:rFonts w:eastAsiaTheme="minorHAnsi"/>
          <w:lang w:eastAsia="en-US"/>
        </w:rPr>
        <w:t> </w:t>
      </w:r>
      <w:r w:rsidRPr="001A28D2">
        <w:rPr>
          <w:rFonts w:eastAsiaTheme="minorHAnsi"/>
          <w:lang w:eastAsia="en-US"/>
        </w:rPr>
        <w:t>2 и ал.</w:t>
      </w:r>
      <w:r w:rsidR="00D47908" w:rsidRPr="001A28D2">
        <w:rPr>
          <w:rFonts w:eastAsiaTheme="minorHAnsi"/>
          <w:lang w:eastAsia="en-US"/>
        </w:rPr>
        <w:t> </w:t>
      </w:r>
      <w:r w:rsidRPr="001A28D2">
        <w:rPr>
          <w:rFonts w:eastAsiaTheme="minorHAnsi"/>
          <w:lang w:eastAsia="en-US"/>
        </w:rPr>
        <w:t>3 и по чл.</w:t>
      </w:r>
      <w:r w:rsidR="00D47908" w:rsidRPr="001A28D2">
        <w:rPr>
          <w:rFonts w:eastAsiaTheme="minorHAnsi"/>
          <w:lang w:eastAsia="en-US"/>
        </w:rPr>
        <w:t> </w:t>
      </w:r>
      <w:r w:rsidRPr="001A28D2">
        <w:rPr>
          <w:rFonts w:eastAsiaTheme="minorHAnsi"/>
          <w:lang w:eastAsia="en-US"/>
        </w:rPr>
        <w:t>113 до чл.</w:t>
      </w:r>
      <w:r w:rsidR="00D47908" w:rsidRPr="001A28D2">
        <w:rPr>
          <w:rFonts w:eastAsiaTheme="minorHAnsi"/>
          <w:lang w:eastAsia="en-US"/>
        </w:rPr>
        <w:t> </w:t>
      </w:r>
      <w:r w:rsidRPr="001A28D2">
        <w:rPr>
          <w:rFonts w:eastAsiaTheme="minorHAnsi"/>
          <w:lang w:eastAsia="en-US"/>
        </w:rPr>
        <w:t>117 от ЗПФ.</w:t>
      </w:r>
    </w:p>
    <w:p w14:paraId="62AF92D2" w14:textId="77777777" w:rsidR="00740559" w:rsidRPr="001A28D2" w:rsidRDefault="00740559" w:rsidP="007E77CC">
      <w:pPr>
        <w:ind w:left="33" w:firstLine="709"/>
        <w:jc w:val="both"/>
        <w:textAlignment w:val="center"/>
        <w:rPr>
          <w:rFonts w:eastAsiaTheme="minorHAnsi"/>
          <w:i/>
          <w:lang w:eastAsia="en-US"/>
        </w:rPr>
      </w:pPr>
    </w:p>
    <w:p w14:paraId="04A06067" w14:textId="77777777" w:rsidR="00CC35D8" w:rsidRPr="001A28D2" w:rsidRDefault="00CC35D8" w:rsidP="007E77CC">
      <w:pPr>
        <w:ind w:left="33" w:firstLine="709"/>
        <w:jc w:val="both"/>
        <w:textAlignment w:val="center"/>
        <w:rPr>
          <w:rFonts w:eastAsiaTheme="minorHAnsi"/>
          <w:i/>
          <w:lang w:eastAsia="en-US"/>
        </w:rPr>
      </w:pPr>
      <w:r w:rsidRPr="001A28D2">
        <w:rPr>
          <w:rFonts w:eastAsiaTheme="minorHAnsi"/>
          <w:i/>
          <w:lang w:eastAsia="en-US"/>
        </w:rPr>
        <w:t>Извършените промени са в съответствие с изискванията на чл.</w:t>
      </w:r>
      <w:r w:rsidR="00FF26E8" w:rsidRPr="001A28D2">
        <w:rPr>
          <w:rFonts w:eastAsiaTheme="minorHAnsi"/>
          <w:i/>
          <w:lang w:eastAsia="en-US"/>
        </w:rPr>
        <w:t> </w:t>
      </w:r>
      <w:r w:rsidRPr="001A28D2">
        <w:rPr>
          <w:rFonts w:eastAsiaTheme="minorHAnsi"/>
          <w:i/>
          <w:lang w:eastAsia="en-US"/>
        </w:rPr>
        <w:t>109, чл.</w:t>
      </w:r>
      <w:r w:rsidR="00FF26E8" w:rsidRPr="001A28D2">
        <w:rPr>
          <w:rFonts w:eastAsiaTheme="minorHAnsi"/>
          <w:i/>
          <w:lang w:eastAsia="en-US"/>
        </w:rPr>
        <w:t> </w:t>
      </w:r>
      <w:r w:rsidRPr="001A28D2">
        <w:rPr>
          <w:rFonts w:eastAsiaTheme="minorHAnsi"/>
          <w:i/>
          <w:lang w:eastAsia="en-US"/>
        </w:rPr>
        <w:t>110 и чл.</w:t>
      </w:r>
      <w:r w:rsidR="00D47908" w:rsidRPr="001A28D2">
        <w:rPr>
          <w:rFonts w:eastAsiaTheme="minorHAnsi"/>
          <w:i/>
          <w:lang w:eastAsia="en-US"/>
        </w:rPr>
        <w:t> </w:t>
      </w:r>
      <w:r w:rsidRPr="001A28D2">
        <w:rPr>
          <w:rFonts w:eastAsiaTheme="minorHAnsi"/>
          <w:i/>
          <w:lang w:eastAsia="en-US"/>
        </w:rPr>
        <w:t>112 от ЗПФ.</w:t>
      </w:r>
    </w:p>
    <w:p w14:paraId="083141B5" w14:textId="77777777" w:rsidR="0033797D" w:rsidRPr="001A28D2" w:rsidRDefault="0033797D" w:rsidP="007E77CC">
      <w:pPr>
        <w:ind w:left="33" w:firstLine="709"/>
        <w:jc w:val="both"/>
        <w:textAlignment w:val="center"/>
        <w:rPr>
          <w:rFonts w:eastAsiaTheme="minorHAnsi"/>
          <w:i/>
          <w:lang w:eastAsia="en-US"/>
        </w:rPr>
      </w:pPr>
    </w:p>
    <w:p w14:paraId="4B0DD38D" w14:textId="2E2ECDDE" w:rsidR="00BF1943" w:rsidRPr="001A28D2" w:rsidRDefault="00B33DDE" w:rsidP="007E77CC">
      <w:pPr>
        <w:ind w:left="34" w:firstLine="709"/>
        <w:jc w:val="both"/>
        <w:textAlignment w:val="center"/>
        <w:rPr>
          <w:rFonts w:eastAsiaTheme="minorHAnsi"/>
          <w:lang w:eastAsia="en-US"/>
        </w:rPr>
      </w:pPr>
      <w:r w:rsidRPr="001A28D2">
        <w:rPr>
          <w:rFonts w:eastAsiaTheme="minorHAnsi"/>
          <w:lang w:eastAsia="en-US"/>
        </w:rPr>
        <w:t>5.</w:t>
      </w:r>
      <w:r w:rsidR="00CC7B5A" w:rsidRPr="001A28D2">
        <w:rPr>
          <w:rFonts w:eastAsiaTheme="minorHAnsi"/>
          <w:lang w:eastAsia="en-US"/>
        </w:rPr>
        <w:t>6</w:t>
      </w:r>
      <w:r w:rsidRPr="001A28D2">
        <w:rPr>
          <w:rFonts w:eastAsiaTheme="minorHAnsi"/>
          <w:lang w:eastAsia="en-US"/>
        </w:rPr>
        <w:t>.3.</w:t>
      </w:r>
      <w:r w:rsidR="00D069BD" w:rsidRPr="001A28D2">
        <w:rPr>
          <w:rFonts w:eastAsiaTheme="minorHAnsi"/>
          <w:lang w:eastAsia="en-US"/>
        </w:rPr>
        <w:t xml:space="preserve"> </w:t>
      </w:r>
      <w:r w:rsidR="00BF1943" w:rsidRPr="001A28D2">
        <w:rPr>
          <w:rFonts w:eastAsiaTheme="minorHAnsi"/>
          <w:lang w:eastAsia="en-US"/>
        </w:rPr>
        <w:t>Съгласно изискванията на чл.</w:t>
      </w:r>
      <w:r w:rsidR="00D47908" w:rsidRPr="001A28D2">
        <w:rPr>
          <w:rFonts w:eastAsiaTheme="minorHAnsi"/>
          <w:lang w:eastAsia="en-US"/>
        </w:rPr>
        <w:t> </w:t>
      </w:r>
      <w:r w:rsidR="00BF1943" w:rsidRPr="001A28D2">
        <w:rPr>
          <w:rFonts w:eastAsiaTheme="minorHAnsi"/>
          <w:lang w:eastAsia="en-US"/>
        </w:rPr>
        <w:t>119</w:t>
      </w:r>
      <w:r w:rsidR="00F80829" w:rsidRPr="001A28D2">
        <w:rPr>
          <w:rFonts w:eastAsiaTheme="minorHAnsi"/>
          <w:lang w:eastAsia="en-US"/>
        </w:rPr>
        <w:t>, ал. 1</w:t>
      </w:r>
      <w:r w:rsidR="00BF1943" w:rsidRPr="001A28D2">
        <w:rPr>
          <w:rFonts w:eastAsiaTheme="minorHAnsi"/>
          <w:lang w:eastAsia="en-US"/>
        </w:rPr>
        <w:t xml:space="preserve"> на ЗПФ не се допуска извършването на разходи или поемането на задължения, които влошават салдото по консолидираната фискална програма, освен в случаите, когато по предложение на М</w:t>
      </w:r>
      <w:r w:rsidR="00B85A0F" w:rsidRPr="001A28D2">
        <w:rPr>
          <w:rFonts w:eastAsiaTheme="minorHAnsi"/>
          <w:lang w:eastAsia="en-US"/>
        </w:rPr>
        <w:t>С</w:t>
      </w:r>
      <w:r w:rsidR="00BF1943" w:rsidRPr="001A28D2">
        <w:rPr>
          <w:rFonts w:eastAsiaTheme="minorHAnsi"/>
          <w:lang w:eastAsia="en-US"/>
        </w:rPr>
        <w:t xml:space="preserve"> Народното събрание е приело съответни изменения и допълнения в закона за държавния бюджет и/или в закона за бюджета на държавното обществено осигуряване, и/или в закона за бюджета на Н</w:t>
      </w:r>
      <w:r w:rsidR="00B85A0F" w:rsidRPr="001A28D2">
        <w:rPr>
          <w:rFonts w:eastAsiaTheme="minorHAnsi"/>
          <w:lang w:eastAsia="en-US"/>
        </w:rPr>
        <w:t>ЗОК</w:t>
      </w:r>
      <w:r w:rsidR="00BF1943" w:rsidRPr="001A28D2">
        <w:rPr>
          <w:rFonts w:eastAsiaTheme="minorHAnsi"/>
          <w:lang w:eastAsia="en-US"/>
        </w:rPr>
        <w:t xml:space="preserve"> за съответната година.</w:t>
      </w:r>
      <w:r w:rsidR="00B85A0F" w:rsidRPr="001A28D2">
        <w:rPr>
          <w:rFonts w:eastAsiaTheme="minorHAnsi"/>
          <w:lang w:eastAsia="en-US"/>
        </w:rPr>
        <w:t xml:space="preserve"> </w:t>
      </w:r>
    </w:p>
    <w:p w14:paraId="6C79ABCD" w14:textId="4768D512" w:rsidR="00B85A0F" w:rsidRPr="001A28D2" w:rsidRDefault="00B85A0F" w:rsidP="00480E95">
      <w:pPr>
        <w:ind w:left="34" w:firstLine="709"/>
        <w:jc w:val="both"/>
        <w:textAlignment w:val="center"/>
      </w:pPr>
      <w:r w:rsidRPr="001A28D2">
        <w:t xml:space="preserve">Салдото по Консолидираната фискална програма </w:t>
      </w:r>
      <w:r w:rsidR="0091572A" w:rsidRPr="001A28D2">
        <w:t>през 2016</w:t>
      </w:r>
      <w:r w:rsidR="00FF26E8" w:rsidRPr="001A28D2">
        <w:t> </w:t>
      </w:r>
      <w:r w:rsidR="0091572A" w:rsidRPr="001A28D2">
        <w:t xml:space="preserve">г. </w:t>
      </w:r>
      <w:r w:rsidRPr="001A28D2">
        <w:t>е в размер на 1 46</w:t>
      </w:r>
      <w:r w:rsidR="00E651C2" w:rsidRPr="001A28D2">
        <w:t>8</w:t>
      </w:r>
      <w:r w:rsidRPr="001A28D2">
        <w:t> </w:t>
      </w:r>
      <w:r w:rsidR="00E651C2" w:rsidRPr="001A28D2">
        <w:t>081</w:t>
      </w:r>
      <w:r w:rsidRPr="001A28D2">
        <w:t>,</w:t>
      </w:r>
      <w:r w:rsidR="00E651C2" w:rsidRPr="001A28D2">
        <w:t>8</w:t>
      </w:r>
      <w:r w:rsidRPr="001A28D2">
        <w:t> хил. лв.</w:t>
      </w:r>
    </w:p>
    <w:p w14:paraId="12C0C0AD" w14:textId="77777777" w:rsidR="00B85A0F" w:rsidRPr="001A28D2" w:rsidRDefault="00B85A0F" w:rsidP="00480E95">
      <w:pPr>
        <w:ind w:left="34" w:firstLine="709"/>
        <w:jc w:val="both"/>
        <w:textAlignment w:val="center"/>
      </w:pPr>
    </w:p>
    <w:p w14:paraId="07AC613A" w14:textId="3809119C" w:rsidR="00B85A0F" w:rsidRPr="001A28D2" w:rsidRDefault="00B85A0F" w:rsidP="00480E95">
      <w:pPr>
        <w:ind w:left="34" w:firstLine="709"/>
        <w:jc w:val="both"/>
        <w:textAlignment w:val="center"/>
        <w:rPr>
          <w:rFonts w:eastAsiaTheme="minorHAnsi"/>
          <w:i/>
          <w:lang w:eastAsia="en-US"/>
        </w:rPr>
      </w:pPr>
      <w:r w:rsidRPr="001A28D2">
        <w:rPr>
          <w:i/>
        </w:rPr>
        <w:t>Не са възникнали обстоятелства, които да налагат прилагането на чл.</w:t>
      </w:r>
      <w:r w:rsidR="00FF26E8" w:rsidRPr="001A28D2">
        <w:rPr>
          <w:i/>
        </w:rPr>
        <w:t> </w:t>
      </w:r>
      <w:r w:rsidRPr="001A28D2">
        <w:rPr>
          <w:i/>
        </w:rPr>
        <w:t>119</w:t>
      </w:r>
      <w:r w:rsidR="00F80829" w:rsidRPr="001A28D2">
        <w:rPr>
          <w:i/>
        </w:rPr>
        <w:t>, ал. 1</w:t>
      </w:r>
      <w:r w:rsidRPr="001A28D2">
        <w:rPr>
          <w:i/>
        </w:rPr>
        <w:t xml:space="preserve"> от ЗПФ.</w:t>
      </w:r>
    </w:p>
    <w:p w14:paraId="7B1AA045" w14:textId="77777777" w:rsidR="00B85A0F" w:rsidRPr="001A28D2" w:rsidRDefault="00B85A0F" w:rsidP="00480E95">
      <w:pPr>
        <w:ind w:left="34" w:firstLine="709"/>
        <w:jc w:val="both"/>
        <w:textAlignment w:val="center"/>
        <w:rPr>
          <w:rFonts w:eastAsiaTheme="minorHAnsi"/>
          <w:lang w:eastAsia="en-US"/>
        </w:rPr>
      </w:pPr>
    </w:p>
    <w:p w14:paraId="47836BBB" w14:textId="77777777" w:rsidR="001C3D08" w:rsidRPr="001A28D2" w:rsidRDefault="00CC7B5A" w:rsidP="00CC7B5A">
      <w:pPr>
        <w:tabs>
          <w:tab w:val="left" w:pos="993"/>
        </w:tabs>
        <w:ind w:firstLine="709"/>
        <w:jc w:val="both"/>
        <w:textAlignment w:val="center"/>
        <w:rPr>
          <w:rFonts w:eastAsiaTheme="minorHAnsi"/>
          <w:b/>
          <w:lang w:eastAsia="en-US"/>
        </w:rPr>
      </w:pPr>
      <w:r w:rsidRPr="001A28D2">
        <w:rPr>
          <w:rFonts w:eastAsiaTheme="minorHAnsi"/>
          <w:b/>
          <w:lang w:eastAsia="en-US"/>
        </w:rPr>
        <w:t xml:space="preserve">6. </w:t>
      </w:r>
      <w:r w:rsidR="001C3D08" w:rsidRPr="001A28D2">
        <w:rPr>
          <w:rFonts w:eastAsiaTheme="minorHAnsi"/>
          <w:b/>
          <w:lang w:eastAsia="en-US"/>
        </w:rPr>
        <w:t>Общини с финансови затруднения</w:t>
      </w:r>
    </w:p>
    <w:p w14:paraId="17C8B7BB" w14:textId="1C8F0EDC" w:rsidR="001C3D08" w:rsidRPr="001A28D2" w:rsidRDefault="00D47908" w:rsidP="00480E95">
      <w:pPr>
        <w:widowControl w:val="0"/>
        <w:tabs>
          <w:tab w:val="left" w:pos="218"/>
          <w:tab w:val="left" w:pos="466"/>
        </w:tabs>
        <w:kinsoku w:val="0"/>
        <w:overflowPunct w:val="0"/>
        <w:autoSpaceDE w:val="0"/>
        <w:autoSpaceDN w:val="0"/>
        <w:adjustRightInd w:val="0"/>
        <w:ind w:right="119" w:firstLine="709"/>
        <w:contextualSpacing/>
        <w:jc w:val="both"/>
        <w:rPr>
          <w:rFonts w:eastAsiaTheme="minorHAnsi"/>
          <w:lang w:eastAsia="en-US"/>
        </w:rPr>
      </w:pPr>
      <w:r w:rsidRPr="001A28D2">
        <w:t>6.1.</w:t>
      </w:r>
      <w:r w:rsidR="00480E95" w:rsidRPr="001A28D2">
        <w:t xml:space="preserve"> </w:t>
      </w:r>
      <w:r w:rsidR="001C3D08" w:rsidRPr="001A28D2">
        <w:t>Общини с финансови затруднения са общини, за които са налице три или повече от условията, регламентирани в чл.</w:t>
      </w:r>
      <w:r w:rsidR="009C7951" w:rsidRPr="001A28D2">
        <w:t> </w:t>
      </w:r>
      <w:r w:rsidR="001C3D08" w:rsidRPr="001A28D2">
        <w:t>130а от ЗПФ. Министърът на финансите може да прецени да бъдат подпомагани с временен безлихвен заем по чл.</w:t>
      </w:r>
      <w:r w:rsidR="009C7951" w:rsidRPr="001A28D2">
        <w:t> 130ж, ал. </w:t>
      </w:r>
      <w:r w:rsidR="001C3D08" w:rsidRPr="001A28D2">
        <w:t xml:space="preserve">1 от ЗПФ общини с финансови затруднения. </w:t>
      </w:r>
      <w:r w:rsidR="001C3D08" w:rsidRPr="001A28D2">
        <w:rPr>
          <w:rFonts w:eastAsiaTheme="minorHAnsi"/>
          <w:lang w:eastAsia="en-US"/>
        </w:rPr>
        <w:t xml:space="preserve">За общини с финансови затруднения се открива процедура за финансово оздравяване с цел постигане на финансова устойчивост и стабилност на общинските финанси. </w:t>
      </w:r>
    </w:p>
    <w:p w14:paraId="0A3D4FC3" w14:textId="77777777" w:rsidR="001C3D08" w:rsidRPr="001A28D2" w:rsidRDefault="001C3D08" w:rsidP="007E77CC">
      <w:pPr>
        <w:ind w:firstLine="709"/>
        <w:jc w:val="both"/>
        <w:textAlignment w:val="center"/>
        <w:rPr>
          <w:rFonts w:eastAsiaTheme="minorHAnsi"/>
          <w:lang w:eastAsia="en-US"/>
        </w:rPr>
      </w:pPr>
      <w:r w:rsidRPr="001A28D2">
        <w:rPr>
          <w:rFonts w:eastAsiaTheme="minorHAnsi"/>
          <w:lang w:eastAsia="en-US"/>
        </w:rPr>
        <w:t>Общини</w:t>
      </w:r>
      <w:r w:rsidR="00094A42" w:rsidRPr="001A28D2">
        <w:rPr>
          <w:rFonts w:eastAsiaTheme="minorHAnsi"/>
          <w:lang w:eastAsia="en-US"/>
        </w:rPr>
        <w:t>те</w:t>
      </w:r>
      <w:r w:rsidRPr="001A28D2">
        <w:rPr>
          <w:rFonts w:eastAsiaTheme="minorHAnsi"/>
          <w:lang w:eastAsia="en-US"/>
        </w:rPr>
        <w:t xml:space="preserve"> с финансови затруднения, които отговарят на 3 и повече критерии по оценка на МФ за 2016</w:t>
      </w:r>
      <w:r w:rsidR="009C7951" w:rsidRPr="001A28D2">
        <w:rPr>
          <w:rFonts w:eastAsiaTheme="minorHAnsi"/>
          <w:lang w:eastAsia="en-US"/>
        </w:rPr>
        <w:t> </w:t>
      </w:r>
      <w:r w:rsidRPr="001A28D2">
        <w:rPr>
          <w:rFonts w:eastAsiaTheme="minorHAnsi"/>
          <w:lang w:eastAsia="en-US"/>
        </w:rPr>
        <w:t>г. са 36.</w:t>
      </w:r>
      <w:r w:rsidRPr="001A28D2">
        <w:rPr>
          <w:rFonts w:eastAsiaTheme="minorHAnsi"/>
          <w:vertAlign w:val="superscript"/>
          <w:lang w:eastAsia="en-US"/>
        </w:rPr>
        <w:footnoteReference w:id="143"/>
      </w:r>
      <w:r w:rsidRPr="001A28D2">
        <w:rPr>
          <w:rFonts w:eastAsiaTheme="minorHAnsi"/>
          <w:lang w:eastAsia="en-US"/>
        </w:rPr>
        <w:t xml:space="preserve"> Информацията за това се публикува на сайта на МФ.</w:t>
      </w:r>
      <w:r w:rsidRPr="001A28D2">
        <w:rPr>
          <w:rFonts w:eastAsiaTheme="minorHAnsi"/>
          <w:vertAlign w:val="superscript"/>
          <w:lang w:eastAsia="en-US"/>
        </w:rPr>
        <w:footnoteReference w:id="144"/>
      </w:r>
      <w:r w:rsidRPr="001A28D2">
        <w:rPr>
          <w:rFonts w:eastAsiaTheme="minorHAnsi"/>
          <w:lang w:eastAsia="en-US"/>
        </w:rPr>
        <w:t xml:space="preserve"> През 2016 г. не са предоставяни временни безлихвени заеми от ЦБ на основание чл. 130ж от ЗПФ на общини.</w:t>
      </w:r>
    </w:p>
    <w:p w14:paraId="64B26E48" w14:textId="77777777" w:rsidR="0033797D" w:rsidRPr="001A28D2" w:rsidRDefault="0033797D" w:rsidP="007E77CC">
      <w:pPr>
        <w:ind w:firstLine="709"/>
        <w:jc w:val="both"/>
        <w:textAlignment w:val="center"/>
        <w:rPr>
          <w:rFonts w:eastAsiaTheme="minorHAnsi"/>
          <w:lang w:eastAsia="en-US"/>
        </w:rPr>
      </w:pPr>
    </w:p>
    <w:p w14:paraId="71503268" w14:textId="74711D67" w:rsidR="00094A42" w:rsidRPr="001A28D2" w:rsidRDefault="00E00EA9" w:rsidP="007E77CC">
      <w:pPr>
        <w:ind w:firstLine="709"/>
        <w:jc w:val="both"/>
        <w:textAlignment w:val="center"/>
        <w:rPr>
          <w:rFonts w:eastAsiaTheme="minorHAnsi"/>
          <w:i/>
          <w:lang w:eastAsia="en-US"/>
        </w:rPr>
      </w:pPr>
      <w:r w:rsidRPr="001A28D2">
        <w:rPr>
          <w:rFonts w:eastAsiaTheme="minorHAnsi"/>
          <w:i/>
          <w:lang w:eastAsia="en-US"/>
        </w:rPr>
        <w:t xml:space="preserve">Публикувани са </w:t>
      </w:r>
      <w:r w:rsidRPr="001A28D2">
        <w:rPr>
          <w:i/>
        </w:rPr>
        <w:t xml:space="preserve">отчетните данни на общините </w:t>
      </w:r>
      <w:r w:rsidR="00094A42" w:rsidRPr="001A28D2">
        <w:rPr>
          <w:rFonts w:eastAsiaTheme="minorHAnsi"/>
          <w:i/>
          <w:lang w:eastAsia="en-US"/>
        </w:rPr>
        <w:t>с финансови затруднения, които отговарят на 3 и повече критерии по оценка на МФ в изпълнение на чл.</w:t>
      </w:r>
      <w:r w:rsidR="001120D2" w:rsidRPr="001A28D2">
        <w:rPr>
          <w:rFonts w:eastAsiaTheme="minorHAnsi"/>
          <w:i/>
          <w:lang w:eastAsia="en-US"/>
        </w:rPr>
        <w:t> </w:t>
      </w:r>
      <w:r w:rsidRPr="001A28D2">
        <w:rPr>
          <w:rFonts w:eastAsiaTheme="minorHAnsi"/>
          <w:i/>
          <w:lang w:eastAsia="en-US"/>
        </w:rPr>
        <w:t>130г, ал. 2</w:t>
      </w:r>
      <w:r w:rsidR="00094A42" w:rsidRPr="001A28D2">
        <w:rPr>
          <w:rFonts w:eastAsiaTheme="minorHAnsi"/>
          <w:i/>
          <w:lang w:eastAsia="en-US"/>
        </w:rPr>
        <w:t xml:space="preserve"> от ЗПФ.</w:t>
      </w:r>
    </w:p>
    <w:p w14:paraId="2CAAA3D0" w14:textId="77777777" w:rsidR="00094A42" w:rsidRPr="001A28D2" w:rsidRDefault="00094A42" w:rsidP="007E77CC">
      <w:pPr>
        <w:ind w:firstLine="709"/>
        <w:jc w:val="both"/>
        <w:textAlignment w:val="center"/>
        <w:rPr>
          <w:rFonts w:eastAsiaTheme="minorHAnsi"/>
          <w:lang w:eastAsia="en-US"/>
        </w:rPr>
      </w:pPr>
    </w:p>
    <w:p w14:paraId="295B28EC" w14:textId="77777777" w:rsidR="00094A42" w:rsidRPr="001A28D2" w:rsidRDefault="00D47908" w:rsidP="007E77CC">
      <w:pPr>
        <w:kinsoku w:val="0"/>
        <w:overflowPunct w:val="0"/>
        <w:autoSpaceDE w:val="0"/>
        <w:autoSpaceDN w:val="0"/>
        <w:adjustRightInd w:val="0"/>
        <w:ind w:left="17" w:right="96" w:firstLine="709"/>
        <w:jc w:val="both"/>
        <w:rPr>
          <w:rFonts w:eastAsiaTheme="minorHAnsi"/>
          <w:lang w:eastAsia="en-US"/>
        </w:rPr>
      </w:pPr>
      <w:r w:rsidRPr="001A28D2">
        <w:rPr>
          <w:rFonts w:eastAsiaTheme="minorHAnsi"/>
          <w:lang w:eastAsia="en-US"/>
        </w:rPr>
        <w:t>6.2.</w:t>
      </w:r>
      <w:r w:rsidR="002E3826" w:rsidRPr="001A28D2">
        <w:rPr>
          <w:rFonts w:eastAsiaTheme="minorHAnsi"/>
          <w:lang w:eastAsia="en-US"/>
        </w:rPr>
        <w:t xml:space="preserve"> </w:t>
      </w:r>
      <w:r w:rsidR="00094A42" w:rsidRPr="001A28D2">
        <w:rPr>
          <w:rFonts w:eastAsiaTheme="minorHAnsi"/>
          <w:lang w:eastAsia="en-US"/>
        </w:rPr>
        <w:t>Министърът на финансите издава методически насоки и указания</w:t>
      </w:r>
      <w:r w:rsidR="00BD3DBC" w:rsidRPr="001A28D2">
        <w:rPr>
          <w:rFonts w:eastAsiaTheme="minorHAnsi"/>
          <w:lang w:eastAsia="en-US"/>
        </w:rPr>
        <w:t xml:space="preserve"> по прилагането на чл. 130а от ЗПФ</w:t>
      </w:r>
      <w:r w:rsidR="00244DBC" w:rsidRPr="001A28D2">
        <w:rPr>
          <w:rFonts w:eastAsiaTheme="minorHAnsi"/>
          <w:lang w:eastAsia="en-US"/>
        </w:rPr>
        <w:t>.</w:t>
      </w:r>
      <w:r w:rsidR="00244DBC" w:rsidRPr="001A28D2">
        <w:rPr>
          <w:rStyle w:val="FootnoteReference"/>
          <w:rFonts w:eastAsiaTheme="minorHAnsi"/>
          <w:lang w:eastAsia="en-US"/>
        </w:rPr>
        <w:footnoteReference w:id="145"/>
      </w:r>
      <w:r w:rsidR="00094A42" w:rsidRPr="001A28D2">
        <w:rPr>
          <w:rFonts w:eastAsiaTheme="minorHAnsi"/>
          <w:lang w:eastAsia="en-US"/>
        </w:rPr>
        <w:t xml:space="preserve"> Всяко тримесечие на интернет страницата на Министерството на финансите се публикува информация от отчетните данни на общините за финансовото им състояние.</w:t>
      </w:r>
    </w:p>
    <w:p w14:paraId="293DAEB7" w14:textId="77777777" w:rsidR="00244DBC" w:rsidRPr="001A28D2" w:rsidRDefault="00244DBC" w:rsidP="007E77CC">
      <w:pPr>
        <w:ind w:firstLine="709"/>
        <w:jc w:val="both"/>
        <w:textAlignment w:val="center"/>
        <w:rPr>
          <w:rFonts w:eastAsiaTheme="minorHAnsi"/>
          <w:lang w:eastAsia="en-US"/>
        </w:rPr>
      </w:pPr>
      <w:r w:rsidRPr="001A28D2">
        <w:rPr>
          <w:rFonts w:eastAsiaTheme="minorHAnsi"/>
          <w:lang w:eastAsia="en-US"/>
        </w:rPr>
        <w:t xml:space="preserve">Министърът на финансите е издал </w:t>
      </w:r>
      <w:r w:rsidRPr="001A28D2">
        <w:rPr>
          <w:rFonts w:eastAsiaTheme="minorHAnsi"/>
          <w:szCs w:val="22"/>
          <w:lang w:eastAsia="en-US"/>
        </w:rPr>
        <w:t>М</w:t>
      </w:r>
      <w:hyperlink r:id="rId25" w:history="1">
        <w:r w:rsidRPr="001A28D2">
          <w:rPr>
            <w:rFonts w:eastAsiaTheme="minorHAnsi"/>
            <w:szCs w:val="22"/>
            <w:lang w:eastAsia="en-US"/>
          </w:rPr>
          <w:t>етодически указания по прилагането на чл.</w:t>
        </w:r>
        <w:r w:rsidR="004A48C4" w:rsidRPr="001A28D2">
          <w:rPr>
            <w:rFonts w:eastAsiaTheme="minorHAnsi"/>
            <w:szCs w:val="22"/>
            <w:lang w:eastAsia="en-US"/>
          </w:rPr>
          <w:t> </w:t>
        </w:r>
        <w:r w:rsidRPr="001A28D2">
          <w:rPr>
            <w:rFonts w:eastAsiaTheme="minorHAnsi"/>
            <w:szCs w:val="22"/>
            <w:lang w:eastAsia="en-US"/>
          </w:rPr>
          <w:t>130а, ал.</w:t>
        </w:r>
        <w:r w:rsidR="004A48C4" w:rsidRPr="001A28D2">
          <w:rPr>
            <w:rFonts w:eastAsiaTheme="minorHAnsi"/>
            <w:szCs w:val="22"/>
            <w:lang w:eastAsia="en-US"/>
          </w:rPr>
          <w:t> </w:t>
        </w:r>
        <w:r w:rsidRPr="001A28D2">
          <w:rPr>
            <w:rFonts w:eastAsiaTheme="minorHAnsi"/>
            <w:szCs w:val="22"/>
            <w:lang w:eastAsia="en-US"/>
          </w:rPr>
          <w:t>1 от ЗПФ</w:t>
        </w:r>
      </w:hyperlink>
      <w:r w:rsidR="004A48C4" w:rsidRPr="001A28D2">
        <w:rPr>
          <w:rFonts w:eastAsiaTheme="minorHAnsi"/>
          <w:szCs w:val="22"/>
          <w:lang w:eastAsia="en-US"/>
        </w:rPr>
        <w:t> </w:t>
      </w:r>
      <w:r w:rsidR="004A48C4" w:rsidRPr="001A28D2">
        <w:rPr>
          <w:rFonts w:eastAsiaTheme="minorHAnsi"/>
          <w:lang w:eastAsia="en-US"/>
        </w:rPr>
        <w:t>№ </w:t>
      </w:r>
      <w:r w:rsidRPr="001A28D2">
        <w:rPr>
          <w:rFonts w:eastAsiaTheme="minorHAnsi"/>
          <w:lang w:eastAsia="en-US"/>
        </w:rPr>
        <w:t>АД-6 от 07.06.2016 г., които са публикувани на сайта на МФ.</w:t>
      </w:r>
      <w:r w:rsidRPr="001A28D2">
        <w:rPr>
          <w:rFonts w:eastAsiaTheme="minorHAnsi"/>
          <w:vertAlign w:val="superscript"/>
          <w:lang w:eastAsia="en-US"/>
        </w:rPr>
        <w:footnoteReference w:id="146"/>
      </w:r>
      <w:r w:rsidRPr="001A28D2">
        <w:rPr>
          <w:rFonts w:eastAsiaTheme="minorHAnsi"/>
          <w:lang w:eastAsia="en-US"/>
        </w:rPr>
        <w:t xml:space="preserve"> Данните </w:t>
      </w:r>
      <w:r w:rsidR="001427E3" w:rsidRPr="001A28D2">
        <w:rPr>
          <w:rFonts w:eastAsiaTheme="minorHAnsi"/>
          <w:lang w:eastAsia="en-US"/>
        </w:rPr>
        <w:t>за</w:t>
      </w:r>
      <w:r w:rsidRPr="001A28D2">
        <w:rPr>
          <w:rFonts w:eastAsiaTheme="minorHAnsi"/>
          <w:lang w:eastAsia="en-US"/>
        </w:rPr>
        <w:t xml:space="preserve"> </w:t>
      </w:r>
      <w:r w:rsidR="001427E3" w:rsidRPr="001A28D2">
        <w:rPr>
          <w:rFonts w:eastAsiaTheme="minorHAnsi"/>
          <w:lang w:eastAsia="en-US"/>
        </w:rPr>
        <w:t xml:space="preserve">финансовото състояние са </w:t>
      </w:r>
      <w:r w:rsidRPr="001A28D2">
        <w:rPr>
          <w:rFonts w:eastAsiaTheme="minorHAnsi"/>
          <w:lang w:eastAsia="en-US"/>
        </w:rPr>
        <w:t>публикувани по тримесечия.</w:t>
      </w:r>
    </w:p>
    <w:p w14:paraId="1A3A17CB" w14:textId="77777777" w:rsidR="008A2C35" w:rsidRPr="001A28D2" w:rsidRDefault="008A2C35" w:rsidP="00F654AF">
      <w:pPr>
        <w:ind w:firstLine="709"/>
        <w:jc w:val="both"/>
        <w:textAlignment w:val="center"/>
        <w:rPr>
          <w:rFonts w:eastAsiaTheme="minorHAnsi"/>
          <w:i/>
          <w:lang w:eastAsia="en-US"/>
        </w:rPr>
      </w:pPr>
    </w:p>
    <w:p w14:paraId="2F896CE5" w14:textId="570948C8" w:rsidR="00F654AF" w:rsidRPr="001A28D2" w:rsidRDefault="00F654AF" w:rsidP="00F654AF">
      <w:pPr>
        <w:ind w:firstLine="709"/>
        <w:jc w:val="both"/>
        <w:textAlignment w:val="center"/>
        <w:rPr>
          <w:rFonts w:eastAsiaTheme="minorHAnsi"/>
          <w:i/>
          <w:lang w:eastAsia="en-US"/>
        </w:rPr>
      </w:pPr>
      <w:r w:rsidRPr="001A28D2">
        <w:rPr>
          <w:rFonts w:eastAsiaTheme="minorHAnsi"/>
          <w:i/>
          <w:lang w:eastAsia="en-US"/>
        </w:rPr>
        <w:t xml:space="preserve">Спазени са изискванията на чл. 130г от ЗПФ. </w:t>
      </w:r>
    </w:p>
    <w:p w14:paraId="4B3F7625" w14:textId="77777777" w:rsidR="00E62E48" w:rsidRPr="001A28D2" w:rsidRDefault="00E62E48" w:rsidP="007E77CC">
      <w:pPr>
        <w:ind w:firstLine="709"/>
        <w:jc w:val="both"/>
        <w:textAlignment w:val="center"/>
        <w:rPr>
          <w:rFonts w:eastAsiaTheme="minorHAnsi"/>
          <w:lang w:eastAsia="en-US"/>
        </w:rPr>
      </w:pPr>
    </w:p>
    <w:p w14:paraId="5CA44AD9" w14:textId="77777777" w:rsidR="0035732E" w:rsidRPr="001A28D2" w:rsidRDefault="00254423" w:rsidP="007E77CC">
      <w:pPr>
        <w:ind w:firstLine="709"/>
        <w:jc w:val="both"/>
      </w:pPr>
      <w:r w:rsidRPr="001A28D2">
        <w:lastRenderedPageBreak/>
        <w:t>6.3.</w:t>
      </w:r>
      <w:r w:rsidR="00DE3A09" w:rsidRPr="001A28D2">
        <w:t xml:space="preserve"> </w:t>
      </w:r>
      <w:r w:rsidR="0035732E" w:rsidRPr="001A28D2">
        <w:t xml:space="preserve">Със ЗПФ е регламентирано съдържанието на плана за финансово оздравяване. С плана се определят отговорностите на кмета на общината и на общинския съвет за изпълнението на предвидените в него мерки и дейности. Планът за финансово оздравяване, който предвижда ползването на временен безлихвен заем по </w:t>
      </w:r>
      <w:hyperlink r:id="rId26" w:anchor="p30043725" w:tgtFrame="_blank" w:history="1">
        <w:r w:rsidR="0035732E" w:rsidRPr="001A28D2">
          <w:t>чл.</w:t>
        </w:r>
        <w:r w:rsidR="004A48C4" w:rsidRPr="001A28D2">
          <w:t> </w:t>
        </w:r>
        <w:r w:rsidR="0035732E" w:rsidRPr="001A28D2">
          <w:t>130ж, ал.</w:t>
        </w:r>
        <w:r w:rsidR="004A48C4" w:rsidRPr="001A28D2">
          <w:t> </w:t>
        </w:r>
        <w:r w:rsidR="0035732E" w:rsidRPr="001A28D2">
          <w:t>1</w:t>
        </w:r>
      </w:hyperlink>
      <w:r w:rsidR="0035732E" w:rsidRPr="001A28D2">
        <w:t xml:space="preserve"> от ЗПФ, се съгласува предварително с министъра на финансите в рамките на срока за публично обсъждане, определен от общинския съвет. Министърът на финансите може да дава допълнителни указания относно изготвянето и съдържанието на плана.</w:t>
      </w:r>
      <w:r w:rsidR="0035732E" w:rsidRPr="001A28D2">
        <w:rPr>
          <w:rStyle w:val="FootnoteReference"/>
        </w:rPr>
        <w:t xml:space="preserve"> </w:t>
      </w:r>
      <w:r w:rsidR="0035732E" w:rsidRPr="001A28D2">
        <w:rPr>
          <w:rStyle w:val="FootnoteReference"/>
        </w:rPr>
        <w:footnoteReference w:id="147"/>
      </w:r>
    </w:p>
    <w:p w14:paraId="25D845C5" w14:textId="4EF675F2" w:rsidR="0035732E" w:rsidRPr="001A28D2" w:rsidRDefault="003507EA" w:rsidP="007E77CC">
      <w:pPr>
        <w:ind w:firstLine="709"/>
        <w:jc w:val="both"/>
        <w:textAlignment w:val="center"/>
        <w:rPr>
          <w:rFonts w:eastAsiaTheme="minorHAnsi"/>
          <w:lang w:eastAsia="en-US"/>
        </w:rPr>
      </w:pPr>
      <w:r w:rsidRPr="001A28D2">
        <w:rPr>
          <w:rFonts w:eastAsiaTheme="minorHAnsi"/>
          <w:lang w:eastAsia="en-US"/>
        </w:rPr>
        <w:t>Съгласно отговор на</w:t>
      </w:r>
      <w:r w:rsidR="00DE3A09" w:rsidRPr="001A28D2">
        <w:rPr>
          <w:rFonts w:eastAsiaTheme="minorHAnsi"/>
          <w:lang w:eastAsia="en-US"/>
        </w:rPr>
        <w:t xml:space="preserve"> одитираната организация, о</w:t>
      </w:r>
      <w:r w:rsidR="0035732E" w:rsidRPr="001A28D2">
        <w:rPr>
          <w:rFonts w:eastAsiaTheme="minorHAnsi"/>
          <w:lang w:eastAsia="en-US"/>
        </w:rPr>
        <w:t xml:space="preserve">тговорност и правомощия за иницииране и предприемане на действия за откриване на процедура по финансово оздравяване имат кметовете на общините и общинските съвети. МФ съгласува предварително оздравителните планове на общини, направили искане за финансово подпомагане с временен безлихвен заем от ЦБ. През 2016 г. повечето общини с финансови затруднения (с изключение на 3) са изпратили оздравителни планове в МФ. </w:t>
      </w:r>
      <w:r w:rsidR="004A48C4" w:rsidRPr="001A28D2">
        <w:rPr>
          <w:rFonts w:eastAsiaTheme="minorHAnsi"/>
          <w:lang w:eastAsia="en-US"/>
        </w:rPr>
        <w:t>Шестнадесет</w:t>
      </w:r>
      <w:r w:rsidR="0035732E" w:rsidRPr="001A28D2">
        <w:rPr>
          <w:rFonts w:eastAsiaTheme="minorHAnsi"/>
          <w:lang w:eastAsia="en-US"/>
        </w:rPr>
        <w:t xml:space="preserve"> общини са предоставили в МФ за съгласуване план за финансово оздравяване. Проведени са срещи и разяснителни разговори и са давани насоки за изготвяне на планове за финансово оздравяване.</w:t>
      </w:r>
      <w:r w:rsidR="0035732E" w:rsidRPr="001A28D2">
        <w:rPr>
          <w:rFonts w:eastAsiaTheme="minorHAnsi"/>
          <w:vertAlign w:val="superscript"/>
          <w:lang w:eastAsia="en-US"/>
        </w:rPr>
        <w:footnoteReference w:id="148"/>
      </w:r>
    </w:p>
    <w:p w14:paraId="74F94F5C" w14:textId="2301C2AB" w:rsidR="0035732E" w:rsidRPr="001A28D2" w:rsidRDefault="00C9070C" w:rsidP="007E77CC">
      <w:pPr>
        <w:ind w:firstLine="709"/>
        <w:jc w:val="both"/>
      </w:pPr>
      <w:r w:rsidRPr="001A28D2">
        <w:rPr>
          <w:rFonts w:eastAsiaTheme="minorHAnsi"/>
          <w:lang w:eastAsia="en-US"/>
        </w:rPr>
        <w:t>Промяната в ЗПФ, с която се въвежда ред за откриване на процедура по финансово оздравяване на общини с финансови затруд</w:t>
      </w:r>
      <w:r w:rsidR="002300CD" w:rsidRPr="001A28D2">
        <w:rPr>
          <w:rFonts w:eastAsiaTheme="minorHAnsi"/>
          <w:lang w:eastAsia="en-US"/>
        </w:rPr>
        <w:t>нения е направена с ДВ бр. </w:t>
      </w:r>
      <w:r w:rsidRPr="001A28D2">
        <w:rPr>
          <w:rFonts w:eastAsiaTheme="minorHAnsi"/>
          <w:lang w:eastAsia="en-US"/>
        </w:rPr>
        <w:t>43 от 07.06.2016</w:t>
      </w:r>
      <w:r w:rsidR="002300CD" w:rsidRPr="001A28D2">
        <w:rPr>
          <w:rFonts w:eastAsiaTheme="minorHAnsi"/>
          <w:lang w:eastAsia="en-US"/>
        </w:rPr>
        <w:t> </w:t>
      </w:r>
      <w:r w:rsidRPr="001A28D2">
        <w:rPr>
          <w:rFonts w:eastAsiaTheme="minorHAnsi"/>
          <w:lang w:eastAsia="en-US"/>
        </w:rPr>
        <w:t>г. През 2016</w:t>
      </w:r>
      <w:r w:rsidR="002300CD" w:rsidRPr="001A28D2">
        <w:rPr>
          <w:rFonts w:eastAsiaTheme="minorHAnsi"/>
          <w:lang w:eastAsia="en-US"/>
        </w:rPr>
        <w:t> </w:t>
      </w:r>
      <w:r w:rsidRPr="001A28D2">
        <w:rPr>
          <w:rFonts w:eastAsiaTheme="minorHAnsi"/>
          <w:lang w:eastAsia="en-US"/>
        </w:rPr>
        <w:t>г., като първа година, в която са приети промени в ЗПФ, не са предоставяни временни безлихве</w:t>
      </w:r>
      <w:r w:rsidR="002300CD" w:rsidRPr="001A28D2">
        <w:rPr>
          <w:rFonts w:eastAsiaTheme="minorHAnsi"/>
          <w:lang w:eastAsia="en-US"/>
        </w:rPr>
        <w:t>ни заеми от ЦБ на основание чл. </w:t>
      </w:r>
      <w:r w:rsidRPr="001A28D2">
        <w:rPr>
          <w:rFonts w:eastAsiaTheme="minorHAnsi"/>
          <w:lang w:eastAsia="en-US"/>
        </w:rPr>
        <w:t xml:space="preserve">130ж от ЗПФ на нито една община, тъй като представените оздравителни планове не отговарят на изискванията на МФ по отношение на съдържанието им. </w:t>
      </w:r>
      <w:r w:rsidR="004672B6" w:rsidRPr="001A28D2">
        <w:rPr>
          <w:rFonts w:eastAsiaTheme="minorHAnsi"/>
          <w:lang w:eastAsia="en-US"/>
        </w:rPr>
        <w:t>По данни на МФ о</w:t>
      </w:r>
      <w:r w:rsidRPr="001A28D2">
        <w:rPr>
          <w:rFonts w:eastAsiaTheme="minorHAnsi"/>
          <w:lang w:eastAsia="en-US"/>
        </w:rPr>
        <w:t>т повечето общини са предоставени формални планове, без конкретни финансови ангажименти и насоки за развитие на общината.</w:t>
      </w:r>
      <w:r w:rsidRPr="001A28D2">
        <w:rPr>
          <w:rFonts w:eastAsiaTheme="minorHAnsi"/>
          <w:vertAlign w:val="superscript"/>
          <w:lang w:eastAsia="en-US"/>
        </w:rPr>
        <w:footnoteReference w:id="149"/>
      </w:r>
    </w:p>
    <w:p w14:paraId="1B66707D" w14:textId="77777777" w:rsidR="001C3D08" w:rsidRPr="001A28D2" w:rsidRDefault="001C3D08" w:rsidP="007E77CC">
      <w:pPr>
        <w:ind w:firstLine="709"/>
        <w:textAlignment w:val="center"/>
        <w:rPr>
          <w:rFonts w:eastAsiaTheme="minorHAnsi"/>
          <w:lang w:eastAsia="en-US"/>
        </w:rPr>
      </w:pPr>
    </w:p>
    <w:p w14:paraId="43F62CD3" w14:textId="4D257D5A" w:rsidR="0080530E" w:rsidRPr="001A28D2" w:rsidRDefault="00C9070C" w:rsidP="007E77CC">
      <w:pPr>
        <w:ind w:firstLine="709"/>
        <w:jc w:val="both"/>
        <w:textAlignment w:val="center"/>
        <w:rPr>
          <w:rFonts w:eastAsiaTheme="minorHAnsi"/>
          <w:lang w:eastAsia="en-US"/>
        </w:rPr>
      </w:pPr>
      <w:r w:rsidRPr="001A28D2">
        <w:rPr>
          <w:rFonts w:eastAsiaTheme="minorHAnsi"/>
          <w:i/>
          <w:lang w:eastAsia="en-US"/>
        </w:rPr>
        <w:t>През 2016 г. не са предоставяни временни безлихвени заеми от ЦБ на основание чл.</w:t>
      </w:r>
      <w:r w:rsidR="00BD3DBC" w:rsidRPr="001A28D2">
        <w:rPr>
          <w:rFonts w:eastAsiaTheme="minorHAnsi"/>
          <w:i/>
          <w:lang w:eastAsia="en-US"/>
        </w:rPr>
        <w:t> </w:t>
      </w:r>
      <w:r w:rsidRPr="001A28D2">
        <w:rPr>
          <w:rFonts w:eastAsiaTheme="minorHAnsi"/>
          <w:i/>
          <w:lang w:eastAsia="en-US"/>
        </w:rPr>
        <w:t>130ж от ЗПФ</w:t>
      </w:r>
      <w:r w:rsidRPr="001A28D2">
        <w:rPr>
          <w:rFonts w:eastAsiaTheme="minorHAnsi"/>
          <w:lang w:eastAsia="en-US"/>
        </w:rPr>
        <w:t>.</w:t>
      </w:r>
    </w:p>
    <w:p w14:paraId="3246B1D3" w14:textId="77777777" w:rsidR="0004188C" w:rsidRPr="001A28D2" w:rsidRDefault="0004188C" w:rsidP="007E77CC">
      <w:pPr>
        <w:ind w:firstLine="709"/>
        <w:jc w:val="both"/>
        <w:textAlignment w:val="center"/>
        <w:rPr>
          <w:rFonts w:eastAsiaTheme="minorHAnsi"/>
          <w:lang w:eastAsia="en-US"/>
        </w:rPr>
      </w:pPr>
    </w:p>
    <w:p w14:paraId="006653C6" w14:textId="77777777" w:rsidR="008266B2" w:rsidRPr="001A28D2" w:rsidRDefault="00254423" w:rsidP="007E77CC">
      <w:pPr>
        <w:ind w:firstLine="709"/>
        <w:jc w:val="both"/>
        <w:textAlignment w:val="center"/>
      </w:pPr>
      <w:r w:rsidRPr="001A28D2">
        <w:t>6.4.</w:t>
      </w:r>
      <w:r w:rsidR="00DE3A09" w:rsidRPr="001A28D2">
        <w:t xml:space="preserve"> </w:t>
      </w:r>
      <w:r w:rsidR="00721DC5" w:rsidRPr="001A28D2">
        <w:t>Министерството</w:t>
      </w:r>
      <w:r w:rsidR="00721DC5" w:rsidRPr="001A28D2">
        <w:rPr>
          <w:spacing w:val="56"/>
        </w:rPr>
        <w:t xml:space="preserve"> </w:t>
      </w:r>
      <w:r w:rsidR="00721DC5" w:rsidRPr="001A28D2">
        <w:t>на финансите извършва текущо наблюдение на тримесечие за изпълнението на плана за финансово оздравяване. При отклонение от постигането на целите на плана министърът на финансите може да преустанови отпускането на заема, когато е предвидено предоставянето му на отделни траншове, след представяне на писмената обосновка от кмета на общината относно причините за това неизпълнение.</w:t>
      </w:r>
      <w:r w:rsidR="00721DC5" w:rsidRPr="001A28D2">
        <w:rPr>
          <w:rStyle w:val="FootnoteReference"/>
        </w:rPr>
        <w:t xml:space="preserve"> </w:t>
      </w:r>
      <w:r w:rsidR="00721DC5" w:rsidRPr="001A28D2">
        <w:rPr>
          <w:rStyle w:val="FootnoteReference"/>
        </w:rPr>
        <w:footnoteReference w:id="150"/>
      </w:r>
      <w:r w:rsidR="008266B2" w:rsidRPr="001A28D2">
        <w:t xml:space="preserve"> </w:t>
      </w:r>
    </w:p>
    <w:p w14:paraId="70A873BF" w14:textId="3D710899" w:rsidR="008266B2" w:rsidRPr="001A28D2" w:rsidRDefault="008266B2" w:rsidP="007E77CC">
      <w:pPr>
        <w:kinsoku w:val="0"/>
        <w:overflowPunct w:val="0"/>
        <w:autoSpaceDE w:val="0"/>
        <w:autoSpaceDN w:val="0"/>
        <w:adjustRightInd w:val="0"/>
        <w:ind w:right="119" w:firstLine="709"/>
        <w:jc w:val="both"/>
        <w:rPr>
          <w:rFonts w:eastAsiaTheme="minorHAnsi"/>
          <w:lang w:eastAsia="en-US"/>
        </w:rPr>
      </w:pPr>
      <w:r w:rsidRPr="001A28D2">
        <w:t xml:space="preserve">По предложение на министъра на финансите с акт на </w:t>
      </w:r>
      <w:r w:rsidR="00E206C8" w:rsidRPr="001A28D2">
        <w:t>МС</w:t>
      </w:r>
      <w:r w:rsidRPr="001A28D2">
        <w:rPr>
          <w:spacing w:val="53"/>
        </w:rPr>
        <w:t xml:space="preserve"> </w:t>
      </w:r>
      <w:r w:rsidRPr="001A28D2">
        <w:t>на</w:t>
      </w:r>
      <w:r w:rsidRPr="001A28D2">
        <w:rPr>
          <w:spacing w:val="52"/>
        </w:rPr>
        <w:t xml:space="preserve"> </w:t>
      </w:r>
      <w:r w:rsidRPr="001A28D2">
        <w:t>общините</w:t>
      </w:r>
      <w:r w:rsidRPr="001A28D2">
        <w:rPr>
          <w:spacing w:val="52"/>
        </w:rPr>
        <w:t xml:space="preserve"> </w:t>
      </w:r>
      <w:r w:rsidRPr="001A28D2">
        <w:t>може</w:t>
      </w:r>
      <w:r w:rsidRPr="001A28D2">
        <w:rPr>
          <w:spacing w:val="51"/>
        </w:rPr>
        <w:t xml:space="preserve"> </w:t>
      </w:r>
      <w:r w:rsidRPr="001A28D2">
        <w:t>да</w:t>
      </w:r>
      <w:r w:rsidRPr="001A28D2">
        <w:rPr>
          <w:spacing w:val="50"/>
        </w:rPr>
        <w:t xml:space="preserve"> </w:t>
      </w:r>
      <w:r w:rsidRPr="001A28D2">
        <w:t>бъде</w:t>
      </w:r>
      <w:r w:rsidRPr="001A28D2">
        <w:rPr>
          <w:spacing w:val="52"/>
        </w:rPr>
        <w:t xml:space="preserve"> </w:t>
      </w:r>
      <w:r w:rsidRPr="001A28D2">
        <w:t>отпусната</w:t>
      </w:r>
      <w:r w:rsidRPr="001A28D2">
        <w:rPr>
          <w:spacing w:val="52"/>
        </w:rPr>
        <w:t xml:space="preserve"> </w:t>
      </w:r>
      <w:r w:rsidRPr="001A28D2">
        <w:t>допълнителна</w:t>
      </w:r>
      <w:r w:rsidRPr="001A28D2">
        <w:rPr>
          <w:spacing w:val="52"/>
        </w:rPr>
        <w:t xml:space="preserve"> </w:t>
      </w:r>
      <w:r w:rsidRPr="001A28D2">
        <w:t>субсидия</w:t>
      </w:r>
      <w:r w:rsidRPr="001A28D2">
        <w:rPr>
          <w:spacing w:val="52"/>
        </w:rPr>
        <w:t xml:space="preserve"> </w:t>
      </w:r>
      <w:r w:rsidRPr="001A28D2">
        <w:t>от</w:t>
      </w:r>
      <w:r w:rsidRPr="001A28D2">
        <w:rPr>
          <w:spacing w:val="51"/>
        </w:rPr>
        <w:t xml:space="preserve"> </w:t>
      </w:r>
      <w:r w:rsidRPr="001A28D2">
        <w:t>централния бюджет за погасяване на заемите по чл.</w:t>
      </w:r>
      <w:r w:rsidR="00CF40D5" w:rsidRPr="001A28D2">
        <w:t> </w:t>
      </w:r>
      <w:r w:rsidRPr="001A28D2">
        <w:t>130ж, ал.</w:t>
      </w:r>
      <w:r w:rsidR="00CF40D5" w:rsidRPr="001A28D2">
        <w:t> </w:t>
      </w:r>
      <w:r w:rsidRPr="001A28D2">
        <w:t>1 от ЗПФ, когато се установи, че е налице трайна тенденция за подобряване на финансовото състояние на общината, като при</w:t>
      </w:r>
      <w:r w:rsidRPr="001A28D2">
        <w:rPr>
          <w:rFonts w:eastAsiaTheme="minorHAnsi"/>
          <w:lang w:eastAsia="en-US"/>
        </w:rPr>
        <w:t xml:space="preserve"> изпълнението на плана са постигнати определени показатели.</w:t>
      </w:r>
      <w:r w:rsidR="00655436" w:rsidRPr="001A28D2">
        <w:rPr>
          <w:rStyle w:val="FootnoteReference"/>
          <w:rFonts w:eastAsiaTheme="minorHAnsi"/>
          <w:lang w:eastAsia="en-US"/>
        </w:rPr>
        <w:footnoteReference w:id="151"/>
      </w:r>
    </w:p>
    <w:p w14:paraId="096D55A9" w14:textId="77777777" w:rsidR="00721DC5" w:rsidRPr="001A28D2" w:rsidRDefault="00721DC5" w:rsidP="007E77CC">
      <w:pPr>
        <w:ind w:firstLine="709"/>
        <w:jc w:val="both"/>
        <w:textAlignment w:val="center"/>
        <w:rPr>
          <w:rFonts w:eastAsiaTheme="minorHAnsi"/>
          <w:lang w:eastAsia="en-US"/>
        </w:rPr>
      </w:pPr>
      <w:r w:rsidRPr="001A28D2">
        <w:rPr>
          <w:rFonts w:eastAsiaTheme="minorHAnsi"/>
          <w:lang w:eastAsia="en-US"/>
        </w:rPr>
        <w:t xml:space="preserve">През </w:t>
      </w:r>
      <w:proofErr w:type="spellStart"/>
      <w:r w:rsidRPr="001A28D2">
        <w:rPr>
          <w:rFonts w:eastAsiaTheme="minorHAnsi"/>
          <w:lang w:eastAsia="en-US"/>
        </w:rPr>
        <w:t>одитирания</w:t>
      </w:r>
      <w:proofErr w:type="spellEnd"/>
      <w:r w:rsidRPr="001A28D2">
        <w:rPr>
          <w:rFonts w:eastAsiaTheme="minorHAnsi"/>
          <w:lang w:eastAsia="en-US"/>
        </w:rPr>
        <w:t xml:space="preserve"> период не са представяни временни безлихвени заеми от ЦБ и съответно няма случаи на преустановяване отпускането на заема</w:t>
      </w:r>
      <w:r w:rsidR="008266B2" w:rsidRPr="001A28D2">
        <w:rPr>
          <w:rFonts w:eastAsiaTheme="minorHAnsi"/>
          <w:lang w:eastAsia="en-US"/>
        </w:rPr>
        <w:t>, на отпусната допълнителна субсидия за погасяването им</w:t>
      </w:r>
      <w:r w:rsidR="0029062A" w:rsidRPr="001A28D2">
        <w:rPr>
          <w:rFonts w:eastAsiaTheme="minorHAnsi"/>
          <w:lang w:eastAsia="en-US"/>
        </w:rPr>
        <w:t>, както и на</w:t>
      </w:r>
      <w:r w:rsidR="0029062A" w:rsidRPr="001A28D2">
        <w:t xml:space="preserve"> прекратена процедурата за </w:t>
      </w:r>
      <w:r w:rsidR="0029062A" w:rsidRPr="001A28D2">
        <w:lastRenderedPageBreak/>
        <w:t>финансово оздравяване преди изтичането на нейния срок, в случай, че общината излезе от състояние на финансово затруднение</w:t>
      </w:r>
      <w:r w:rsidRPr="001A28D2">
        <w:rPr>
          <w:rFonts w:eastAsiaTheme="minorHAnsi"/>
          <w:lang w:eastAsia="en-US"/>
        </w:rPr>
        <w:t>.</w:t>
      </w:r>
      <w:r w:rsidRPr="001A28D2">
        <w:rPr>
          <w:rFonts w:eastAsiaTheme="minorHAnsi"/>
          <w:vertAlign w:val="superscript"/>
          <w:lang w:eastAsia="en-US"/>
        </w:rPr>
        <w:footnoteReference w:id="152"/>
      </w:r>
    </w:p>
    <w:p w14:paraId="2C3D9C78" w14:textId="77777777" w:rsidR="0033797D" w:rsidRPr="001A28D2" w:rsidRDefault="0033797D" w:rsidP="007E77CC">
      <w:pPr>
        <w:ind w:firstLine="709"/>
        <w:jc w:val="both"/>
        <w:textAlignment w:val="center"/>
        <w:rPr>
          <w:rFonts w:eastAsiaTheme="minorHAnsi"/>
          <w:lang w:eastAsia="en-US"/>
        </w:rPr>
      </w:pPr>
    </w:p>
    <w:p w14:paraId="2721E02F" w14:textId="77777777" w:rsidR="00721DC5" w:rsidRPr="001A28D2" w:rsidRDefault="00721DC5" w:rsidP="007E77CC">
      <w:pPr>
        <w:ind w:firstLine="709"/>
        <w:jc w:val="both"/>
        <w:textAlignment w:val="center"/>
        <w:rPr>
          <w:rFonts w:eastAsiaTheme="minorHAnsi"/>
          <w:i/>
          <w:lang w:eastAsia="en-US"/>
        </w:rPr>
      </w:pPr>
      <w:r w:rsidRPr="001A28D2">
        <w:rPr>
          <w:rFonts w:eastAsiaTheme="minorHAnsi"/>
          <w:i/>
          <w:lang w:eastAsia="en-US"/>
        </w:rPr>
        <w:t xml:space="preserve">През </w:t>
      </w:r>
      <w:proofErr w:type="spellStart"/>
      <w:r w:rsidRPr="001A28D2">
        <w:rPr>
          <w:rFonts w:eastAsiaTheme="minorHAnsi"/>
          <w:i/>
          <w:lang w:eastAsia="en-US"/>
        </w:rPr>
        <w:t>одитирания</w:t>
      </w:r>
      <w:proofErr w:type="spellEnd"/>
      <w:r w:rsidRPr="001A28D2">
        <w:rPr>
          <w:rFonts w:eastAsiaTheme="minorHAnsi"/>
          <w:i/>
          <w:lang w:eastAsia="en-US"/>
        </w:rPr>
        <w:t xml:space="preserve"> период не са възникнали обстоятелства, които да налагат прилагането на чл. 130и</w:t>
      </w:r>
      <w:r w:rsidR="005E7EC9" w:rsidRPr="001A28D2">
        <w:rPr>
          <w:rFonts w:eastAsiaTheme="minorHAnsi"/>
          <w:i/>
          <w:lang w:eastAsia="en-US"/>
        </w:rPr>
        <w:t xml:space="preserve">, чл. </w:t>
      </w:r>
      <w:r w:rsidR="008266B2" w:rsidRPr="001A28D2">
        <w:rPr>
          <w:rFonts w:eastAsiaTheme="minorHAnsi"/>
          <w:i/>
          <w:lang w:eastAsia="en-US"/>
        </w:rPr>
        <w:t>130к</w:t>
      </w:r>
      <w:r w:rsidR="005E7EC9" w:rsidRPr="001A28D2">
        <w:rPr>
          <w:rFonts w:eastAsiaTheme="minorHAnsi"/>
          <w:i/>
          <w:lang w:eastAsia="en-US"/>
        </w:rPr>
        <w:t xml:space="preserve"> и чл. 130л</w:t>
      </w:r>
      <w:r w:rsidR="008266B2" w:rsidRPr="001A28D2">
        <w:rPr>
          <w:rFonts w:eastAsiaTheme="minorHAnsi"/>
          <w:i/>
          <w:lang w:eastAsia="en-US"/>
        </w:rPr>
        <w:t xml:space="preserve"> </w:t>
      </w:r>
      <w:r w:rsidRPr="001A28D2">
        <w:rPr>
          <w:rFonts w:eastAsiaTheme="minorHAnsi"/>
          <w:i/>
          <w:lang w:eastAsia="en-US"/>
        </w:rPr>
        <w:t>от ЗПФ.</w:t>
      </w:r>
    </w:p>
    <w:p w14:paraId="52A8790A" w14:textId="77777777" w:rsidR="0033797D" w:rsidRPr="001A28D2" w:rsidRDefault="0033797D" w:rsidP="007E77CC">
      <w:pPr>
        <w:ind w:firstLine="709"/>
        <w:jc w:val="both"/>
        <w:textAlignment w:val="center"/>
        <w:rPr>
          <w:rFonts w:eastAsiaTheme="minorHAnsi"/>
          <w:i/>
          <w:lang w:eastAsia="en-US"/>
        </w:rPr>
      </w:pPr>
    </w:p>
    <w:p w14:paraId="3FD626B7" w14:textId="72D44469" w:rsidR="009F23F9" w:rsidRPr="001A28D2" w:rsidRDefault="002300CD" w:rsidP="002300CD">
      <w:pPr>
        <w:widowControl w:val="0"/>
        <w:tabs>
          <w:tab w:val="left" w:pos="1134"/>
          <w:tab w:val="left" w:pos="1701"/>
        </w:tabs>
        <w:autoSpaceDE w:val="0"/>
        <w:autoSpaceDN w:val="0"/>
        <w:adjustRightInd w:val="0"/>
        <w:ind w:firstLine="709"/>
        <w:contextualSpacing/>
        <w:jc w:val="both"/>
      </w:pPr>
      <w:r w:rsidRPr="001A28D2">
        <w:rPr>
          <w:color w:val="000000"/>
        </w:rPr>
        <w:t xml:space="preserve">6.5. </w:t>
      </w:r>
      <w:r w:rsidR="009F23F9" w:rsidRPr="001A28D2">
        <w:rPr>
          <w:color w:val="000000"/>
        </w:rPr>
        <w:t xml:space="preserve">Основни изисквания на ЗПФ за текущо наблюдение и отчитане на </w:t>
      </w:r>
      <w:r w:rsidR="00E206C8" w:rsidRPr="001A28D2">
        <w:rPr>
          <w:color w:val="000000"/>
        </w:rPr>
        <w:t>КФП</w:t>
      </w:r>
    </w:p>
    <w:p w14:paraId="15982029" w14:textId="77777777" w:rsidR="009F23F9" w:rsidRPr="001A28D2" w:rsidRDefault="009F23F9" w:rsidP="007E77CC">
      <w:pPr>
        <w:ind w:firstLine="709"/>
        <w:jc w:val="both"/>
        <w:rPr>
          <w:rFonts w:eastAsiaTheme="minorHAnsi"/>
          <w:lang w:eastAsia="en-US"/>
        </w:rPr>
      </w:pPr>
      <w:r w:rsidRPr="001A28D2">
        <w:rPr>
          <w:rFonts w:eastAsiaTheme="minorHAnsi"/>
          <w:lang w:eastAsia="en-US"/>
        </w:rPr>
        <w:t>В изпълнение на изискванията на ЗПФ</w:t>
      </w:r>
      <w:r w:rsidRPr="001A28D2">
        <w:rPr>
          <w:rFonts w:eastAsiaTheme="minorHAnsi"/>
          <w:vertAlign w:val="superscript"/>
          <w:lang w:eastAsia="en-US"/>
        </w:rPr>
        <w:footnoteReference w:id="153"/>
      </w:r>
      <w:r w:rsidRPr="001A28D2">
        <w:rPr>
          <w:rFonts w:eastAsiaTheme="minorHAnsi"/>
          <w:lang w:eastAsia="en-US"/>
        </w:rPr>
        <w:t>, за включените в системата за електронни бюджетни разплащания бюджети, сметки за средства от Е</w:t>
      </w:r>
      <w:r w:rsidR="00F545F7" w:rsidRPr="001A28D2">
        <w:rPr>
          <w:rFonts w:eastAsiaTheme="minorHAnsi"/>
          <w:lang w:eastAsia="en-US"/>
        </w:rPr>
        <w:t>С</w:t>
      </w:r>
      <w:r w:rsidRPr="001A28D2">
        <w:rPr>
          <w:rFonts w:eastAsiaTheme="minorHAnsi"/>
          <w:lang w:eastAsia="en-US"/>
        </w:rPr>
        <w:t xml:space="preserve"> и сметки за чужди средства, от </w:t>
      </w:r>
      <w:r w:rsidR="00006ECF" w:rsidRPr="001A28D2">
        <w:rPr>
          <w:rFonts w:eastAsiaTheme="minorHAnsi"/>
          <w:lang w:eastAsia="en-US"/>
        </w:rPr>
        <w:t>М</w:t>
      </w:r>
      <w:r w:rsidR="00F545F7" w:rsidRPr="001A28D2">
        <w:rPr>
          <w:rFonts w:eastAsiaTheme="minorHAnsi"/>
          <w:lang w:eastAsia="en-US"/>
        </w:rPr>
        <w:t>Ф</w:t>
      </w:r>
      <w:r w:rsidRPr="001A28D2">
        <w:rPr>
          <w:rFonts w:eastAsiaTheme="minorHAnsi"/>
          <w:lang w:eastAsia="en-US"/>
        </w:rPr>
        <w:t xml:space="preserve"> са определени лимити за плащания. Не са предприемани мерки за коригиране на месечните лимити за плащания или за отлагане залагането на лимити в частта на утвърдените средства за нелихвените разходи и трансфери в случай на влошаване на текущите оценки спрямо годишните разчети.</w:t>
      </w:r>
    </w:p>
    <w:p w14:paraId="08168B08" w14:textId="3093CB6B" w:rsidR="002965C3" w:rsidRPr="001A28D2" w:rsidRDefault="002965C3" w:rsidP="007E77CC">
      <w:pPr>
        <w:ind w:firstLine="709"/>
        <w:jc w:val="both"/>
        <w:rPr>
          <w:rFonts w:eastAsiaTheme="minorHAnsi"/>
          <w:lang w:eastAsia="en-US"/>
        </w:rPr>
      </w:pPr>
      <w:r w:rsidRPr="001A28D2">
        <w:t>Дадени са указания относно подготовката на информацията и отчетите по чл.</w:t>
      </w:r>
      <w:r w:rsidR="00301436" w:rsidRPr="001A28D2">
        <w:t> </w:t>
      </w:r>
      <w:r w:rsidRPr="001A28D2">
        <w:t>133 от ЗПФ – указания за определяне на формата, съдържанието и сроковете за съставянето и представянето на тримесечна информация за разходите по бюджетни програ</w:t>
      </w:r>
      <w:r w:rsidR="004C6A5D" w:rsidRPr="001A28D2">
        <w:t>м</w:t>
      </w:r>
      <w:r w:rsidRPr="001A28D2">
        <w:t>и за 2016 г. от ПРБ, които прилагат програмен формат на бюджет; Указания за формата, съдържан</w:t>
      </w:r>
      <w:r w:rsidR="00232B6B" w:rsidRPr="001A28D2">
        <w:t>и</w:t>
      </w:r>
      <w:r w:rsidRPr="001A28D2">
        <w:t>ето и сроковете за съставяне и представяне на подробен отчет към полугодието и годината за изпълнението на програмните бюджети за 2016 г. от ПРБ, които прилагат програмен формат на бюджет.</w:t>
      </w:r>
      <w:r w:rsidR="00820364" w:rsidRPr="001A28D2">
        <w:rPr>
          <w:rFonts w:eastAsiaTheme="minorHAnsi"/>
          <w:vertAlign w:val="superscript"/>
          <w:lang w:eastAsia="en-US"/>
        </w:rPr>
        <w:t xml:space="preserve"> </w:t>
      </w:r>
      <w:r w:rsidR="00820364" w:rsidRPr="001A28D2">
        <w:rPr>
          <w:rFonts w:eastAsiaTheme="minorHAnsi"/>
          <w:vertAlign w:val="superscript"/>
          <w:lang w:eastAsia="en-US"/>
        </w:rPr>
        <w:footnoteReference w:id="154"/>
      </w:r>
    </w:p>
    <w:p w14:paraId="63E065FB" w14:textId="77777777" w:rsidR="009F23F9" w:rsidRPr="001A28D2" w:rsidRDefault="009F23F9" w:rsidP="007E77CC">
      <w:pPr>
        <w:widowControl w:val="0"/>
        <w:autoSpaceDE w:val="0"/>
        <w:autoSpaceDN w:val="0"/>
        <w:adjustRightInd w:val="0"/>
        <w:ind w:firstLine="709"/>
        <w:contextualSpacing/>
        <w:jc w:val="both"/>
      </w:pPr>
    </w:p>
    <w:p w14:paraId="32B5313D" w14:textId="77777777" w:rsidR="009F23F9" w:rsidRPr="001A28D2" w:rsidRDefault="009F23F9" w:rsidP="007E77CC">
      <w:pPr>
        <w:widowControl w:val="0"/>
        <w:autoSpaceDE w:val="0"/>
        <w:autoSpaceDN w:val="0"/>
        <w:adjustRightInd w:val="0"/>
        <w:ind w:firstLine="709"/>
        <w:contextualSpacing/>
        <w:jc w:val="both"/>
        <w:rPr>
          <w:i/>
          <w:color w:val="000000"/>
        </w:rPr>
      </w:pPr>
      <w:r w:rsidRPr="001A28D2">
        <w:rPr>
          <w:i/>
          <w:color w:val="000000"/>
        </w:rPr>
        <w:t xml:space="preserve">През </w:t>
      </w:r>
      <w:proofErr w:type="spellStart"/>
      <w:r w:rsidRPr="001A28D2">
        <w:rPr>
          <w:i/>
          <w:color w:val="000000"/>
        </w:rPr>
        <w:t>одитирания</w:t>
      </w:r>
      <w:proofErr w:type="spellEnd"/>
      <w:r w:rsidRPr="001A28D2">
        <w:rPr>
          <w:i/>
          <w:color w:val="000000"/>
        </w:rPr>
        <w:t xml:space="preserve"> период не </w:t>
      </w:r>
      <w:r w:rsidR="008D7C3A" w:rsidRPr="001A28D2">
        <w:rPr>
          <w:i/>
          <w:color w:val="000000"/>
        </w:rPr>
        <w:t>е</w:t>
      </w:r>
      <w:r w:rsidRPr="001A28D2">
        <w:rPr>
          <w:i/>
          <w:color w:val="000000"/>
        </w:rPr>
        <w:t xml:space="preserve"> възниквала необходимост от предприемане на мерки за коригиране на месечните лимити за плащания или за отлагане залагането на лимити при влошаване на текущите оценки спрямо годишните разчети.</w:t>
      </w:r>
    </w:p>
    <w:p w14:paraId="6C2ECFF1" w14:textId="3491939A" w:rsidR="0048775A" w:rsidRPr="001A28D2" w:rsidRDefault="0048775A" w:rsidP="007E77CC">
      <w:pPr>
        <w:widowControl w:val="0"/>
        <w:autoSpaceDE w:val="0"/>
        <w:autoSpaceDN w:val="0"/>
        <w:adjustRightInd w:val="0"/>
        <w:ind w:firstLine="709"/>
        <w:contextualSpacing/>
        <w:jc w:val="both"/>
        <w:rPr>
          <w:i/>
          <w:color w:val="000000"/>
        </w:rPr>
      </w:pPr>
    </w:p>
    <w:p w14:paraId="5AEC4823" w14:textId="77777777" w:rsidR="00D17BAC" w:rsidRPr="001A28D2" w:rsidRDefault="00882469" w:rsidP="00882469">
      <w:pPr>
        <w:widowControl w:val="0"/>
        <w:tabs>
          <w:tab w:val="left" w:pos="284"/>
          <w:tab w:val="left" w:pos="1134"/>
        </w:tabs>
        <w:autoSpaceDE w:val="0"/>
        <w:autoSpaceDN w:val="0"/>
        <w:adjustRightInd w:val="0"/>
        <w:spacing w:after="200" w:line="276" w:lineRule="auto"/>
        <w:ind w:firstLine="709"/>
        <w:contextualSpacing/>
        <w:jc w:val="both"/>
      </w:pPr>
      <w:r w:rsidRPr="001A28D2">
        <w:t>6.</w:t>
      </w:r>
      <w:proofErr w:type="spellStart"/>
      <w:r w:rsidRPr="001A28D2">
        <w:t>6</w:t>
      </w:r>
      <w:proofErr w:type="spellEnd"/>
      <w:r w:rsidRPr="001A28D2">
        <w:t xml:space="preserve">. </w:t>
      </w:r>
      <w:r w:rsidR="009F23F9" w:rsidRPr="001A28D2">
        <w:t xml:space="preserve">Изисквания по отношение на </w:t>
      </w:r>
      <w:r w:rsidR="009F23F9" w:rsidRPr="001A28D2">
        <w:rPr>
          <w:color w:val="000000"/>
        </w:rPr>
        <w:t>сметки за чужди средства</w:t>
      </w:r>
    </w:p>
    <w:p w14:paraId="35983CA9" w14:textId="11A0F9E8" w:rsidR="002965C3" w:rsidRPr="001A28D2" w:rsidRDefault="002965C3" w:rsidP="007E77CC">
      <w:pPr>
        <w:tabs>
          <w:tab w:val="left" w:pos="284"/>
          <w:tab w:val="left" w:pos="1701"/>
        </w:tabs>
        <w:autoSpaceDE w:val="0"/>
        <w:autoSpaceDN w:val="0"/>
        <w:adjustRightInd w:val="0"/>
        <w:ind w:firstLine="709"/>
        <w:jc w:val="both"/>
        <w:rPr>
          <w:rFonts w:eastAsiaTheme="minorHAnsi"/>
          <w:bCs/>
          <w:color w:val="000000"/>
          <w:highlight w:val="yellow"/>
          <w:lang w:eastAsia="en-US"/>
        </w:rPr>
      </w:pPr>
      <w:r w:rsidRPr="001A28D2">
        <w:rPr>
          <w:rFonts w:eastAsiaTheme="minorHAnsi"/>
          <w:bCs/>
          <w:color w:val="000000"/>
          <w:lang w:eastAsia="en-US"/>
        </w:rPr>
        <w:t xml:space="preserve">През 2016 г. не са издавани изрични указания по </w:t>
      </w:r>
      <w:r w:rsidR="00C10625" w:rsidRPr="001A28D2">
        <w:rPr>
          <w:rFonts w:eastAsiaTheme="minorHAnsi"/>
          <w:bCs/>
          <w:color w:val="000000"/>
          <w:lang w:eastAsia="en-US"/>
        </w:rPr>
        <w:t xml:space="preserve">реда на чл. 150 от ЗПФ по </w:t>
      </w:r>
      <w:r w:rsidRPr="001A28D2">
        <w:rPr>
          <w:rFonts w:eastAsiaTheme="minorHAnsi"/>
          <w:bCs/>
          <w:color w:val="000000"/>
          <w:lang w:eastAsia="en-US"/>
        </w:rPr>
        <w:t>прилагане режима на сметките за чужди средства. Отделни аспекти са засягани в указания, както и в конкретни писма на МФ по повод възникнали въпроси в практиката.</w:t>
      </w:r>
      <w:r w:rsidR="00D17BAC" w:rsidRPr="001A28D2">
        <w:rPr>
          <w:rStyle w:val="FootnoteReference"/>
          <w:rFonts w:eastAsiaTheme="minorHAnsi"/>
          <w:bCs/>
          <w:color w:val="000000"/>
          <w:lang w:eastAsia="en-US"/>
        </w:rPr>
        <w:footnoteReference w:id="155"/>
      </w:r>
    </w:p>
    <w:p w14:paraId="2C5BDFFC" w14:textId="77777777" w:rsidR="002965C3" w:rsidRPr="001A28D2" w:rsidRDefault="002965C3" w:rsidP="007E77CC">
      <w:pPr>
        <w:tabs>
          <w:tab w:val="left" w:pos="284"/>
        </w:tabs>
        <w:autoSpaceDE w:val="0"/>
        <w:autoSpaceDN w:val="0"/>
        <w:adjustRightInd w:val="0"/>
        <w:ind w:firstLine="709"/>
        <w:jc w:val="both"/>
        <w:rPr>
          <w:rFonts w:eastAsiaTheme="minorHAnsi"/>
          <w:bCs/>
          <w:color w:val="000000"/>
          <w:highlight w:val="yellow"/>
          <w:lang w:eastAsia="en-US"/>
        </w:rPr>
      </w:pPr>
    </w:p>
    <w:p w14:paraId="061F23D5" w14:textId="77777777" w:rsidR="009F23F9" w:rsidRPr="001A28D2" w:rsidRDefault="00CC7B5A" w:rsidP="00CC7B5A">
      <w:pPr>
        <w:widowControl w:val="0"/>
        <w:tabs>
          <w:tab w:val="left" w:pos="1560"/>
        </w:tabs>
        <w:autoSpaceDE w:val="0"/>
        <w:autoSpaceDN w:val="0"/>
        <w:adjustRightInd w:val="0"/>
        <w:spacing w:after="200" w:line="276" w:lineRule="auto"/>
        <w:ind w:firstLine="709"/>
        <w:contextualSpacing/>
        <w:jc w:val="both"/>
      </w:pPr>
      <w:r w:rsidRPr="001A28D2">
        <w:t xml:space="preserve">6.7. </w:t>
      </w:r>
      <w:r w:rsidR="009F23F9" w:rsidRPr="001A28D2">
        <w:t xml:space="preserve">Изпълнение на </w:t>
      </w:r>
      <w:proofErr w:type="spellStart"/>
      <w:r w:rsidR="009F23F9" w:rsidRPr="001A28D2">
        <w:rPr>
          <w:bCs/>
        </w:rPr>
        <w:t>административнонаказателни</w:t>
      </w:r>
      <w:proofErr w:type="spellEnd"/>
      <w:r w:rsidR="009F23F9" w:rsidRPr="001A28D2">
        <w:rPr>
          <w:bCs/>
        </w:rPr>
        <w:t xml:space="preserve"> разпоредби по ЗПФ</w:t>
      </w:r>
    </w:p>
    <w:p w14:paraId="73AE6570" w14:textId="77777777" w:rsidR="009F23F9" w:rsidRPr="001A28D2" w:rsidRDefault="009F23F9" w:rsidP="007E77CC">
      <w:pPr>
        <w:ind w:firstLine="709"/>
        <w:jc w:val="both"/>
        <w:textAlignment w:val="center"/>
      </w:pPr>
      <w:r w:rsidRPr="001A28D2">
        <w:rPr>
          <w:color w:val="000000"/>
        </w:rPr>
        <w:t>За неизпълнение на задължение за публикуване на информация или на документи на интернет страница, виновното длъжностно лице се наказва с глоба.</w:t>
      </w:r>
      <w:r w:rsidRPr="001A28D2">
        <w:rPr>
          <w:color w:val="000000"/>
          <w:vertAlign w:val="superscript"/>
        </w:rPr>
        <w:footnoteReference w:id="156"/>
      </w:r>
    </w:p>
    <w:p w14:paraId="04766956" w14:textId="77777777" w:rsidR="009F23F9" w:rsidRPr="001A28D2" w:rsidRDefault="009F23F9" w:rsidP="00882469">
      <w:pPr>
        <w:widowControl w:val="0"/>
        <w:tabs>
          <w:tab w:val="left" w:pos="1276"/>
        </w:tabs>
        <w:autoSpaceDE w:val="0"/>
        <w:autoSpaceDN w:val="0"/>
        <w:adjustRightInd w:val="0"/>
        <w:ind w:firstLine="709"/>
        <w:contextualSpacing/>
        <w:jc w:val="both"/>
      </w:pPr>
      <w:r w:rsidRPr="001A28D2">
        <w:t xml:space="preserve">Не са съставяни </w:t>
      </w:r>
      <w:proofErr w:type="spellStart"/>
      <w:r w:rsidRPr="001A28D2">
        <w:t>актовe</w:t>
      </w:r>
      <w:proofErr w:type="spellEnd"/>
      <w:r w:rsidRPr="001A28D2">
        <w:t xml:space="preserve"> за установяване на административни нарушения и не са издавани наказателни постановления за неизпълнение на задължение за публикуване на информация или на документи на интернет страница, предвидено в </w:t>
      </w:r>
      <w:r w:rsidR="000D30B4" w:rsidRPr="001A28D2">
        <w:t>ЗПФ</w:t>
      </w:r>
      <w:r w:rsidRPr="001A28D2">
        <w:t xml:space="preserve">, в </w:t>
      </w:r>
      <w:r w:rsidR="000D30B4" w:rsidRPr="001A28D2">
        <w:t>ЗДБРБ</w:t>
      </w:r>
      <w:r w:rsidRPr="001A28D2">
        <w:t xml:space="preserve"> за съответната година или в постановлението за неговото изпълнение. </w:t>
      </w:r>
    </w:p>
    <w:p w14:paraId="4DB3AE3B" w14:textId="77777777" w:rsidR="00704C91" w:rsidRPr="001A28D2" w:rsidRDefault="00704C91" w:rsidP="00882469">
      <w:pPr>
        <w:autoSpaceDE w:val="0"/>
        <w:autoSpaceDN w:val="0"/>
        <w:adjustRightInd w:val="0"/>
        <w:ind w:firstLine="709"/>
        <w:jc w:val="both"/>
        <w:rPr>
          <w:rFonts w:eastAsiaTheme="minorHAnsi"/>
          <w:bCs/>
          <w:lang w:eastAsia="en-US"/>
        </w:rPr>
      </w:pPr>
    </w:p>
    <w:p w14:paraId="012FEACC" w14:textId="77777777" w:rsidR="00704C91" w:rsidRPr="001A28D2" w:rsidRDefault="00704C91" w:rsidP="00882469">
      <w:pPr>
        <w:autoSpaceDE w:val="0"/>
        <w:autoSpaceDN w:val="0"/>
        <w:adjustRightInd w:val="0"/>
        <w:ind w:firstLine="709"/>
        <w:jc w:val="both"/>
        <w:rPr>
          <w:rFonts w:eastAsiaTheme="minorHAnsi"/>
          <w:bCs/>
          <w:i/>
          <w:lang w:eastAsia="en-US"/>
        </w:rPr>
      </w:pPr>
      <w:r w:rsidRPr="001A28D2">
        <w:rPr>
          <w:rFonts w:eastAsiaTheme="minorHAnsi"/>
          <w:bCs/>
          <w:i/>
          <w:lang w:eastAsia="en-US"/>
        </w:rPr>
        <w:t>Не са издавани наказателни постановления за нарушения по ЗПФ.</w:t>
      </w:r>
      <w:r w:rsidRPr="001A28D2">
        <w:rPr>
          <w:rFonts w:eastAsiaTheme="minorHAnsi"/>
          <w:bCs/>
          <w:i/>
          <w:vertAlign w:val="superscript"/>
          <w:lang w:eastAsia="en-US"/>
        </w:rPr>
        <w:footnoteReference w:id="157"/>
      </w:r>
    </w:p>
    <w:p w14:paraId="264F5406" w14:textId="6EB425F3" w:rsidR="00552DFB" w:rsidRPr="001A28D2" w:rsidRDefault="00552DFB" w:rsidP="00882469">
      <w:pPr>
        <w:autoSpaceDE w:val="0"/>
        <w:autoSpaceDN w:val="0"/>
        <w:adjustRightInd w:val="0"/>
        <w:ind w:firstLine="1134"/>
        <w:jc w:val="both"/>
        <w:rPr>
          <w:i/>
        </w:rPr>
      </w:pPr>
    </w:p>
    <w:p w14:paraId="4C5741B2" w14:textId="77777777" w:rsidR="00552DFB" w:rsidRPr="001A28D2" w:rsidRDefault="00552DFB" w:rsidP="00552DFB">
      <w:pPr>
        <w:tabs>
          <w:tab w:val="left" w:pos="1134"/>
        </w:tabs>
        <w:autoSpaceDE w:val="0"/>
        <w:autoSpaceDN w:val="0"/>
        <w:adjustRightInd w:val="0"/>
        <w:ind w:firstLine="709"/>
        <w:jc w:val="both"/>
        <w:rPr>
          <w:b/>
        </w:rPr>
      </w:pPr>
      <w:r w:rsidRPr="001A28D2">
        <w:rPr>
          <w:b/>
        </w:rPr>
        <w:lastRenderedPageBreak/>
        <w:t>IV.</w:t>
      </w:r>
      <w:r w:rsidRPr="001A28D2">
        <w:rPr>
          <w:b/>
        </w:rPr>
        <w:tab/>
        <w:t xml:space="preserve">Степен на изпълнението на дадените препоръки при одита на отчета за изпълнението на ДБ на РБ за 2015 г. </w:t>
      </w:r>
    </w:p>
    <w:p w14:paraId="4A803500" w14:textId="77777777" w:rsidR="00DC4257" w:rsidRPr="001A28D2" w:rsidRDefault="00DC4257" w:rsidP="00882469">
      <w:pPr>
        <w:autoSpaceDE w:val="0"/>
        <w:autoSpaceDN w:val="0"/>
        <w:adjustRightInd w:val="0"/>
        <w:ind w:firstLine="1134"/>
        <w:jc w:val="both"/>
        <w:rPr>
          <w:i/>
        </w:rPr>
      </w:pPr>
    </w:p>
    <w:p w14:paraId="337E0F60" w14:textId="77777777" w:rsidR="00552DFB" w:rsidRPr="001A28D2" w:rsidRDefault="00552DFB" w:rsidP="00552DFB">
      <w:pPr>
        <w:ind w:firstLine="709"/>
        <w:jc w:val="both"/>
      </w:pPr>
      <w:r w:rsidRPr="001A28D2">
        <w:t>Извършен е контрол за изпълнението на препоръките по Одитен доклад № 0060200616 за извършен одит на отчета за изпълнението на държавния бюджет на Република България за периода от 01.</w:t>
      </w:r>
      <w:proofErr w:type="spellStart"/>
      <w:r w:rsidRPr="001A28D2">
        <w:t>01</w:t>
      </w:r>
      <w:proofErr w:type="spellEnd"/>
      <w:r w:rsidRPr="001A28D2">
        <w:t>.2015 г. до 31.12.2015 г.</w:t>
      </w:r>
    </w:p>
    <w:p w14:paraId="0620AF91" w14:textId="2BCF6798" w:rsidR="00552DFB" w:rsidRPr="001A28D2" w:rsidRDefault="00552DFB" w:rsidP="00552DFB">
      <w:pPr>
        <w:ind w:firstLine="709"/>
        <w:jc w:val="both"/>
      </w:pPr>
      <w:r w:rsidRPr="001A28D2">
        <w:t>На основание чл. 49, ал. 1 от ЗСП на министъра на финансите е изпратен окончателен одитен доклад</w:t>
      </w:r>
      <w:r w:rsidRPr="001A28D2">
        <w:rPr>
          <w:rStyle w:val="FootnoteReference"/>
        </w:rPr>
        <w:footnoteReference w:id="158"/>
      </w:r>
      <w:r w:rsidRPr="001A28D2">
        <w:t xml:space="preserve"> с 6 (шест) броя препоръки за подобряване на дейността в МФ по мониторинг на процесите, </w:t>
      </w:r>
      <w:proofErr w:type="spellStart"/>
      <w:r w:rsidRPr="001A28D2">
        <w:t>относими</w:t>
      </w:r>
      <w:proofErr w:type="spellEnd"/>
      <w:r w:rsidRPr="001A28D2">
        <w:t xml:space="preserve"> към изпълнението на държавния бюджет.</w:t>
      </w:r>
    </w:p>
    <w:p w14:paraId="2EFC116A" w14:textId="77777777" w:rsidR="00552DFB" w:rsidRPr="001A28D2" w:rsidRDefault="00552DFB" w:rsidP="00552DFB">
      <w:pPr>
        <w:ind w:firstLine="709"/>
        <w:jc w:val="both"/>
      </w:pPr>
      <w:r w:rsidRPr="001A28D2">
        <w:t>На основание чл. 50, ал. 2 от ЗСП, в определения срок министърът на финансите е уведомил</w:t>
      </w:r>
      <w:r w:rsidRPr="001A28D2">
        <w:rPr>
          <w:rStyle w:val="FootnoteReference"/>
        </w:rPr>
        <w:footnoteReference w:id="159"/>
      </w:r>
      <w:r w:rsidRPr="001A28D2">
        <w:t xml:space="preserve"> председателя на Сметната палата за предприети действия и мерки за изпълнение на дадените препоръки, като са приложени и определени документи, доказващи изпълнението им.</w:t>
      </w:r>
    </w:p>
    <w:p w14:paraId="1734CAC7" w14:textId="297761C4" w:rsidR="00552DFB" w:rsidRPr="001A28D2" w:rsidRDefault="00552DFB" w:rsidP="00552DFB">
      <w:pPr>
        <w:ind w:firstLine="709"/>
        <w:jc w:val="both"/>
      </w:pPr>
      <w:r w:rsidRPr="001A28D2">
        <w:t>Проверката има за цел да установи съответствието между дадените препоръки в доклада по чл.</w:t>
      </w:r>
      <w:r w:rsidR="00FD3671" w:rsidRPr="001A28D2">
        <w:t> </w:t>
      </w:r>
      <w:r w:rsidRPr="001A28D2">
        <w:t>48, ал.</w:t>
      </w:r>
      <w:r w:rsidR="00FD3671" w:rsidRPr="001A28D2">
        <w:t> </w:t>
      </w:r>
      <w:r w:rsidRPr="001A28D2">
        <w:t>1 от ЗСП, получената информация от МФ и действително предприетите мерки и извършени действия за изпълнението им.</w:t>
      </w:r>
    </w:p>
    <w:p w14:paraId="5F5401C4" w14:textId="77777777" w:rsidR="00552DFB" w:rsidRPr="001A28D2" w:rsidRDefault="00552DFB" w:rsidP="00552DFB">
      <w:pPr>
        <w:ind w:firstLine="709"/>
        <w:jc w:val="both"/>
      </w:pPr>
      <w:r w:rsidRPr="001A28D2">
        <w:t xml:space="preserve">При осъществения </w:t>
      </w:r>
      <w:proofErr w:type="spellStart"/>
      <w:r w:rsidRPr="001A28D2">
        <w:t>последващ</w:t>
      </w:r>
      <w:proofErr w:type="spellEnd"/>
      <w:r w:rsidRPr="001A28D2">
        <w:t xml:space="preserve"> контрол за изпълнението на препоръките е установено:</w:t>
      </w:r>
    </w:p>
    <w:p w14:paraId="5F3E7F9C" w14:textId="1A851E44" w:rsidR="00552DFB" w:rsidRPr="001A28D2" w:rsidRDefault="00552DFB" w:rsidP="00552DFB">
      <w:pPr>
        <w:ind w:firstLine="709"/>
        <w:jc w:val="both"/>
      </w:pPr>
      <w:r w:rsidRPr="001A28D2">
        <w:rPr>
          <w:b/>
        </w:rPr>
        <w:t>По препоръка № 1.</w:t>
      </w:r>
      <w:r w:rsidRPr="001A28D2">
        <w:t xml:space="preserve"> </w:t>
      </w:r>
      <w:r w:rsidRPr="001A28D2">
        <w:rPr>
          <w:i/>
        </w:rPr>
        <w:t>Да се извърши анализ на възможностите за редуциране на броя на извършените промени по бюджетите на първостепенните разпоредители с бюджет по реда на ЗПФ.</w:t>
      </w:r>
    </w:p>
    <w:p w14:paraId="7BB260CE" w14:textId="554853E7" w:rsidR="00552DFB" w:rsidRPr="001A28D2" w:rsidRDefault="00552DFB" w:rsidP="00552DFB">
      <w:pPr>
        <w:ind w:firstLine="709"/>
        <w:jc w:val="both"/>
      </w:pPr>
      <w:r w:rsidRPr="001A28D2">
        <w:t>Разписани са правила</w:t>
      </w:r>
      <w:r w:rsidRPr="001A28D2">
        <w:rPr>
          <w:rStyle w:val="FootnoteReference"/>
        </w:rPr>
        <w:footnoteReference w:id="160"/>
      </w:r>
      <w:r w:rsidRPr="001A28D2">
        <w:t xml:space="preserve"> з</w:t>
      </w:r>
      <w:r w:rsidR="003507EA" w:rsidRPr="001A28D2">
        <w:t>а текущо извършване на промени/</w:t>
      </w:r>
      <w:r w:rsidRPr="001A28D2">
        <w:t xml:space="preserve">предложения за промени по бюджетите на ПРБ. </w:t>
      </w:r>
    </w:p>
    <w:p w14:paraId="0538B693" w14:textId="77777777" w:rsidR="00552DFB" w:rsidRPr="001A28D2" w:rsidRDefault="00552DFB" w:rsidP="00552DFB">
      <w:pPr>
        <w:ind w:firstLine="709"/>
        <w:jc w:val="both"/>
      </w:pPr>
      <w:r w:rsidRPr="001A28D2">
        <w:t>За 2015 г. са извършени общо 1 274 промени, в т.ч. 323 въз основа на РМС/ПМС, 704 одобрени от министъра на финансите по реда на ЗПФ, и 247 вътрешно компенсирани промени.</w:t>
      </w:r>
      <w:r w:rsidRPr="001A28D2">
        <w:rPr>
          <w:rStyle w:val="FootnoteReference"/>
        </w:rPr>
        <w:footnoteReference w:id="161"/>
      </w:r>
      <w:r w:rsidRPr="001A28D2">
        <w:t xml:space="preserve"> </w:t>
      </w:r>
    </w:p>
    <w:p w14:paraId="6BC0E311" w14:textId="77777777" w:rsidR="00552DFB" w:rsidRPr="001A28D2" w:rsidRDefault="00552DFB" w:rsidP="00552DFB">
      <w:pPr>
        <w:ind w:firstLine="709"/>
        <w:jc w:val="both"/>
      </w:pPr>
      <w:r w:rsidRPr="001A28D2">
        <w:t>За 2016 г. са извършени 1 176 промени общо по бюджетите на ПРБ по ДБ, в т. ч. 323 въз основа на акт на МС, 536 с одобрение от МФ, 317 са извършени от ПРБ.</w:t>
      </w:r>
      <w:r w:rsidRPr="001A28D2">
        <w:rPr>
          <w:rStyle w:val="FootnoteReference"/>
        </w:rPr>
        <w:footnoteReference w:id="162"/>
      </w:r>
    </w:p>
    <w:p w14:paraId="61D3EFD2" w14:textId="64FA643F" w:rsidR="00552DFB" w:rsidRPr="001A28D2" w:rsidRDefault="007727A6" w:rsidP="00552DFB">
      <w:pPr>
        <w:ind w:firstLine="709"/>
        <w:jc w:val="both"/>
      </w:pPr>
      <w:r w:rsidRPr="001A28D2">
        <w:t>От директора на Дирекция „Държавни разходи“ е одобрен анализ за възможностите за редуциране на броя на извършените промени по бюджетите на ПРБ по реда на ЗПФ.</w:t>
      </w:r>
      <w:r w:rsidRPr="001A28D2">
        <w:rPr>
          <w:rStyle w:val="FootnoteReference"/>
        </w:rPr>
        <w:footnoteReference w:id="163"/>
      </w:r>
      <w:r w:rsidRPr="001A28D2">
        <w:t xml:space="preserve"> </w:t>
      </w:r>
    </w:p>
    <w:p w14:paraId="0CB541FE" w14:textId="77777777" w:rsidR="003E19A6" w:rsidRPr="001A28D2" w:rsidRDefault="003E19A6" w:rsidP="00552DFB">
      <w:pPr>
        <w:ind w:firstLine="709"/>
        <w:jc w:val="both"/>
        <w:rPr>
          <w:i/>
        </w:rPr>
      </w:pPr>
    </w:p>
    <w:p w14:paraId="1AA433D1" w14:textId="16E63F4B" w:rsidR="00552DFB" w:rsidRPr="001A28D2" w:rsidRDefault="00552DFB" w:rsidP="00552DFB">
      <w:pPr>
        <w:ind w:firstLine="709"/>
        <w:jc w:val="both"/>
      </w:pPr>
      <w:r w:rsidRPr="001A28D2">
        <w:rPr>
          <w:i/>
        </w:rPr>
        <w:t>Препоръката е изпълнена</w:t>
      </w:r>
      <w:r w:rsidRPr="001A28D2">
        <w:t>.</w:t>
      </w:r>
    </w:p>
    <w:p w14:paraId="4B0BC9F6" w14:textId="77777777" w:rsidR="00552DFB" w:rsidRPr="001A28D2" w:rsidRDefault="00552DFB" w:rsidP="00552DFB">
      <w:pPr>
        <w:ind w:firstLine="709"/>
        <w:jc w:val="both"/>
      </w:pPr>
    </w:p>
    <w:p w14:paraId="1E4FCA38" w14:textId="77777777" w:rsidR="00552DFB" w:rsidRPr="001A28D2" w:rsidRDefault="00676FF6" w:rsidP="00552DFB">
      <w:pPr>
        <w:ind w:firstLine="709"/>
        <w:jc w:val="both"/>
        <w:rPr>
          <w:i/>
        </w:rPr>
      </w:pPr>
      <w:r w:rsidRPr="001A28D2">
        <w:rPr>
          <w:b/>
        </w:rPr>
        <w:t>По препоръка № 2.</w:t>
      </w:r>
      <w:r w:rsidR="00552DFB" w:rsidRPr="001A28D2">
        <w:rPr>
          <w:b/>
        </w:rPr>
        <w:t xml:space="preserve"> </w:t>
      </w:r>
      <w:r w:rsidR="00552DFB" w:rsidRPr="001A28D2">
        <w:rPr>
          <w:i/>
        </w:rPr>
        <w:t xml:space="preserve">Да се въведе контролна процедура за своевременно уведомяване на ПРБ за предприемане на мерки за недопускане на </w:t>
      </w:r>
      <w:proofErr w:type="spellStart"/>
      <w:r w:rsidR="00552DFB" w:rsidRPr="001A28D2">
        <w:rPr>
          <w:i/>
        </w:rPr>
        <w:t>превишение</w:t>
      </w:r>
      <w:proofErr w:type="spellEnd"/>
      <w:r w:rsidR="00552DFB" w:rsidRPr="001A28D2">
        <w:rPr>
          <w:i/>
        </w:rPr>
        <w:t xml:space="preserve"> на определените максимални размери на ангажиментите и новите задължения за разходи.</w:t>
      </w:r>
    </w:p>
    <w:p w14:paraId="760D96BD" w14:textId="1EE44759" w:rsidR="00552DFB" w:rsidRPr="001A28D2" w:rsidRDefault="00552DFB" w:rsidP="00552DFB">
      <w:pPr>
        <w:ind w:firstLine="709"/>
        <w:jc w:val="both"/>
      </w:pPr>
      <w:r w:rsidRPr="001A28D2">
        <w:t>На база на получената в МФ отчетна информация от ПРБ за поетите ангажименти и натрупаните нови задължения за разходи са изпратени писма</w:t>
      </w:r>
      <w:r w:rsidRPr="001A28D2">
        <w:rPr>
          <w:rStyle w:val="FootnoteReference"/>
        </w:rPr>
        <w:footnoteReference w:id="164"/>
      </w:r>
      <w:r w:rsidRPr="001A28D2">
        <w:t xml:space="preserve"> за уведомяване на тези </w:t>
      </w:r>
      <w:r w:rsidRPr="001A28D2">
        <w:lastRenderedPageBreak/>
        <w:t>ПРБ, при които е налице надвишаване на 50 на сто и 75 на сто от утвърдените по план годишни размери на ангажиментите и/или на новите задължения за разходи съответно към 30.06.2016 г. и 30.09.2016 г. Дадено е указание на ПРБ да извършат анализ на отчетените и предстоящите ангажименти и нови задължения за разходи по бюджетите им и при установяване на рискове да предприемат действия за предотвратяване нарушаването на финансовата дисциплина.</w:t>
      </w:r>
    </w:p>
    <w:p w14:paraId="025CCD0C" w14:textId="44F6D272" w:rsidR="00552DFB" w:rsidRPr="001A28D2" w:rsidRDefault="00285A34" w:rsidP="00552DFB">
      <w:pPr>
        <w:ind w:firstLine="709"/>
        <w:jc w:val="both"/>
      </w:pPr>
      <w:r w:rsidRPr="001A28D2">
        <w:t>Н</w:t>
      </w:r>
      <w:r w:rsidR="00552DFB" w:rsidRPr="001A28D2">
        <w:t xml:space="preserve">е е </w:t>
      </w:r>
      <w:r w:rsidR="007E6102" w:rsidRPr="001A28D2">
        <w:t xml:space="preserve">писмено </w:t>
      </w:r>
      <w:r w:rsidR="003D47F2" w:rsidRPr="001A28D2">
        <w:t xml:space="preserve">въведена </w:t>
      </w:r>
      <w:r w:rsidR="00552DFB" w:rsidRPr="001A28D2">
        <w:t>контролна процедура за своевременно уведомяване</w:t>
      </w:r>
      <w:r w:rsidRPr="001A28D2">
        <w:t>,</w:t>
      </w:r>
      <w:r w:rsidR="00552DFB" w:rsidRPr="001A28D2">
        <w:t xml:space="preserve"> </w:t>
      </w:r>
      <w:r w:rsidR="0022090E" w:rsidRPr="001A28D2">
        <w:t xml:space="preserve">но </w:t>
      </w:r>
      <w:r w:rsidRPr="001A28D2">
        <w:rPr>
          <w:szCs w:val="20"/>
          <w:lang w:eastAsia="en-US"/>
        </w:rPr>
        <w:t xml:space="preserve">от министъра на финансите се изпращат писма за уведомяване на ПРБ, при които е налице надвишаване с 50 на сто </w:t>
      </w:r>
      <w:r w:rsidR="007E6102" w:rsidRPr="001A28D2">
        <w:rPr>
          <w:szCs w:val="20"/>
          <w:lang w:eastAsia="en-US"/>
        </w:rPr>
        <w:t xml:space="preserve">към края на </w:t>
      </w:r>
      <w:r w:rsidRPr="001A28D2">
        <w:rPr>
          <w:szCs w:val="20"/>
          <w:lang w:eastAsia="en-US"/>
        </w:rPr>
        <w:t xml:space="preserve">шестмесечието и 75 на сто </w:t>
      </w:r>
      <w:r w:rsidR="007E6102" w:rsidRPr="001A28D2">
        <w:rPr>
          <w:szCs w:val="20"/>
          <w:lang w:eastAsia="en-US"/>
        </w:rPr>
        <w:t>към</w:t>
      </w:r>
      <w:r w:rsidRPr="001A28D2">
        <w:rPr>
          <w:szCs w:val="20"/>
          <w:lang w:eastAsia="en-US"/>
        </w:rPr>
        <w:t xml:space="preserve"> </w:t>
      </w:r>
      <w:r w:rsidR="003D47F2" w:rsidRPr="001A28D2">
        <w:rPr>
          <w:szCs w:val="20"/>
          <w:lang w:eastAsia="en-US"/>
        </w:rPr>
        <w:t xml:space="preserve">края на </w:t>
      </w:r>
      <w:r w:rsidRPr="001A28D2">
        <w:rPr>
          <w:szCs w:val="20"/>
          <w:lang w:eastAsia="en-US"/>
        </w:rPr>
        <w:t>деветмесечието на утвърдените по план годишни размери на ангажиментите и/или новите задължения за разходи.</w:t>
      </w:r>
    </w:p>
    <w:p w14:paraId="6F2B6C39" w14:textId="77777777" w:rsidR="00285A34" w:rsidRPr="001A28D2" w:rsidRDefault="00285A34" w:rsidP="00421720">
      <w:pPr>
        <w:autoSpaceDE w:val="0"/>
        <w:autoSpaceDN w:val="0"/>
        <w:adjustRightInd w:val="0"/>
        <w:ind w:firstLine="709"/>
        <w:jc w:val="both"/>
        <w:rPr>
          <w:i/>
        </w:rPr>
      </w:pPr>
    </w:p>
    <w:p w14:paraId="534D1695" w14:textId="6121F7C7" w:rsidR="00285A34" w:rsidRPr="001A28D2" w:rsidRDefault="00285A34" w:rsidP="00421720">
      <w:pPr>
        <w:autoSpaceDE w:val="0"/>
        <w:autoSpaceDN w:val="0"/>
        <w:adjustRightInd w:val="0"/>
        <w:ind w:firstLine="709"/>
        <w:jc w:val="both"/>
        <w:rPr>
          <w:i/>
        </w:rPr>
      </w:pPr>
      <w:r w:rsidRPr="001A28D2">
        <w:rPr>
          <w:i/>
        </w:rPr>
        <w:t>Препоръката е изпълнена частично.</w:t>
      </w:r>
    </w:p>
    <w:p w14:paraId="1BF345CF" w14:textId="77777777" w:rsidR="00552DFB" w:rsidRPr="001A28D2" w:rsidRDefault="00552DFB" w:rsidP="00552DFB">
      <w:pPr>
        <w:ind w:firstLine="709"/>
        <w:jc w:val="both"/>
      </w:pPr>
    </w:p>
    <w:p w14:paraId="5EC9E433" w14:textId="77777777" w:rsidR="00552DFB" w:rsidRPr="001A28D2" w:rsidRDefault="00552DFB" w:rsidP="00552DFB">
      <w:pPr>
        <w:ind w:firstLine="709"/>
        <w:jc w:val="both"/>
        <w:rPr>
          <w:i/>
        </w:rPr>
      </w:pPr>
      <w:r w:rsidRPr="001A28D2">
        <w:rPr>
          <w:b/>
        </w:rPr>
        <w:t xml:space="preserve">По препоръка № 3. </w:t>
      </w:r>
      <w:r w:rsidRPr="001A28D2">
        <w:rPr>
          <w:i/>
        </w:rPr>
        <w:t>Да се определи срок за изготвянето на информация за въздействието на данъчните разходи върху бюджетните приходи.</w:t>
      </w:r>
    </w:p>
    <w:p w14:paraId="024455BE" w14:textId="5CE684A7" w:rsidR="00552DFB" w:rsidRPr="001A28D2" w:rsidRDefault="00552DFB" w:rsidP="00552DFB">
      <w:pPr>
        <w:ind w:firstLine="709"/>
        <w:jc w:val="both"/>
      </w:pPr>
      <w:r w:rsidRPr="001A28D2">
        <w:t>От министъра на финансите е издадена заповед</w:t>
      </w:r>
      <w:r w:rsidRPr="001A28D2">
        <w:rPr>
          <w:rStyle w:val="FootnoteReference"/>
        </w:rPr>
        <w:footnoteReference w:id="165"/>
      </w:r>
      <w:r w:rsidRPr="001A28D2">
        <w:t xml:space="preserve"> годишният доклад за въздействието на данъчните разходи върху бюджетните приходи да се изготвя в срок до 31 октомври на следващата година.</w:t>
      </w:r>
      <w:r w:rsidR="00DC0D7E" w:rsidRPr="001A28D2">
        <w:rPr>
          <w:rStyle w:val="FootnoteReference"/>
        </w:rPr>
        <w:footnoteReference w:id="166"/>
      </w:r>
    </w:p>
    <w:p w14:paraId="5F327779" w14:textId="77777777" w:rsidR="00421720" w:rsidRPr="001A28D2" w:rsidRDefault="00421720" w:rsidP="00552DFB">
      <w:pPr>
        <w:ind w:firstLine="709"/>
        <w:jc w:val="both"/>
        <w:rPr>
          <w:i/>
        </w:rPr>
      </w:pPr>
    </w:p>
    <w:p w14:paraId="129A0C01" w14:textId="3F4BEF92" w:rsidR="00552DFB" w:rsidRPr="001A28D2" w:rsidRDefault="00552DFB" w:rsidP="00552DFB">
      <w:pPr>
        <w:ind w:firstLine="709"/>
        <w:jc w:val="both"/>
        <w:rPr>
          <w:i/>
        </w:rPr>
      </w:pPr>
      <w:r w:rsidRPr="001A28D2">
        <w:rPr>
          <w:i/>
        </w:rPr>
        <w:t>Препоръката е изпълнена.</w:t>
      </w:r>
    </w:p>
    <w:p w14:paraId="3ACB3BC3" w14:textId="77777777" w:rsidR="00552DFB" w:rsidRPr="001A28D2" w:rsidRDefault="00552DFB" w:rsidP="00552DFB">
      <w:pPr>
        <w:ind w:firstLine="709"/>
        <w:jc w:val="both"/>
      </w:pPr>
    </w:p>
    <w:p w14:paraId="21C07791" w14:textId="77777777" w:rsidR="00552DFB" w:rsidRPr="001A28D2" w:rsidRDefault="00552DFB" w:rsidP="00552DFB">
      <w:pPr>
        <w:ind w:firstLine="709"/>
        <w:jc w:val="both"/>
        <w:rPr>
          <w:i/>
        </w:rPr>
      </w:pPr>
      <w:r w:rsidRPr="001A28D2">
        <w:rPr>
          <w:b/>
        </w:rPr>
        <w:t xml:space="preserve">По препоръка № 4. </w:t>
      </w:r>
      <w:r w:rsidRPr="001A28D2">
        <w:rPr>
          <w:i/>
        </w:rPr>
        <w:t xml:space="preserve">В ежегодните доклади за данъчните разходи да се добавя информация относно това откога действа всяка </w:t>
      </w:r>
      <w:proofErr w:type="spellStart"/>
      <w:r w:rsidRPr="001A28D2">
        <w:rPr>
          <w:i/>
        </w:rPr>
        <w:t>относима</w:t>
      </w:r>
      <w:proofErr w:type="spellEnd"/>
      <w:r w:rsidRPr="001A28D2">
        <w:rPr>
          <w:i/>
        </w:rPr>
        <w:t xml:space="preserve"> за текущата бюджетна година данъчна мярка.</w:t>
      </w:r>
    </w:p>
    <w:p w14:paraId="6FB7B357" w14:textId="77777777" w:rsidR="00552DFB" w:rsidRPr="001A28D2" w:rsidRDefault="00552DFB" w:rsidP="00552DFB">
      <w:pPr>
        <w:ind w:firstLine="709"/>
        <w:jc w:val="both"/>
      </w:pPr>
      <w:r w:rsidRPr="001A28D2">
        <w:t>В годишния доклад</w:t>
      </w:r>
      <w:r w:rsidRPr="001A28D2">
        <w:rPr>
          <w:rStyle w:val="FootnoteReference"/>
        </w:rPr>
        <w:footnoteReference w:id="167"/>
      </w:r>
      <w:r w:rsidRPr="001A28D2">
        <w:t xml:space="preserve"> за въздействието на данъчните разходи върху бюджетните приходи за 2015 г. е включена информация, която посочва датата, от която е в сила съответната данъчна мярка. </w:t>
      </w:r>
    </w:p>
    <w:p w14:paraId="63EE681B" w14:textId="77777777" w:rsidR="00FD3671" w:rsidRPr="001A28D2" w:rsidRDefault="00FD3671" w:rsidP="00552DFB">
      <w:pPr>
        <w:ind w:firstLine="709"/>
        <w:jc w:val="both"/>
        <w:rPr>
          <w:i/>
        </w:rPr>
      </w:pPr>
    </w:p>
    <w:p w14:paraId="7567FD40" w14:textId="77777777" w:rsidR="00552DFB" w:rsidRPr="001A28D2" w:rsidRDefault="00552DFB" w:rsidP="00552DFB">
      <w:pPr>
        <w:ind w:firstLine="709"/>
        <w:jc w:val="both"/>
        <w:rPr>
          <w:i/>
        </w:rPr>
      </w:pPr>
      <w:r w:rsidRPr="001A28D2">
        <w:rPr>
          <w:i/>
        </w:rPr>
        <w:t>Препоръката е изпълнена.</w:t>
      </w:r>
    </w:p>
    <w:p w14:paraId="316B68C7" w14:textId="77777777" w:rsidR="00552DFB" w:rsidRPr="001A28D2" w:rsidRDefault="00552DFB" w:rsidP="00552DFB">
      <w:pPr>
        <w:ind w:firstLine="709"/>
        <w:jc w:val="both"/>
      </w:pPr>
    </w:p>
    <w:p w14:paraId="009F5CC2" w14:textId="77777777" w:rsidR="00552DFB" w:rsidRPr="001A28D2" w:rsidRDefault="00552DFB" w:rsidP="00552DFB">
      <w:pPr>
        <w:ind w:firstLine="709"/>
        <w:jc w:val="both"/>
        <w:rPr>
          <w:i/>
        </w:rPr>
      </w:pPr>
      <w:r w:rsidRPr="001A28D2">
        <w:rPr>
          <w:b/>
        </w:rPr>
        <w:t xml:space="preserve">По препоръка № 5. </w:t>
      </w:r>
      <w:r w:rsidRPr="001A28D2">
        <w:rPr>
          <w:i/>
        </w:rPr>
        <w:t>В ежегодните доклади за данъчните разходи да бъде включена количествена оценка на ефекта от всеки данъчен разход или мотиви за отсъствието на такава.</w:t>
      </w:r>
    </w:p>
    <w:p w14:paraId="7CB6365F" w14:textId="1D7A5168" w:rsidR="00552DFB" w:rsidRPr="001A28D2" w:rsidRDefault="00552DFB" w:rsidP="00552DFB">
      <w:pPr>
        <w:ind w:firstLine="709"/>
        <w:jc w:val="both"/>
      </w:pPr>
      <w:r w:rsidRPr="001A28D2">
        <w:t>В годишния доклад</w:t>
      </w:r>
      <w:r w:rsidRPr="001A28D2">
        <w:rPr>
          <w:rStyle w:val="FootnoteReference"/>
        </w:rPr>
        <w:footnoteReference w:id="168"/>
      </w:r>
      <w:r w:rsidRPr="001A28D2">
        <w:t xml:space="preserve"> за въздействието на данъчните разходи върху бюджетните приходи за 2015 г. от 39 данъчни разхода са оценени 26, а 13 не са оценени</w:t>
      </w:r>
      <w:r w:rsidR="00657307" w:rsidRPr="001A28D2">
        <w:t>,</w:t>
      </w:r>
      <w:r w:rsidR="000D76C4" w:rsidRPr="001A28D2">
        <w:t xml:space="preserve"> </w:t>
      </w:r>
      <w:r w:rsidR="00657307" w:rsidRPr="001A28D2">
        <w:t>к</w:t>
      </w:r>
      <w:r w:rsidRPr="001A28D2">
        <w:t>ато с</w:t>
      </w:r>
      <w:r w:rsidR="00657307" w:rsidRPr="001A28D2">
        <w:t>а</w:t>
      </w:r>
      <w:r w:rsidRPr="001A28D2">
        <w:t xml:space="preserve"> посоч</w:t>
      </w:r>
      <w:r w:rsidR="00657307" w:rsidRPr="001A28D2">
        <w:t>ени</w:t>
      </w:r>
      <w:r w:rsidRPr="001A28D2">
        <w:t xml:space="preserve"> </w:t>
      </w:r>
      <w:r w:rsidR="00657307" w:rsidRPr="001A28D2">
        <w:t>причини</w:t>
      </w:r>
      <w:r w:rsidR="004C19CB" w:rsidRPr="001A28D2">
        <w:t>те</w:t>
      </w:r>
      <w:r w:rsidR="00657307" w:rsidRPr="001A28D2">
        <w:t xml:space="preserve"> за липсата на оценка </w:t>
      </w:r>
      <w:r w:rsidR="004C19CB" w:rsidRPr="001A28D2">
        <w:t xml:space="preserve">- </w:t>
      </w:r>
      <w:r w:rsidRPr="001A28D2">
        <w:t xml:space="preserve">недостатъчна или обобщена информация, която не може да се използва, за да бъде надеждно оценен данъчният разход. </w:t>
      </w:r>
    </w:p>
    <w:p w14:paraId="7550C7AE" w14:textId="6B6F486C" w:rsidR="00552DFB" w:rsidRPr="001A28D2" w:rsidRDefault="00552DFB" w:rsidP="00552DFB">
      <w:pPr>
        <w:ind w:firstLine="709"/>
        <w:jc w:val="both"/>
        <w:rPr>
          <w:i/>
        </w:rPr>
      </w:pPr>
      <w:r w:rsidRPr="001A28D2">
        <w:rPr>
          <w:i/>
        </w:rPr>
        <w:lastRenderedPageBreak/>
        <w:t>Препоръката е изпълнена.</w:t>
      </w:r>
    </w:p>
    <w:p w14:paraId="37095C9E" w14:textId="77777777" w:rsidR="00552DFB" w:rsidRPr="001A28D2" w:rsidRDefault="00552DFB" w:rsidP="00552DFB">
      <w:pPr>
        <w:ind w:firstLine="709"/>
        <w:jc w:val="both"/>
      </w:pPr>
    </w:p>
    <w:p w14:paraId="7D32DD5B" w14:textId="77777777" w:rsidR="00552DFB" w:rsidRPr="001A28D2" w:rsidRDefault="00552DFB" w:rsidP="00552DFB">
      <w:pPr>
        <w:ind w:firstLine="709"/>
        <w:jc w:val="both"/>
        <w:rPr>
          <w:i/>
        </w:rPr>
      </w:pPr>
      <w:r w:rsidRPr="001A28D2">
        <w:rPr>
          <w:b/>
        </w:rPr>
        <w:t xml:space="preserve">По препоръка № 6. </w:t>
      </w:r>
      <w:r w:rsidRPr="001A28D2">
        <w:rPr>
          <w:i/>
        </w:rPr>
        <w:t xml:space="preserve">Да се </w:t>
      </w:r>
      <w:proofErr w:type="spellStart"/>
      <w:r w:rsidRPr="001A28D2">
        <w:rPr>
          <w:i/>
        </w:rPr>
        <w:t>оправомощят</w:t>
      </w:r>
      <w:proofErr w:type="spellEnd"/>
      <w:r w:rsidRPr="001A28D2">
        <w:rPr>
          <w:i/>
        </w:rPr>
        <w:t xml:space="preserve"> лица, отговорни за контрол по спазването на изискванията на чл. 173, чл. 173а и чл. 173б от ЗПФ и за съставяне на актове за установяване на нарушения.</w:t>
      </w:r>
    </w:p>
    <w:p w14:paraId="2362E299" w14:textId="77777777" w:rsidR="00552DFB" w:rsidRPr="001A28D2" w:rsidRDefault="00552DFB" w:rsidP="00552DFB">
      <w:pPr>
        <w:ind w:firstLine="709"/>
        <w:jc w:val="both"/>
      </w:pPr>
      <w:r w:rsidRPr="001A28D2">
        <w:t>От министъра на финансите са издадени заповеди</w:t>
      </w:r>
      <w:r w:rsidRPr="001A28D2">
        <w:rPr>
          <w:rStyle w:val="FootnoteReference"/>
        </w:rPr>
        <w:footnoteReference w:id="169"/>
      </w:r>
      <w:r w:rsidRPr="001A28D2">
        <w:t xml:space="preserve"> за </w:t>
      </w:r>
      <w:proofErr w:type="spellStart"/>
      <w:r w:rsidRPr="001A28D2">
        <w:t>оправомощаване</w:t>
      </w:r>
      <w:proofErr w:type="spellEnd"/>
      <w:r w:rsidRPr="001A28D2">
        <w:t xml:space="preserve"> на длъжностни лица, отговорни за контрол по спазването на изискванията на чл. 173, чл. 173а и чл. 173б от ЗПФ и за съставяне на актове за установяване на административни нарушения (АУАН). Издадена е заповед</w:t>
      </w:r>
      <w:r w:rsidRPr="001A28D2">
        <w:rPr>
          <w:rStyle w:val="FootnoteReference"/>
        </w:rPr>
        <w:footnoteReference w:id="170"/>
      </w:r>
      <w:r w:rsidRPr="001A28D2">
        <w:t xml:space="preserve"> за </w:t>
      </w:r>
      <w:proofErr w:type="spellStart"/>
      <w:r w:rsidRPr="001A28D2">
        <w:t>оправомощаване</w:t>
      </w:r>
      <w:proofErr w:type="spellEnd"/>
      <w:r w:rsidRPr="001A28D2">
        <w:t xml:space="preserve"> на финансовите инспектори от АДФИ да съставят АУАН по чл. 173, чл. 173а и чл. 173б от ЗПФ, а на директора на АДФИ са възложени правата на наказващ орган по АУАН по чл. 173, чл. 173а и чл. 173б от ЗПФ, включително правото да издава наказателни постановления.</w:t>
      </w:r>
    </w:p>
    <w:p w14:paraId="4F41CACF" w14:textId="77777777" w:rsidR="008A2C35" w:rsidRPr="001A28D2" w:rsidRDefault="008A2C35" w:rsidP="00552DFB">
      <w:pPr>
        <w:ind w:firstLine="709"/>
        <w:jc w:val="both"/>
        <w:rPr>
          <w:i/>
        </w:rPr>
      </w:pPr>
    </w:p>
    <w:p w14:paraId="239BC8D9" w14:textId="408BD39B" w:rsidR="00552DFB" w:rsidRPr="001A28D2" w:rsidRDefault="00552DFB" w:rsidP="00552DFB">
      <w:pPr>
        <w:ind w:firstLine="709"/>
        <w:jc w:val="both"/>
        <w:rPr>
          <w:i/>
        </w:rPr>
      </w:pPr>
      <w:r w:rsidRPr="001A28D2">
        <w:rPr>
          <w:i/>
        </w:rPr>
        <w:t>Препоръката е изпълнена.</w:t>
      </w:r>
    </w:p>
    <w:p w14:paraId="2A74E854" w14:textId="77777777" w:rsidR="00552DFB" w:rsidRPr="001A28D2" w:rsidRDefault="00552DFB" w:rsidP="00552DFB">
      <w:pPr>
        <w:ind w:firstLine="709"/>
        <w:jc w:val="both"/>
        <w:rPr>
          <w:i/>
        </w:rPr>
      </w:pPr>
    </w:p>
    <w:p w14:paraId="62019A88" w14:textId="168FEF64" w:rsidR="00552DFB" w:rsidRPr="001A28D2" w:rsidRDefault="00552DFB" w:rsidP="00552DFB">
      <w:pPr>
        <w:ind w:firstLine="709"/>
        <w:jc w:val="both"/>
        <w:rPr>
          <w:i/>
          <w:highlight w:val="yellow"/>
        </w:rPr>
      </w:pPr>
      <w:r w:rsidRPr="001A28D2">
        <w:rPr>
          <w:i/>
        </w:rPr>
        <w:t>Осъщественият контрол по изпълнението на препоръките, дадени при извършен</w:t>
      </w:r>
      <w:r w:rsidR="00F93EC0" w:rsidRPr="001A28D2">
        <w:rPr>
          <w:i/>
        </w:rPr>
        <w:t>ия</w:t>
      </w:r>
      <w:r w:rsidRPr="001A28D2">
        <w:rPr>
          <w:i/>
        </w:rPr>
        <w:t xml:space="preserve"> одит на отчета за изпълнението на държавния бюджет на Република България за периода от 01.</w:t>
      </w:r>
      <w:proofErr w:type="spellStart"/>
      <w:r w:rsidRPr="001A28D2">
        <w:rPr>
          <w:i/>
        </w:rPr>
        <w:t>01</w:t>
      </w:r>
      <w:proofErr w:type="spellEnd"/>
      <w:r w:rsidRPr="001A28D2">
        <w:rPr>
          <w:i/>
        </w:rPr>
        <w:t xml:space="preserve">.2015 г. до 31.12.2015 г. показва, че са предприети мерки за изпълнението на дадените препоръки. От дадените шест препоръки, </w:t>
      </w:r>
      <w:r w:rsidR="00421720" w:rsidRPr="001A28D2">
        <w:rPr>
          <w:i/>
        </w:rPr>
        <w:t xml:space="preserve">пет </w:t>
      </w:r>
      <w:r w:rsidRPr="001A28D2">
        <w:rPr>
          <w:i/>
        </w:rPr>
        <w:t xml:space="preserve">са изпълнени, а </w:t>
      </w:r>
      <w:r w:rsidR="00421720" w:rsidRPr="001A28D2">
        <w:rPr>
          <w:i/>
        </w:rPr>
        <w:t>една е изпълнена частично</w:t>
      </w:r>
      <w:r w:rsidRPr="001A28D2">
        <w:rPr>
          <w:i/>
        </w:rPr>
        <w:t>.</w:t>
      </w:r>
    </w:p>
    <w:p w14:paraId="72924033" w14:textId="42300ADB" w:rsidR="00DC4257" w:rsidRPr="001A28D2" w:rsidRDefault="00DC4257" w:rsidP="00882469">
      <w:pPr>
        <w:autoSpaceDE w:val="0"/>
        <w:autoSpaceDN w:val="0"/>
        <w:adjustRightInd w:val="0"/>
        <w:ind w:firstLine="1134"/>
        <w:jc w:val="both"/>
        <w:rPr>
          <w:i/>
        </w:rPr>
      </w:pPr>
    </w:p>
    <w:p w14:paraId="322C3890" w14:textId="77777777" w:rsidR="00D83AB9" w:rsidRPr="001A28D2" w:rsidRDefault="00D83AB9" w:rsidP="00D83AB9">
      <w:pPr>
        <w:tabs>
          <w:tab w:val="left" w:pos="720"/>
        </w:tabs>
        <w:ind w:firstLine="720"/>
        <w:jc w:val="both"/>
      </w:pPr>
      <w:r w:rsidRPr="001A28D2">
        <w:rPr>
          <w:b/>
        </w:rPr>
        <w:t>Част четвърта</w:t>
      </w:r>
    </w:p>
    <w:p w14:paraId="6582B9B6" w14:textId="2822E964" w:rsidR="00D83AB9" w:rsidRPr="001A28D2" w:rsidRDefault="00D83AB9" w:rsidP="00D83AB9">
      <w:pPr>
        <w:tabs>
          <w:tab w:val="left" w:pos="720"/>
        </w:tabs>
        <w:ind w:firstLine="720"/>
        <w:jc w:val="both"/>
        <w:rPr>
          <w:b/>
        </w:rPr>
      </w:pPr>
      <w:r w:rsidRPr="001A28D2">
        <w:rPr>
          <w:b/>
        </w:rPr>
        <w:t>ЗАКЛЮЧЕНИЕ</w:t>
      </w:r>
    </w:p>
    <w:p w14:paraId="5E606297" w14:textId="77777777" w:rsidR="00882246" w:rsidRPr="001A28D2" w:rsidRDefault="00882246" w:rsidP="00D83AB9">
      <w:pPr>
        <w:tabs>
          <w:tab w:val="left" w:pos="720"/>
        </w:tabs>
        <w:ind w:firstLine="720"/>
        <w:jc w:val="both"/>
        <w:rPr>
          <w:b/>
        </w:rPr>
      </w:pPr>
    </w:p>
    <w:p w14:paraId="631B6D4E" w14:textId="77777777" w:rsidR="00D83AB9" w:rsidRPr="001A28D2" w:rsidRDefault="00D83AB9" w:rsidP="00D83AB9">
      <w:pPr>
        <w:ind w:firstLine="709"/>
        <w:jc w:val="both"/>
        <w:rPr>
          <w:rFonts w:cs="Tahoma"/>
          <w:lang w:eastAsia="en-US"/>
        </w:rPr>
      </w:pPr>
      <w:r w:rsidRPr="001A28D2">
        <w:rPr>
          <w:rFonts w:cs="Tahoma"/>
          <w:lang w:eastAsia="en-US"/>
        </w:rPr>
        <w:t xml:space="preserve">Представеният в </w:t>
      </w:r>
      <w:r w:rsidRPr="001A28D2">
        <w:t>СП</w:t>
      </w:r>
      <w:r w:rsidRPr="001A28D2">
        <w:rPr>
          <w:rFonts w:cs="Tahoma"/>
          <w:lang w:eastAsia="en-US"/>
        </w:rPr>
        <w:t xml:space="preserve"> отчет е в съответствие с изискванията на ЗПФ, на действащите през </w:t>
      </w:r>
      <w:proofErr w:type="spellStart"/>
      <w:r w:rsidRPr="001A28D2">
        <w:rPr>
          <w:rFonts w:cs="Tahoma"/>
          <w:lang w:eastAsia="en-US"/>
        </w:rPr>
        <w:t>одитирания</w:t>
      </w:r>
      <w:proofErr w:type="spellEnd"/>
      <w:r w:rsidRPr="001A28D2">
        <w:rPr>
          <w:rFonts w:cs="Tahoma"/>
          <w:lang w:eastAsia="en-US"/>
        </w:rPr>
        <w:t xml:space="preserve"> период вътрешни актове и дадените от министъра на финансите указания. </w:t>
      </w:r>
    </w:p>
    <w:p w14:paraId="2E3D42A5" w14:textId="77777777" w:rsidR="00D83AB9" w:rsidRPr="001A28D2" w:rsidRDefault="00D83AB9" w:rsidP="00D83AB9">
      <w:pPr>
        <w:ind w:firstLine="709"/>
        <w:jc w:val="both"/>
        <w:textAlignment w:val="center"/>
        <w:rPr>
          <w:rFonts w:eastAsiaTheme="minorHAnsi"/>
          <w:lang w:eastAsia="en-US"/>
        </w:rPr>
      </w:pPr>
      <w:r w:rsidRPr="001A28D2">
        <w:rPr>
          <w:rFonts w:eastAsiaTheme="minorHAnsi"/>
          <w:lang w:eastAsia="en-US"/>
        </w:rPr>
        <w:t xml:space="preserve">За периода 2014 г. – 2016 г. се наблюдава тенденция на увеличаване на приходите и разходите по ДБ на РБ. Постоянна тенденция на увеличение или намаление по отношение на трансферите не се наблюдава. Размерът на вноската на РБ в бюджета на ЕС намалява. Постигнатото бюджетно салдо и през трите години е отрицателно. </w:t>
      </w:r>
    </w:p>
    <w:p w14:paraId="7F3290B3" w14:textId="77777777" w:rsidR="00D83AB9" w:rsidRPr="001A28D2" w:rsidRDefault="00D83AB9" w:rsidP="00D83AB9">
      <w:pPr>
        <w:ind w:firstLine="709"/>
        <w:jc w:val="both"/>
        <w:textAlignment w:val="center"/>
        <w:rPr>
          <w:rFonts w:eastAsiaTheme="minorHAnsi"/>
          <w:lang w:eastAsia="en-US"/>
        </w:rPr>
      </w:pPr>
      <w:r w:rsidRPr="001A28D2">
        <w:rPr>
          <w:rFonts w:eastAsiaTheme="minorHAnsi"/>
          <w:lang w:eastAsia="en-US"/>
        </w:rPr>
        <w:t>Приходите са отчетени по показателите, по които са приети със ЗДБРБ за 2016 г. Изпълнението на планираните със ЗДБРБ за 2016 г. приходи, помощи и дарения е 100,3 на сто, което се дължи на преизпълнение на планираните данъчни приходи.</w:t>
      </w:r>
      <w:r w:rsidRPr="001A28D2">
        <w:rPr>
          <w:rFonts w:asciiTheme="minorHAnsi" w:eastAsiaTheme="minorHAnsi" w:hAnsiTheme="minorHAnsi" w:cstheme="minorBidi"/>
          <w:sz w:val="22"/>
          <w:szCs w:val="22"/>
          <w:lang w:eastAsia="en-US"/>
        </w:rPr>
        <w:t xml:space="preserve"> </w:t>
      </w:r>
      <w:r w:rsidRPr="001A28D2">
        <w:rPr>
          <w:rFonts w:eastAsiaTheme="minorHAnsi"/>
          <w:lang w:eastAsia="en-US"/>
        </w:rPr>
        <w:t>Отчетените приходи по ЦБ представляват 91,6 на сто от приходите по ДБ за 2016 г.</w:t>
      </w:r>
    </w:p>
    <w:p w14:paraId="51E61E49" w14:textId="7EBD2014" w:rsidR="00D83AB9" w:rsidRPr="001A28D2" w:rsidRDefault="00D83AB9" w:rsidP="00D83AB9">
      <w:pPr>
        <w:autoSpaceDE w:val="0"/>
        <w:autoSpaceDN w:val="0"/>
        <w:adjustRightInd w:val="0"/>
        <w:ind w:firstLine="709"/>
        <w:jc w:val="both"/>
      </w:pPr>
      <w:r w:rsidRPr="001A28D2">
        <w:t xml:space="preserve">Най-голямо увеличение на капиталови разходи през годината спрямо приетите със закона е извършено по бюджета на МРРБ. Уточненият план е по-висок с 1 096 492,1 хил. лв. спрямо закона, което до голяма степен се дължи на одобрени допълнителни разходи по бюджета на МРРБ за 2016 г. за изпълнение на Националната програма за енергийна ефективност на </w:t>
      </w:r>
      <w:proofErr w:type="spellStart"/>
      <w:r w:rsidRPr="001A28D2">
        <w:t>многофамилните</w:t>
      </w:r>
      <w:proofErr w:type="spellEnd"/>
      <w:r w:rsidRPr="001A28D2">
        <w:t xml:space="preserve"> жилищни сгради. </w:t>
      </w:r>
      <w:r w:rsidR="00435F70" w:rsidRPr="001A28D2">
        <w:t xml:space="preserve">Съгласно разпоредбата  на чл. 119, ал. 2 ЗПФ, не се допуска започването на програми или проекти, разходите за които не са предвидени в закона за държавния бюджет, а съгласно постановлението за приемането на Националната програма, разходите за безвъзмездна </w:t>
      </w:r>
      <w:r w:rsidR="00435F70" w:rsidRPr="001A28D2">
        <w:lastRenderedPageBreak/>
        <w:t xml:space="preserve">финансова помощ за следващите години следва да се предвиждат по ЦБ за съответната година, което не спазено. </w:t>
      </w:r>
      <w:r w:rsidRPr="001A28D2">
        <w:t>Не е предвиден интересът към програмата, който възниква в течение на годината.</w:t>
      </w:r>
    </w:p>
    <w:p w14:paraId="0424A8B8" w14:textId="77777777" w:rsidR="00D83AB9" w:rsidRPr="001A28D2" w:rsidRDefault="00D83AB9" w:rsidP="00D83AB9">
      <w:pPr>
        <w:autoSpaceDE w:val="0"/>
        <w:autoSpaceDN w:val="0"/>
        <w:adjustRightInd w:val="0"/>
        <w:ind w:firstLine="709"/>
        <w:jc w:val="both"/>
      </w:pPr>
      <w:r w:rsidRPr="001A28D2">
        <w:t xml:space="preserve">Не е установено </w:t>
      </w:r>
      <w:proofErr w:type="spellStart"/>
      <w:r w:rsidRPr="001A28D2">
        <w:t>превишение</w:t>
      </w:r>
      <w:proofErr w:type="spellEnd"/>
      <w:r w:rsidRPr="001A28D2">
        <w:t xml:space="preserve"> на извършените капиталови разходи по области на политики и бюджетни програми над планираните с изключение на 2 политики в общ размер от 625 хил. лв., поради ненавременното коригиране на неправилно отчетени разходи.</w:t>
      </w:r>
    </w:p>
    <w:p w14:paraId="0D69584A" w14:textId="77777777" w:rsidR="00D83AB9" w:rsidRPr="001A28D2" w:rsidRDefault="00D83AB9" w:rsidP="00D83AB9">
      <w:pPr>
        <w:autoSpaceDE w:val="0"/>
        <w:autoSpaceDN w:val="0"/>
        <w:adjustRightInd w:val="0"/>
        <w:ind w:firstLine="709"/>
        <w:jc w:val="both"/>
      </w:pPr>
      <w:r w:rsidRPr="001A28D2">
        <w:t xml:space="preserve">Най-голям дял от планираните средства за капиталови разходи от ЦБ са преразпределени по „Политика за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Преразпределението е извършвано при спазване разпоредбите на ЗПФ, на основание ПМС и са издавани заповеди от министъра на финансите в изпълнение на постановленията. </w:t>
      </w:r>
    </w:p>
    <w:p w14:paraId="1D6CC043" w14:textId="4EBAF5DB" w:rsidR="00D83AB9" w:rsidRPr="001A28D2" w:rsidRDefault="00D83AB9" w:rsidP="00D83AB9">
      <w:pPr>
        <w:ind w:firstLine="709"/>
        <w:contextualSpacing/>
        <w:jc w:val="both"/>
        <w:rPr>
          <w:rFonts w:eastAsiaTheme="minorHAnsi"/>
          <w:lang w:eastAsia="en-US"/>
        </w:rPr>
      </w:pPr>
      <w:r w:rsidRPr="001A28D2">
        <w:rPr>
          <w:rFonts w:eastAsiaTheme="minorHAnsi"/>
          <w:lang w:eastAsia="en-US"/>
        </w:rPr>
        <w:t>Бюджетното салдо по ДБ за 2016 г. е отрицателно и е с 687 89</w:t>
      </w:r>
      <w:r w:rsidR="008A2C35" w:rsidRPr="001A28D2">
        <w:rPr>
          <w:rFonts w:eastAsiaTheme="minorHAnsi"/>
          <w:lang w:eastAsia="en-US"/>
        </w:rPr>
        <w:t>8</w:t>
      </w:r>
      <w:r w:rsidRPr="001A28D2">
        <w:rPr>
          <w:rFonts w:eastAsiaTheme="minorHAnsi"/>
          <w:lang w:eastAsia="en-US"/>
        </w:rPr>
        <w:t>,</w:t>
      </w:r>
      <w:r w:rsidR="008A2C35" w:rsidRPr="001A28D2">
        <w:rPr>
          <w:rFonts w:eastAsiaTheme="minorHAnsi"/>
          <w:lang w:eastAsia="en-US"/>
        </w:rPr>
        <w:t>3</w:t>
      </w:r>
      <w:r w:rsidRPr="001A28D2">
        <w:rPr>
          <w:rFonts w:eastAsiaTheme="minorHAnsi"/>
          <w:lang w:eastAsia="en-US"/>
        </w:rPr>
        <w:t xml:space="preserve"> хил. лв. по-малко от заложеното в ЗДБРБ за 2016 г. </w:t>
      </w:r>
    </w:p>
    <w:p w14:paraId="701898B6" w14:textId="71904690" w:rsidR="00D83AB9" w:rsidRPr="001A28D2" w:rsidRDefault="00D83AB9" w:rsidP="00D83AB9">
      <w:pPr>
        <w:ind w:firstLine="709"/>
        <w:contextualSpacing/>
        <w:jc w:val="both"/>
        <w:rPr>
          <w:highlight w:val="yellow"/>
        </w:rPr>
      </w:pPr>
      <w:r w:rsidRPr="001A28D2">
        <w:rPr>
          <w:rFonts w:cs="Tahoma"/>
          <w:color w:val="000000"/>
        </w:rPr>
        <w:t>По бюджетите на ПРБ</w:t>
      </w:r>
      <w:r w:rsidRPr="001A28D2">
        <w:rPr>
          <w:lang w:eastAsia="en-US"/>
        </w:rPr>
        <w:t xml:space="preserve"> са извършвани промени в показателите „максимални размери на </w:t>
      </w:r>
      <w:r w:rsidRPr="001A28D2">
        <w:rPr>
          <w:rFonts w:cs="Tahoma"/>
          <w:lang w:eastAsia="en-US"/>
        </w:rPr>
        <w:t>ангажиментите за разходи</w:t>
      </w:r>
      <w:r w:rsidRPr="001A28D2">
        <w:rPr>
          <w:lang w:eastAsia="en-US"/>
        </w:rPr>
        <w:t xml:space="preserve">, </w:t>
      </w:r>
      <w:r w:rsidRPr="001A28D2">
        <w:rPr>
          <w:rFonts w:cs="Tahoma"/>
          <w:color w:val="000000"/>
        </w:rPr>
        <w:t>които могат да бъдат поети през годината“</w:t>
      </w:r>
      <w:r w:rsidRPr="001A28D2">
        <w:rPr>
          <w:lang w:eastAsia="en-US"/>
        </w:rPr>
        <w:t xml:space="preserve"> </w:t>
      </w:r>
      <w:r w:rsidRPr="001A28D2">
        <w:rPr>
          <w:rFonts w:cs="Tahoma"/>
          <w:lang w:eastAsia="en-US"/>
        </w:rPr>
        <w:t>и „</w:t>
      </w:r>
      <w:r w:rsidRPr="001A28D2">
        <w:rPr>
          <w:lang w:eastAsia="en-US"/>
        </w:rPr>
        <w:t xml:space="preserve">максимални размери на </w:t>
      </w:r>
      <w:r w:rsidRPr="001A28D2">
        <w:rPr>
          <w:rFonts w:cs="Tahoma"/>
          <w:lang w:eastAsia="en-US"/>
        </w:rPr>
        <w:t>новите задължения за разходи,</w:t>
      </w:r>
      <w:r w:rsidRPr="001A28D2">
        <w:rPr>
          <w:lang w:eastAsia="en-US"/>
        </w:rPr>
        <w:t xml:space="preserve"> </w:t>
      </w:r>
      <w:r w:rsidRPr="001A28D2">
        <w:rPr>
          <w:rFonts w:cs="Tahoma"/>
          <w:color w:val="000000"/>
        </w:rPr>
        <w:t xml:space="preserve">които могат да бъдат натрупани през годината“. При </w:t>
      </w:r>
      <w:r w:rsidR="00E71E8C" w:rsidRPr="001A28D2">
        <w:rPr>
          <w:rFonts w:cs="Tahoma"/>
        </w:rPr>
        <w:t>четири</w:t>
      </w:r>
      <w:r w:rsidRPr="001A28D2">
        <w:rPr>
          <w:rFonts w:cs="Tahoma"/>
        </w:rPr>
        <w:t xml:space="preserve"> ПРБ са превишени определените максимални размери за посочените бюджетни показатели по уточнен план</w:t>
      </w:r>
      <w:r w:rsidRPr="001A28D2">
        <w:rPr>
          <w:rFonts w:cs="Tahoma"/>
          <w:color w:val="000000"/>
        </w:rPr>
        <w:t xml:space="preserve">, като с това е нарушена разпоредбата на чл. 88 от ЗПФ. </w:t>
      </w:r>
      <w:r w:rsidRPr="001A28D2">
        <w:t>От извършената съпоставка спрямо предходната година е установена тенденция на допускане на отклонения от 2 ПРБ.</w:t>
      </w:r>
    </w:p>
    <w:p w14:paraId="7AA77E2B" w14:textId="77777777" w:rsidR="00D83AB9" w:rsidRPr="001A28D2" w:rsidRDefault="00D83AB9" w:rsidP="00D83AB9">
      <w:pPr>
        <w:ind w:firstLine="709"/>
        <w:jc w:val="both"/>
        <w:rPr>
          <w:rFonts w:eastAsia="Calibri"/>
          <w:szCs w:val="22"/>
          <w:lang w:eastAsia="en-US"/>
        </w:rPr>
      </w:pPr>
      <w:r w:rsidRPr="001A28D2">
        <w:rPr>
          <w:rFonts w:eastAsia="Calibri"/>
          <w:szCs w:val="22"/>
          <w:lang w:eastAsia="en-US"/>
        </w:rPr>
        <w:t>Не е установена трайна тенденция на увеличение или намаление на относителния дял на приходите от държавни такси спрямо общите приходи по държавния бюджет за последните три години.</w:t>
      </w:r>
    </w:p>
    <w:p w14:paraId="06A021CC" w14:textId="0E535513" w:rsidR="00D83AB9" w:rsidRPr="001A28D2" w:rsidRDefault="00D83AB9" w:rsidP="00D83AB9">
      <w:pPr>
        <w:ind w:firstLine="709"/>
        <w:jc w:val="both"/>
        <w:rPr>
          <w:rFonts w:eastAsia="Calibri"/>
          <w:szCs w:val="22"/>
          <w:lang w:eastAsia="en-US"/>
        </w:rPr>
      </w:pPr>
      <w:r w:rsidRPr="001A28D2">
        <w:rPr>
          <w:rFonts w:eastAsia="Calibri"/>
          <w:szCs w:val="22"/>
          <w:lang w:eastAsia="en-US"/>
        </w:rPr>
        <w:t>Отчетени са с 5,</w:t>
      </w:r>
      <w:proofErr w:type="spellStart"/>
      <w:r w:rsidRPr="001A28D2">
        <w:rPr>
          <w:rFonts w:eastAsia="Calibri"/>
          <w:szCs w:val="22"/>
          <w:lang w:eastAsia="en-US"/>
        </w:rPr>
        <w:t>5</w:t>
      </w:r>
      <w:proofErr w:type="spellEnd"/>
      <w:r w:rsidRPr="001A28D2">
        <w:rPr>
          <w:rFonts w:eastAsia="Calibri"/>
          <w:szCs w:val="22"/>
          <w:lang w:eastAsia="en-US"/>
        </w:rPr>
        <w:t> на сто повече приходи и 6,3 на сто по-малко разходи спрямо предходната година и е реализиран излишък по Консолидираната фискална програма за 2016 г. в размер на 1 46</w:t>
      </w:r>
      <w:r w:rsidR="008A2C35" w:rsidRPr="001A28D2">
        <w:rPr>
          <w:rFonts w:eastAsia="Calibri"/>
          <w:szCs w:val="22"/>
          <w:lang w:eastAsia="en-US"/>
        </w:rPr>
        <w:t>8</w:t>
      </w:r>
      <w:r w:rsidRPr="001A28D2">
        <w:rPr>
          <w:rFonts w:eastAsia="Calibri"/>
          <w:szCs w:val="22"/>
          <w:lang w:eastAsia="en-US"/>
        </w:rPr>
        <w:t> </w:t>
      </w:r>
      <w:r w:rsidR="008A2C35" w:rsidRPr="001A28D2">
        <w:rPr>
          <w:rFonts w:eastAsia="Calibri"/>
          <w:szCs w:val="22"/>
          <w:lang w:eastAsia="en-US"/>
        </w:rPr>
        <w:t>081</w:t>
      </w:r>
      <w:r w:rsidRPr="001A28D2">
        <w:rPr>
          <w:rFonts w:eastAsia="Calibri"/>
          <w:szCs w:val="22"/>
          <w:lang w:eastAsia="en-US"/>
        </w:rPr>
        <w:t>,</w:t>
      </w:r>
      <w:r w:rsidR="008A2C35" w:rsidRPr="001A28D2">
        <w:rPr>
          <w:rFonts w:eastAsia="Calibri"/>
          <w:szCs w:val="22"/>
          <w:lang w:eastAsia="en-US"/>
        </w:rPr>
        <w:t>8</w:t>
      </w:r>
      <w:r w:rsidRPr="001A28D2">
        <w:rPr>
          <w:rFonts w:eastAsia="Calibri"/>
          <w:szCs w:val="22"/>
          <w:lang w:eastAsia="en-US"/>
        </w:rPr>
        <w:t xml:space="preserve"> хил. лв. </w:t>
      </w:r>
    </w:p>
    <w:p w14:paraId="2E767900" w14:textId="763062C5" w:rsidR="00D83AB9" w:rsidRPr="001A28D2" w:rsidRDefault="00D83AB9" w:rsidP="00D83AB9">
      <w:pPr>
        <w:ind w:firstLine="709"/>
        <w:jc w:val="both"/>
        <w:rPr>
          <w:highlight w:val="yellow"/>
        </w:rPr>
      </w:pPr>
      <w:r w:rsidRPr="001A28D2">
        <w:t>Осъщественият контрол по изпълнението на препоръките, дадени при извършен одит на отчета за изпълнението на държавния бюджет на Република България за периода от 01.</w:t>
      </w:r>
      <w:proofErr w:type="spellStart"/>
      <w:r w:rsidRPr="001A28D2">
        <w:t>01</w:t>
      </w:r>
      <w:proofErr w:type="spellEnd"/>
      <w:r w:rsidRPr="001A28D2">
        <w:t xml:space="preserve">.2015 г. до 31.12.2015 г. показва, че са предприети мерки за изпълнението на дадените препоръки. От дадените шест препоръки, </w:t>
      </w:r>
      <w:r w:rsidR="00BE2B2F" w:rsidRPr="001A28D2">
        <w:t>пет</w:t>
      </w:r>
      <w:r w:rsidRPr="001A28D2">
        <w:t xml:space="preserve"> са изпълнени, а </w:t>
      </w:r>
      <w:r w:rsidR="00BE2B2F" w:rsidRPr="001A28D2">
        <w:t>една е</w:t>
      </w:r>
      <w:r w:rsidRPr="001A28D2">
        <w:t xml:space="preserve"> изпълнен</w:t>
      </w:r>
      <w:r w:rsidR="00BE2B2F" w:rsidRPr="001A28D2">
        <w:t>а частично</w:t>
      </w:r>
      <w:r w:rsidRPr="001A28D2">
        <w:t>.</w:t>
      </w:r>
    </w:p>
    <w:p w14:paraId="120CC0C1" w14:textId="77777777" w:rsidR="00D83AB9" w:rsidRPr="001A28D2" w:rsidRDefault="00D83AB9" w:rsidP="00D83AB9">
      <w:pPr>
        <w:ind w:firstLine="720"/>
        <w:jc w:val="both"/>
        <w:rPr>
          <w:b/>
          <w:i/>
        </w:rPr>
      </w:pPr>
    </w:p>
    <w:p w14:paraId="5BDDB99B" w14:textId="506EBEEB" w:rsidR="00D83AB9" w:rsidRPr="001A28D2" w:rsidRDefault="00D83AB9" w:rsidP="00D83AB9">
      <w:pPr>
        <w:ind w:firstLine="709"/>
        <w:jc w:val="both"/>
        <w:rPr>
          <w:b/>
        </w:rPr>
      </w:pPr>
      <w:r w:rsidRPr="001A28D2">
        <w:rPr>
          <w:b/>
        </w:rPr>
        <w:t xml:space="preserve">Част </w:t>
      </w:r>
      <w:r w:rsidR="007975DD" w:rsidRPr="001A28D2">
        <w:rPr>
          <w:b/>
        </w:rPr>
        <w:t>пета</w:t>
      </w:r>
    </w:p>
    <w:p w14:paraId="642668EA" w14:textId="77777777" w:rsidR="00D83AB9" w:rsidRPr="001A28D2" w:rsidRDefault="00D83AB9" w:rsidP="00D83AB9">
      <w:pPr>
        <w:ind w:firstLine="709"/>
        <w:jc w:val="both"/>
        <w:rPr>
          <w:b/>
        </w:rPr>
      </w:pPr>
      <w:r w:rsidRPr="001A28D2">
        <w:rPr>
          <w:b/>
        </w:rPr>
        <w:t>ОТГОВОРИ НА ОДИТИРАНАТА ОРГАНИЗАЦИЯ</w:t>
      </w:r>
    </w:p>
    <w:p w14:paraId="3CC92F51" w14:textId="776DB73B" w:rsidR="00D83AB9" w:rsidRPr="001A28D2" w:rsidRDefault="0006265B" w:rsidP="0006265B">
      <w:pPr>
        <w:ind w:firstLine="709"/>
        <w:jc w:val="both"/>
      </w:pPr>
      <w:r w:rsidRPr="001A28D2">
        <w:t>С Писмо № 50-01-70 от 23.08.2017 г. от Дирекция „Държавно съкровище“ е предоставено становище относно съгласуване на факти и обстоятелства</w:t>
      </w:r>
      <w:r w:rsidRPr="001A28D2" w:rsidDel="0006265B">
        <w:t xml:space="preserve"> </w:t>
      </w:r>
      <w:r w:rsidRPr="001A28D2">
        <w:t>с одитираната организация. Проектът на факти, обс</w:t>
      </w:r>
      <w:r w:rsidR="00495C90" w:rsidRPr="001A28D2">
        <w:t>т</w:t>
      </w:r>
      <w:r w:rsidRPr="001A28D2">
        <w:t>оятелства и констатации е съгласуван, като са дадени някои бележки</w:t>
      </w:r>
      <w:r w:rsidR="00495C90" w:rsidRPr="001A28D2">
        <w:t xml:space="preserve"> </w:t>
      </w:r>
      <w:r w:rsidR="00334438" w:rsidRPr="001A28D2">
        <w:t>по</w:t>
      </w:r>
      <w:r w:rsidR="00FE01AA" w:rsidRPr="001A28D2">
        <w:t xml:space="preserve"> </w:t>
      </w:r>
      <w:r w:rsidR="00334438" w:rsidRPr="001A28D2">
        <w:t xml:space="preserve">отношение на текст за имуществените данъци, </w:t>
      </w:r>
      <w:r w:rsidR="00334438" w:rsidRPr="001A28D2">
        <w:rPr>
          <w:rFonts w:eastAsia="Calibri"/>
          <w:lang w:eastAsia="en-US"/>
        </w:rPr>
        <w:t xml:space="preserve">нетното неизпълнение на разчетите от приходи и доходи от собственост, отделни показатели по Консолидираната фискална програма и ДБ, </w:t>
      </w:r>
      <w:r w:rsidR="00FE01AA" w:rsidRPr="001A28D2">
        <w:rPr>
          <w:rFonts w:eastAsia="Calibri"/>
          <w:lang w:eastAsia="en-US"/>
        </w:rPr>
        <w:t>макроикономическите показатели, по отношение на м</w:t>
      </w:r>
      <w:r w:rsidR="00FE01AA" w:rsidRPr="001A28D2">
        <w:rPr>
          <w:bCs/>
        </w:rPr>
        <w:t xml:space="preserve">еханизма за определяне на субсидиите за общините, </w:t>
      </w:r>
      <w:r w:rsidR="00FE01AA" w:rsidRPr="001A28D2">
        <w:t xml:space="preserve">разпределението на годишния размер на общата субсидия за делегираните от държавата дейности за общините, годишният размер на целевата субсидия за капиталови разходи за общините, общата изравнителна субсидия по тримесечия и средствата за зимно поддържане и </w:t>
      </w:r>
      <w:proofErr w:type="spellStart"/>
      <w:r w:rsidR="00FE01AA" w:rsidRPr="001A28D2">
        <w:lastRenderedPageBreak/>
        <w:t>снегопочистване</w:t>
      </w:r>
      <w:proofErr w:type="spellEnd"/>
      <w:r w:rsidRPr="001A28D2">
        <w:t>, относно степента на изпълнението на дадените препоръки при одита на отчета за изпълнението на ДБ на РБ за 2015 г., като по едната препоръка са предоставени допълнителни доказателства.</w:t>
      </w:r>
    </w:p>
    <w:p w14:paraId="471B52C9" w14:textId="77777777" w:rsidR="00882246" w:rsidRPr="001A28D2" w:rsidRDefault="00882246" w:rsidP="0006265B">
      <w:pPr>
        <w:ind w:firstLine="709"/>
        <w:jc w:val="both"/>
      </w:pPr>
    </w:p>
    <w:p w14:paraId="79B86583" w14:textId="49586520" w:rsidR="0033797D" w:rsidRPr="001A28D2" w:rsidRDefault="00D83AB9" w:rsidP="0033797D">
      <w:pPr>
        <w:ind w:firstLine="720"/>
        <w:jc w:val="both"/>
      </w:pPr>
      <w:r w:rsidRPr="001A28D2">
        <w:t xml:space="preserve">В подкрепа на констатациите от одитния доклад са събрани </w:t>
      </w:r>
      <w:r w:rsidR="00242270" w:rsidRPr="001A28D2">
        <w:t xml:space="preserve">33 </w:t>
      </w:r>
      <w:r w:rsidRPr="001A28D2">
        <w:t xml:space="preserve">броя </w:t>
      </w:r>
      <w:proofErr w:type="spellStart"/>
      <w:r w:rsidRPr="001A28D2">
        <w:t>одитни</w:t>
      </w:r>
      <w:proofErr w:type="spellEnd"/>
      <w:r w:rsidRPr="001A28D2">
        <w:t xml:space="preserve"> доказателства, които заедно с работните документи, отразяващи отделните етапи на одитния процес, се намират в Сметната палата. </w:t>
      </w:r>
    </w:p>
    <w:p w14:paraId="3EE3099B" w14:textId="77777777" w:rsidR="00CD3CBA" w:rsidRPr="001A28D2" w:rsidRDefault="00CD3CBA" w:rsidP="0033797D">
      <w:pPr>
        <w:ind w:firstLine="720"/>
        <w:jc w:val="both"/>
      </w:pPr>
    </w:p>
    <w:p w14:paraId="086E6893" w14:textId="4FB0EF68" w:rsidR="00CD3CBA" w:rsidRPr="001A28D2" w:rsidRDefault="00CD3CBA" w:rsidP="00CD3CBA">
      <w:pPr>
        <w:ind w:firstLine="708"/>
        <w:jc w:val="both"/>
        <w:rPr>
          <w:bCs/>
          <w:iCs/>
          <w:color w:val="000000"/>
        </w:rPr>
      </w:pPr>
      <w:r w:rsidRPr="001A28D2">
        <w:rPr>
          <w:bCs/>
          <w:iCs/>
          <w:color w:val="000000"/>
        </w:rPr>
        <w:t xml:space="preserve">Настоящият одитен доклад е приет на основание чл. 48, ал. 1 от Закона за Сметната палата с Решение № </w:t>
      </w:r>
      <w:r w:rsidR="00261756">
        <w:rPr>
          <w:bCs/>
          <w:iCs/>
          <w:color w:val="000000"/>
          <w:lang w:val="en-US"/>
        </w:rPr>
        <w:t>431</w:t>
      </w:r>
      <w:r w:rsidRPr="001A28D2">
        <w:rPr>
          <w:bCs/>
          <w:iCs/>
          <w:color w:val="000000"/>
        </w:rPr>
        <w:t xml:space="preserve"> от  </w:t>
      </w:r>
      <w:r w:rsidR="00261756">
        <w:rPr>
          <w:bCs/>
          <w:iCs/>
          <w:color w:val="000000"/>
          <w:lang w:val="en-US"/>
        </w:rPr>
        <w:t>27.09.</w:t>
      </w:r>
      <w:r w:rsidRPr="001A28D2">
        <w:rPr>
          <w:bCs/>
          <w:iCs/>
          <w:color w:val="000000"/>
        </w:rPr>
        <w:t>2017 г. на Сметната палата.</w:t>
      </w:r>
    </w:p>
    <w:p w14:paraId="0EAE7A44" w14:textId="77777777" w:rsidR="00CD3CBA" w:rsidRPr="001A28D2" w:rsidRDefault="00CD3CBA" w:rsidP="00CD3CBA">
      <w:pPr>
        <w:tabs>
          <w:tab w:val="left" w:pos="-294"/>
        </w:tabs>
        <w:spacing w:line="100" w:lineRule="atLeast"/>
        <w:ind w:firstLine="720"/>
        <w:jc w:val="both"/>
        <w:rPr>
          <w:highlight w:val="yellow"/>
        </w:rPr>
      </w:pPr>
    </w:p>
    <w:p w14:paraId="56953248" w14:textId="77777777" w:rsidR="00CD3CBA" w:rsidRDefault="00CD3CBA" w:rsidP="00CD3CBA">
      <w:pPr>
        <w:tabs>
          <w:tab w:val="left" w:pos="1080"/>
          <w:tab w:val="left" w:pos="1260"/>
        </w:tabs>
        <w:ind w:left="4253"/>
        <w:jc w:val="both"/>
        <w:rPr>
          <w:b/>
        </w:rPr>
      </w:pPr>
    </w:p>
    <w:p w14:paraId="5AB8884C" w14:textId="77777777" w:rsidR="00AB318E" w:rsidRDefault="00AB318E" w:rsidP="00CD3CBA">
      <w:pPr>
        <w:tabs>
          <w:tab w:val="left" w:pos="1080"/>
          <w:tab w:val="left" w:pos="1260"/>
        </w:tabs>
        <w:ind w:left="4253"/>
        <w:jc w:val="both"/>
        <w:rPr>
          <w:b/>
        </w:rPr>
      </w:pPr>
    </w:p>
    <w:p w14:paraId="7451A9B7" w14:textId="77777777" w:rsidR="00AB318E" w:rsidRPr="001A28D2" w:rsidRDefault="00AB318E" w:rsidP="00CD3CBA">
      <w:pPr>
        <w:tabs>
          <w:tab w:val="left" w:pos="1080"/>
          <w:tab w:val="left" w:pos="1260"/>
        </w:tabs>
        <w:ind w:left="4253"/>
        <w:jc w:val="both"/>
        <w:rPr>
          <w:b/>
        </w:rPr>
      </w:pPr>
    </w:p>
    <w:p w14:paraId="34B6DB1C" w14:textId="77777777" w:rsidR="00CD3CBA" w:rsidRPr="001A28D2" w:rsidRDefault="00CD3CBA" w:rsidP="00CD3CBA">
      <w:pPr>
        <w:tabs>
          <w:tab w:val="left" w:pos="1080"/>
          <w:tab w:val="left" w:pos="1260"/>
        </w:tabs>
        <w:ind w:left="4253"/>
        <w:jc w:val="both"/>
        <w:rPr>
          <w:b/>
        </w:rPr>
      </w:pPr>
    </w:p>
    <w:p w14:paraId="65C74E74" w14:textId="77777777" w:rsidR="00CD3CBA" w:rsidRPr="001A28D2" w:rsidRDefault="00CD3CBA" w:rsidP="00CD3CBA">
      <w:pPr>
        <w:tabs>
          <w:tab w:val="left" w:pos="720"/>
        </w:tabs>
        <w:jc w:val="center"/>
        <w:rPr>
          <w:bCs/>
        </w:rPr>
      </w:pPr>
    </w:p>
    <w:p w14:paraId="2A19AAB5" w14:textId="77777777" w:rsidR="00CD3CBA" w:rsidRPr="001A28D2" w:rsidRDefault="00CD3CBA" w:rsidP="00CD3CBA">
      <w:pPr>
        <w:tabs>
          <w:tab w:val="left" w:pos="720"/>
        </w:tabs>
        <w:jc w:val="center"/>
        <w:rPr>
          <w:bCs/>
        </w:rPr>
      </w:pPr>
    </w:p>
    <w:p w14:paraId="35B6B12E" w14:textId="77777777" w:rsidR="00CD3CBA" w:rsidRDefault="00CD3CBA" w:rsidP="00CD3CBA">
      <w:pPr>
        <w:tabs>
          <w:tab w:val="left" w:pos="720"/>
        </w:tabs>
        <w:jc w:val="center"/>
        <w:rPr>
          <w:bCs/>
        </w:rPr>
      </w:pPr>
    </w:p>
    <w:p w14:paraId="54B5C11F" w14:textId="77777777" w:rsidR="00AB318E" w:rsidRDefault="00AB318E" w:rsidP="00CD3CBA">
      <w:pPr>
        <w:tabs>
          <w:tab w:val="left" w:pos="720"/>
        </w:tabs>
        <w:jc w:val="center"/>
        <w:rPr>
          <w:bCs/>
        </w:rPr>
      </w:pPr>
    </w:p>
    <w:p w14:paraId="5BBE9D86" w14:textId="77777777" w:rsidR="00AB318E" w:rsidRDefault="00AB318E" w:rsidP="00CD3CBA">
      <w:pPr>
        <w:tabs>
          <w:tab w:val="left" w:pos="720"/>
        </w:tabs>
        <w:jc w:val="center"/>
        <w:rPr>
          <w:bCs/>
        </w:rPr>
      </w:pPr>
    </w:p>
    <w:p w14:paraId="3AAE00A9" w14:textId="77777777" w:rsidR="00AB318E" w:rsidRDefault="00AB318E" w:rsidP="00CD3CBA">
      <w:pPr>
        <w:tabs>
          <w:tab w:val="left" w:pos="720"/>
        </w:tabs>
        <w:jc w:val="center"/>
        <w:rPr>
          <w:bCs/>
        </w:rPr>
      </w:pPr>
    </w:p>
    <w:p w14:paraId="405C2B36" w14:textId="77777777" w:rsidR="00AB318E" w:rsidRDefault="00AB318E" w:rsidP="00CD3CBA">
      <w:pPr>
        <w:tabs>
          <w:tab w:val="left" w:pos="720"/>
        </w:tabs>
        <w:jc w:val="center"/>
        <w:rPr>
          <w:bCs/>
        </w:rPr>
      </w:pPr>
    </w:p>
    <w:p w14:paraId="2AF28BF6" w14:textId="77777777" w:rsidR="00AB318E" w:rsidRDefault="00AB318E" w:rsidP="00CD3CBA">
      <w:pPr>
        <w:tabs>
          <w:tab w:val="left" w:pos="720"/>
        </w:tabs>
        <w:jc w:val="center"/>
        <w:rPr>
          <w:bCs/>
        </w:rPr>
      </w:pPr>
    </w:p>
    <w:p w14:paraId="35F031F0" w14:textId="77777777" w:rsidR="00AB318E" w:rsidRPr="001A28D2" w:rsidRDefault="00AB318E" w:rsidP="00CD3CBA">
      <w:pPr>
        <w:tabs>
          <w:tab w:val="left" w:pos="720"/>
        </w:tabs>
        <w:jc w:val="center"/>
        <w:rPr>
          <w:bCs/>
        </w:rPr>
      </w:pPr>
    </w:p>
    <w:p w14:paraId="3CB7F9DE" w14:textId="77777777" w:rsidR="00CD3CBA" w:rsidRPr="001A28D2" w:rsidRDefault="00CD3CBA" w:rsidP="00CD3CBA"/>
    <w:p w14:paraId="78F9906A" w14:textId="77777777" w:rsidR="00CD3CBA" w:rsidRPr="001A28D2" w:rsidRDefault="00CD3CBA" w:rsidP="00CD3CBA"/>
    <w:p w14:paraId="19261963" w14:textId="77777777" w:rsidR="00CD3CBA" w:rsidRPr="001A28D2" w:rsidRDefault="00CD3CBA" w:rsidP="00CD3CBA"/>
    <w:p w14:paraId="5047107D" w14:textId="77777777" w:rsidR="00CD3CBA" w:rsidRPr="00AA4410" w:rsidRDefault="00CD3CBA" w:rsidP="00CD3CBA">
      <w:pPr>
        <w:rPr>
          <w:sz w:val="20"/>
          <w:szCs w:val="20"/>
        </w:rPr>
      </w:pPr>
    </w:p>
    <w:p w14:paraId="1C3F8B0B" w14:textId="77777777" w:rsidR="00CD3CBA" w:rsidRPr="001A28D2" w:rsidRDefault="00CD3CBA" w:rsidP="00CD3CBA">
      <w:pPr>
        <w:widowControl w:val="0"/>
        <w:autoSpaceDE w:val="0"/>
        <w:autoSpaceDN w:val="0"/>
        <w:adjustRightInd w:val="0"/>
        <w:rPr>
          <w:bCs/>
          <w:lang w:eastAsia="zh-CN"/>
        </w:rPr>
      </w:pPr>
    </w:p>
    <w:p w14:paraId="26F4625E" w14:textId="77777777" w:rsidR="00CD3CBA" w:rsidRPr="001A28D2" w:rsidRDefault="00CD3CBA" w:rsidP="0033797D">
      <w:pPr>
        <w:ind w:firstLine="720"/>
        <w:jc w:val="both"/>
      </w:pPr>
    </w:p>
    <w:p w14:paraId="5F2C49E0" w14:textId="411B0618" w:rsidR="0033797D" w:rsidRPr="001A28D2" w:rsidRDefault="0033797D">
      <w:pPr>
        <w:spacing w:after="200" w:line="276" w:lineRule="auto"/>
      </w:pPr>
      <w:r w:rsidRPr="001A28D2">
        <w:br w:type="page"/>
      </w:r>
    </w:p>
    <w:p w14:paraId="4B5E0F7D" w14:textId="1E1E073F" w:rsidR="00D83AB9" w:rsidRPr="001A28D2" w:rsidRDefault="00D83AB9" w:rsidP="00D83AB9">
      <w:pPr>
        <w:jc w:val="center"/>
        <w:rPr>
          <w:b/>
        </w:rPr>
      </w:pPr>
      <w:r w:rsidRPr="001A28D2">
        <w:rPr>
          <w:b/>
          <w:bCs/>
        </w:rPr>
        <w:lastRenderedPageBreak/>
        <w:t xml:space="preserve">ОПИС НА ПРИЛОЖЕНИЯТА КЪМ ОДИТЕН ДОКЛАД № </w:t>
      </w:r>
      <w:r w:rsidRPr="001A28D2">
        <w:rPr>
          <w:b/>
        </w:rPr>
        <w:t>0600200517</w:t>
      </w:r>
    </w:p>
    <w:p w14:paraId="72850AF2" w14:textId="77777777" w:rsidR="00D83AB9" w:rsidRPr="001A28D2" w:rsidRDefault="00D83AB9" w:rsidP="00D83AB9">
      <w:pPr>
        <w:jc w:val="center"/>
        <w:rPr>
          <w:b/>
          <w:bCs/>
        </w:rPr>
      </w:pPr>
    </w:p>
    <w:tbl>
      <w:tblPr>
        <w:tblW w:w="9604" w:type="dxa"/>
        <w:jc w:val="center"/>
        <w:tblLook w:val="01E0" w:firstRow="1" w:lastRow="1" w:firstColumn="1" w:lastColumn="1" w:noHBand="0" w:noVBand="0"/>
      </w:tblPr>
      <w:tblGrid>
        <w:gridCol w:w="1548"/>
        <w:gridCol w:w="6416"/>
        <w:gridCol w:w="1640"/>
      </w:tblGrid>
      <w:tr w:rsidR="00D83AB9" w:rsidRPr="001A28D2" w14:paraId="186FC7E3" w14:textId="77777777" w:rsidTr="00334438">
        <w:trPr>
          <w:jc w:val="center"/>
        </w:trPr>
        <w:tc>
          <w:tcPr>
            <w:tcW w:w="1548" w:type="dxa"/>
            <w:tcBorders>
              <w:bottom w:val="single" w:sz="4" w:space="0" w:color="auto"/>
            </w:tcBorders>
            <w:vAlign w:val="center"/>
          </w:tcPr>
          <w:p w14:paraId="7501CC43" w14:textId="77777777" w:rsidR="00D83AB9" w:rsidRPr="001A28D2" w:rsidRDefault="00D83AB9" w:rsidP="00334438">
            <w:pPr>
              <w:jc w:val="center"/>
            </w:pPr>
            <w:r w:rsidRPr="001A28D2">
              <w:rPr>
                <w:b/>
                <w:bCs/>
              </w:rPr>
              <w:t xml:space="preserve">№ </w:t>
            </w:r>
          </w:p>
        </w:tc>
        <w:tc>
          <w:tcPr>
            <w:tcW w:w="6416" w:type="dxa"/>
            <w:tcBorders>
              <w:bottom w:val="single" w:sz="4" w:space="0" w:color="auto"/>
            </w:tcBorders>
            <w:vAlign w:val="center"/>
          </w:tcPr>
          <w:p w14:paraId="61062B56" w14:textId="77777777" w:rsidR="00D83AB9" w:rsidRPr="001A28D2" w:rsidRDefault="00D83AB9" w:rsidP="00334438">
            <w:pPr>
              <w:jc w:val="center"/>
            </w:pPr>
            <w:r w:rsidRPr="001A28D2">
              <w:rPr>
                <w:b/>
                <w:bCs/>
              </w:rPr>
              <w:t>Приложение</w:t>
            </w:r>
          </w:p>
        </w:tc>
        <w:tc>
          <w:tcPr>
            <w:tcW w:w="1640" w:type="dxa"/>
            <w:tcBorders>
              <w:bottom w:val="single" w:sz="4" w:space="0" w:color="auto"/>
            </w:tcBorders>
            <w:vAlign w:val="center"/>
          </w:tcPr>
          <w:p w14:paraId="44B96BF7" w14:textId="09558F30" w:rsidR="00D83AB9" w:rsidRPr="001A28D2" w:rsidRDefault="00D83AB9" w:rsidP="00B31883">
            <w:pPr>
              <w:jc w:val="center"/>
              <w:rPr>
                <w:b/>
                <w:bCs/>
              </w:rPr>
            </w:pPr>
            <w:r w:rsidRPr="001A28D2">
              <w:rPr>
                <w:b/>
                <w:bCs/>
              </w:rPr>
              <w:t xml:space="preserve">Брой </w:t>
            </w:r>
            <w:r w:rsidR="00B31883" w:rsidRPr="001A28D2">
              <w:rPr>
                <w:b/>
                <w:bCs/>
              </w:rPr>
              <w:t>стр.</w:t>
            </w:r>
          </w:p>
        </w:tc>
      </w:tr>
      <w:tr w:rsidR="00D83AB9" w:rsidRPr="001A28D2" w14:paraId="7C8B089C" w14:textId="77777777" w:rsidTr="00334438">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3540B30" w14:textId="77777777" w:rsidR="00D83AB9" w:rsidRPr="001A28D2" w:rsidRDefault="00D83AB9" w:rsidP="00334438">
            <w:pPr>
              <w:jc w:val="center"/>
              <w:rPr>
                <w:bCs/>
              </w:rPr>
            </w:pPr>
            <w:r w:rsidRPr="001A28D2">
              <w:rPr>
                <w:bCs/>
              </w:rPr>
              <w:t>1</w:t>
            </w:r>
          </w:p>
        </w:tc>
        <w:tc>
          <w:tcPr>
            <w:tcW w:w="6416" w:type="dxa"/>
            <w:tcBorders>
              <w:top w:val="single" w:sz="4" w:space="0" w:color="auto"/>
              <w:left w:val="single" w:sz="4" w:space="0" w:color="auto"/>
              <w:bottom w:val="single" w:sz="4" w:space="0" w:color="auto"/>
              <w:right w:val="single" w:sz="4" w:space="0" w:color="auto"/>
            </w:tcBorders>
            <w:vAlign w:val="center"/>
          </w:tcPr>
          <w:p w14:paraId="1A3DDB00" w14:textId="77777777" w:rsidR="00D83AB9" w:rsidRPr="001A28D2" w:rsidRDefault="00D83AB9" w:rsidP="00334438">
            <w:pPr>
              <w:rPr>
                <w:bCs/>
              </w:rPr>
            </w:pPr>
            <w:r w:rsidRPr="001A28D2">
              <w:rPr>
                <w:bCs/>
              </w:rPr>
              <w:t>Правна рамка</w:t>
            </w:r>
          </w:p>
        </w:tc>
        <w:tc>
          <w:tcPr>
            <w:tcW w:w="1640" w:type="dxa"/>
            <w:tcBorders>
              <w:top w:val="single" w:sz="4" w:space="0" w:color="auto"/>
              <w:left w:val="single" w:sz="4" w:space="0" w:color="auto"/>
              <w:bottom w:val="single" w:sz="4" w:space="0" w:color="auto"/>
              <w:right w:val="single" w:sz="4" w:space="0" w:color="auto"/>
            </w:tcBorders>
            <w:vAlign w:val="center"/>
          </w:tcPr>
          <w:p w14:paraId="52074912" w14:textId="171E655F" w:rsidR="00D83AB9" w:rsidRPr="001A28D2" w:rsidRDefault="00B31883" w:rsidP="00334438">
            <w:pPr>
              <w:jc w:val="center"/>
              <w:rPr>
                <w:bCs/>
              </w:rPr>
            </w:pPr>
            <w:r w:rsidRPr="001A28D2">
              <w:rPr>
                <w:bCs/>
              </w:rPr>
              <w:t>2</w:t>
            </w:r>
          </w:p>
        </w:tc>
      </w:tr>
      <w:tr w:rsidR="00D83AB9" w:rsidRPr="001A28D2" w14:paraId="1D42617B" w14:textId="77777777" w:rsidTr="00334438">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7CD6370A" w14:textId="77777777" w:rsidR="00D83AB9" w:rsidRPr="001A28D2" w:rsidRDefault="00D83AB9" w:rsidP="00334438">
            <w:pPr>
              <w:jc w:val="center"/>
              <w:rPr>
                <w:bCs/>
              </w:rPr>
            </w:pPr>
            <w:r w:rsidRPr="001A28D2">
              <w:rPr>
                <w:bCs/>
              </w:rPr>
              <w:t>2</w:t>
            </w:r>
          </w:p>
        </w:tc>
        <w:tc>
          <w:tcPr>
            <w:tcW w:w="6416" w:type="dxa"/>
            <w:tcBorders>
              <w:top w:val="single" w:sz="4" w:space="0" w:color="auto"/>
              <w:left w:val="single" w:sz="4" w:space="0" w:color="auto"/>
              <w:bottom w:val="single" w:sz="4" w:space="0" w:color="auto"/>
              <w:right w:val="single" w:sz="4" w:space="0" w:color="auto"/>
            </w:tcBorders>
            <w:vAlign w:val="center"/>
          </w:tcPr>
          <w:p w14:paraId="410A69E7" w14:textId="77777777" w:rsidR="00D83AB9" w:rsidRPr="001A28D2" w:rsidRDefault="00D83AB9" w:rsidP="00334438">
            <w:pPr>
              <w:jc w:val="both"/>
              <w:rPr>
                <w:bCs/>
              </w:rPr>
            </w:pPr>
            <w:r w:rsidRPr="001A28D2">
              <w:rPr>
                <w:bCs/>
              </w:rPr>
              <w:t>Степен на изпълнение на утвърдените със ЗДБРБ за 2016 г. разходи, бюджетни взаимоотношения, вноска в общия бюджет на ЕС, бюджетно салдо и финансиране</w:t>
            </w:r>
          </w:p>
        </w:tc>
        <w:tc>
          <w:tcPr>
            <w:tcW w:w="1640" w:type="dxa"/>
            <w:tcBorders>
              <w:top w:val="single" w:sz="4" w:space="0" w:color="auto"/>
              <w:left w:val="single" w:sz="4" w:space="0" w:color="auto"/>
              <w:bottom w:val="single" w:sz="4" w:space="0" w:color="auto"/>
              <w:right w:val="single" w:sz="4" w:space="0" w:color="auto"/>
            </w:tcBorders>
            <w:vAlign w:val="center"/>
          </w:tcPr>
          <w:p w14:paraId="478D92B7" w14:textId="64B3294A" w:rsidR="00D83AB9" w:rsidRPr="001A28D2" w:rsidRDefault="00B31883" w:rsidP="00334438">
            <w:pPr>
              <w:jc w:val="center"/>
              <w:rPr>
                <w:bCs/>
                <w:highlight w:val="yellow"/>
              </w:rPr>
            </w:pPr>
            <w:r w:rsidRPr="001A28D2">
              <w:rPr>
                <w:bCs/>
              </w:rPr>
              <w:t>6</w:t>
            </w:r>
          </w:p>
        </w:tc>
      </w:tr>
      <w:tr w:rsidR="00D83AB9" w:rsidRPr="001A28D2" w14:paraId="02E98739" w14:textId="77777777" w:rsidTr="00334438">
        <w:trPr>
          <w:jc w:val="center"/>
        </w:trPr>
        <w:tc>
          <w:tcPr>
            <w:tcW w:w="1548" w:type="dxa"/>
            <w:tcBorders>
              <w:top w:val="single" w:sz="4" w:space="0" w:color="auto"/>
            </w:tcBorders>
            <w:vAlign w:val="center"/>
          </w:tcPr>
          <w:p w14:paraId="16A26DD9" w14:textId="77777777" w:rsidR="00D83AB9" w:rsidRPr="001A28D2" w:rsidRDefault="00D83AB9" w:rsidP="00334438">
            <w:pPr>
              <w:jc w:val="center"/>
              <w:rPr>
                <w:bCs/>
              </w:rPr>
            </w:pPr>
          </w:p>
        </w:tc>
        <w:tc>
          <w:tcPr>
            <w:tcW w:w="6416" w:type="dxa"/>
            <w:tcBorders>
              <w:top w:val="single" w:sz="4" w:space="0" w:color="auto"/>
            </w:tcBorders>
            <w:vAlign w:val="center"/>
          </w:tcPr>
          <w:p w14:paraId="705CE037" w14:textId="77777777" w:rsidR="00D83AB9" w:rsidRPr="001A28D2" w:rsidRDefault="00D83AB9" w:rsidP="00334438">
            <w:pPr>
              <w:jc w:val="center"/>
              <w:rPr>
                <w:bCs/>
              </w:rPr>
            </w:pPr>
          </w:p>
        </w:tc>
        <w:tc>
          <w:tcPr>
            <w:tcW w:w="1640" w:type="dxa"/>
            <w:tcBorders>
              <w:top w:val="single" w:sz="4" w:space="0" w:color="auto"/>
            </w:tcBorders>
            <w:vAlign w:val="center"/>
          </w:tcPr>
          <w:p w14:paraId="36129BA3" w14:textId="77777777" w:rsidR="00D83AB9" w:rsidRPr="001A28D2" w:rsidRDefault="00D83AB9" w:rsidP="00334438">
            <w:pPr>
              <w:jc w:val="center"/>
              <w:rPr>
                <w:bCs/>
              </w:rPr>
            </w:pPr>
          </w:p>
        </w:tc>
      </w:tr>
    </w:tbl>
    <w:p w14:paraId="53F5425D" w14:textId="77777777" w:rsidR="00D83AB9" w:rsidRPr="001A28D2" w:rsidRDefault="00D83AB9" w:rsidP="00D83AB9">
      <w:pPr>
        <w:tabs>
          <w:tab w:val="left" w:pos="0"/>
        </w:tabs>
        <w:spacing w:before="120" w:after="360"/>
        <w:ind w:firstLine="360"/>
        <w:jc w:val="center"/>
        <w:rPr>
          <w:b/>
          <w:bCs/>
        </w:rPr>
      </w:pPr>
      <w:r w:rsidRPr="001A28D2">
        <w:rPr>
          <w:b/>
          <w:bCs/>
        </w:rPr>
        <w:br w:type="page"/>
      </w:r>
    </w:p>
    <w:p w14:paraId="02FFCD85" w14:textId="77777777" w:rsidR="00D83AB9" w:rsidRPr="001A28D2" w:rsidRDefault="00D83AB9" w:rsidP="00D83AB9">
      <w:pPr>
        <w:tabs>
          <w:tab w:val="left" w:pos="0"/>
        </w:tabs>
        <w:spacing w:before="120" w:after="360"/>
        <w:ind w:firstLine="360"/>
        <w:jc w:val="center"/>
        <w:rPr>
          <w:b/>
        </w:rPr>
      </w:pPr>
      <w:r w:rsidRPr="001A28D2">
        <w:rPr>
          <w:b/>
          <w:bCs/>
        </w:rPr>
        <w:lastRenderedPageBreak/>
        <w:t>ОПИС НА ОДИТНИТЕ ДОКАЗАТЕЛСТВА КЪМ ОДИТЕН ДОКЛАД № </w:t>
      </w:r>
      <w:r w:rsidRPr="001A28D2">
        <w:rPr>
          <w:b/>
        </w:rPr>
        <w:t>0600200517</w:t>
      </w:r>
    </w:p>
    <w:tbl>
      <w:tblPr>
        <w:tblW w:w="9635" w:type="dxa"/>
        <w:jc w:val="center"/>
        <w:tblLayout w:type="fixed"/>
        <w:tblLook w:val="01E0" w:firstRow="1" w:lastRow="1" w:firstColumn="1" w:lastColumn="1" w:noHBand="0" w:noVBand="0"/>
      </w:tblPr>
      <w:tblGrid>
        <w:gridCol w:w="1368"/>
        <w:gridCol w:w="6660"/>
        <w:gridCol w:w="1607"/>
      </w:tblGrid>
      <w:tr w:rsidR="00D83AB9" w:rsidRPr="001A28D2" w14:paraId="21BE17BB" w14:textId="77777777" w:rsidTr="00334438">
        <w:trPr>
          <w:jc w:val="center"/>
        </w:trPr>
        <w:tc>
          <w:tcPr>
            <w:tcW w:w="1368" w:type="dxa"/>
            <w:tcBorders>
              <w:bottom w:val="single" w:sz="4" w:space="0" w:color="auto"/>
            </w:tcBorders>
            <w:vAlign w:val="center"/>
          </w:tcPr>
          <w:p w14:paraId="2A7C28BB" w14:textId="77777777" w:rsidR="00D83AB9" w:rsidRPr="001A28D2" w:rsidRDefault="00D83AB9" w:rsidP="00334438">
            <w:pPr>
              <w:jc w:val="center"/>
              <w:rPr>
                <w:b/>
              </w:rPr>
            </w:pPr>
            <w:r w:rsidRPr="001A28D2">
              <w:rPr>
                <w:b/>
                <w:bCs/>
              </w:rPr>
              <w:t>№</w:t>
            </w:r>
          </w:p>
        </w:tc>
        <w:tc>
          <w:tcPr>
            <w:tcW w:w="6660" w:type="dxa"/>
            <w:tcBorders>
              <w:bottom w:val="single" w:sz="4" w:space="0" w:color="auto"/>
            </w:tcBorders>
            <w:vAlign w:val="center"/>
          </w:tcPr>
          <w:p w14:paraId="7833575D" w14:textId="77777777" w:rsidR="00D83AB9" w:rsidRPr="001A28D2" w:rsidRDefault="00D83AB9" w:rsidP="00334438">
            <w:pPr>
              <w:jc w:val="center"/>
              <w:rPr>
                <w:b/>
              </w:rPr>
            </w:pPr>
            <w:r w:rsidRPr="001A28D2">
              <w:rPr>
                <w:b/>
                <w:bCs/>
              </w:rPr>
              <w:t>Одитни доказателства</w:t>
            </w:r>
          </w:p>
        </w:tc>
        <w:tc>
          <w:tcPr>
            <w:tcW w:w="1607" w:type="dxa"/>
            <w:tcBorders>
              <w:bottom w:val="single" w:sz="4" w:space="0" w:color="auto"/>
            </w:tcBorders>
            <w:vAlign w:val="center"/>
          </w:tcPr>
          <w:p w14:paraId="64AB7BED" w14:textId="77777777" w:rsidR="00D83AB9" w:rsidRPr="001A28D2" w:rsidRDefault="00D83AB9" w:rsidP="00334438">
            <w:pPr>
              <w:jc w:val="center"/>
              <w:rPr>
                <w:b/>
              </w:rPr>
            </w:pPr>
            <w:r w:rsidRPr="001A28D2">
              <w:rPr>
                <w:b/>
                <w:bCs/>
              </w:rPr>
              <w:t>Брой стр.</w:t>
            </w:r>
          </w:p>
        </w:tc>
      </w:tr>
      <w:tr w:rsidR="00D83AB9" w:rsidRPr="001A28D2" w14:paraId="742A93C5"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14A1123D" w14:textId="77777777" w:rsidR="00D83AB9" w:rsidRPr="001A28D2" w:rsidRDefault="00D83AB9" w:rsidP="00334438">
            <w:pPr>
              <w:jc w:val="center"/>
              <w:rPr>
                <w:bCs/>
              </w:rPr>
            </w:pPr>
            <w:r w:rsidRPr="001A28D2">
              <w:rPr>
                <w:bCs/>
              </w:rPr>
              <w:t>1</w:t>
            </w:r>
          </w:p>
        </w:tc>
        <w:tc>
          <w:tcPr>
            <w:tcW w:w="6660" w:type="dxa"/>
            <w:tcBorders>
              <w:top w:val="single" w:sz="4" w:space="0" w:color="auto"/>
              <w:left w:val="single" w:sz="4" w:space="0" w:color="auto"/>
              <w:bottom w:val="single" w:sz="4" w:space="0" w:color="auto"/>
              <w:right w:val="single" w:sz="4" w:space="0" w:color="auto"/>
            </w:tcBorders>
            <w:vAlign w:val="center"/>
          </w:tcPr>
          <w:p w14:paraId="02457592" w14:textId="77777777" w:rsidR="00D83AB9" w:rsidRPr="001A28D2" w:rsidRDefault="00D83AB9" w:rsidP="00334438">
            <w:pPr>
              <w:rPr>
                <w:highlight w:val="yellow"/>
              </w:rPr>
            </w:pPr>
            <w:r w:rsidRPr="001A28D2">
              <w:t>Справка за проверяваните длъжностни лица</w:t>
            </w:r>
          </w:p>
        </w:tc>
        <w:tc>
          <w:tcPr>
            <w:tcW w:w="1607" w:type="dxa"/>
            <w:tcBorders>
              <w:top w:val="single" w:sz="4" w:space="0" w:color="auto"/>
              <w:left w:val="single" w:sz="4" w:space="0" w:color="auto"/>
              <w:bottom w:val="single" w:sz="4" w:space="0" w:color="auto"/>
              <w:right w:val="single" w:sz="4" w:space="0" w:color="auto"/>
            </w:tcBorders>
            <w:vAlign w:val="center"/>
          </w:tcPr>
          <w:p w14:paraId="3DBC197D" w14:textId="77777777" w:rsidR="00D83AB9" w:rsidRPr="001A28D2" w:rsidRDefault="00D83AB9" w:rsidP="00334438">
            <w:pPr>
              <w:jc w:val="center"/>
              <w:rPr>
                <w:highlight w:val="yellow"/>
              </w:rPr>
            </w:pPr>
            <w:r w:rsidRPr="001A28D2">
              <w:t>1</w:t>
            </w:r>
          </w:p>
        </w:tc>
      </w:tr>
      <w:tr w:rsidR="00D83AB9" w:rsidRPr="001A28D2" w14:paraId="53BAC0CE"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2073E8BA" w14:textId="77777777" w:rsidR="00D83AB9" w:rsidRPr="001A28D2" w:rsidRDefault="00D83AB9" w:rsidP="00334438">
            <w:pPr>
              <w:jc w:val="center"/>
              <w:rPr>
                <w:bCs/>
              </w:rPr>
            </w:pPr>
            <w:r w:rsidRPr="001A28D2">
              <w:rPr>
                <w:bCs/>
              </w:rPr>
              <w:t>2</w:t>
            </w:r>
          </w:p>
        </w:tc>
        <w:tc>
          <w:tcPr>
            <w:tcW w:w="6660" w:type="dxa"/>
            <w:tcBorders>
              <w:top w:val="single" w:sz="4" w:space="0" w:color="auto"/>
              <w:left w:val="single" w:sz="4" w:space="0" w:color="auto"/>
              <w:bottom w:val="single" w:sz="4" w:space="0" w:color="auto"/>
              <w:right w:val="single" w:sz="4" w:space="0" w:color="auto"/>
            </w:tcBorders>
          </w:tcPr>
          <w:p w14:paraId="19B3DA4D" w14:textId="0125F3FE" w:rsidR="00D83AB9" w:rsidRPr="001A28D2" w:rsidRDefault="00D83AB9" w:rsidP="00C264BF">
            <w:pPr>
              <w:jc w:val="both"/>
            </w:pPr>
            <w:r w:rsidRPr="001A28D2">
              <w:t>Писмо № 50-01-52 от 29.06.2017 г. Отчет за изпълнението на ДБ и КФП за 2016 г.; Писмо № 50-01-55 от 11.07.2017 г.</w:t>
            </w:r>
            <w:r w:rsidR="00C264BF" w:rsidRPr="001A28D2">
              <w:t xml:space="preserve"> Писмо, вх. № 04-01-37/ 24.08.2017 г.   </w:t>
            </w:r>
          </w:p>
        </w:tc>
        <w:tc>
          <w:tcPr>
            <w:tcW w:w="1607" w:type="dxa"/>
            <w:tcBorders>
              <w:top w:val="single" w:sz="4" w:space="0" w:color="auto"/>
              <w:left w:val="single" w:sz="4" w:space="0" w:color="auto"/>
              <w:bottom w:val="single" w:sz="4" w:space="0" w:color="auto"/>
              <w:right w:val="single" w:sz="4" w:space="0" w:color="auto"/>
            </w:tcBorders>
          </w:tcPr>
          <w:p w14:paraId="23CA6E54" w14:textId="728AD4E3" w:rsidR="00D83AB9" w:rsidRPr="001A28D2" w:rsidRDefault="00C264BF" w:rsidP="00334438">
            <w:pPr>
              <w:jc w:val="center"/>
            </w:pPr>
            <w:r w:rsidRPr="001A28D2">
              <w:t>3</w:t>
            </w:r>
          </w:p>
          <w:p w14:paraId="27F74264" w14:textId="15B835C1" w:rsidR="00D83AB9" w:rsidRPr="001A28D2" w:rsidRDefault="00C264BF" w:rsidP="00334438">
            <w:pPr>
              <w:jc w:val="center"/>
            </w:pPr>
            <w:r w:rsidRPr="001A28D2">
              <w:t>3</w:t>
            </w:r>
            <w:r w:rsidR="00D83AB9" w:rsidRPr="001A28D2">
              <w:t xml:space="preserve"> бр. СД</w:t>
            </w:r>
          </w:p>
        </w:tc>
      </w:tr>
      <w:tr w:rsidR="00D83AB9" w:rsidRPr="001A28D2" w14:paraId="79AD1828"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3E838DCE" w14:textId="77777777" w:rsidR="00D83AB9" w:rsidRPr="001A28D2" w:rsidRDefault="00D83AB9" w:rsidP="00334438">
            <w:pPr>
              <w:jc w:val="center"/>
              <w:rPr>
                <w:bCs/>
              </w:rPr>
            </w:pPr>
            <w:r w:rsidRPr="001A28D2">
              <w:rPr>
                <w:bCs/>
              </w:rPr>
              <w:t>3</w:t>
            </w:r>
          </w:p>
        </w:tc>
        <w:tc>
          <w:tcPr>
            <w:tcW w:w="6660" w:type="dxa"/>
            <w:tcBorders>
              <w:top w:val="single" w:sz="4" w:space="0" w:color="auto"/>
              <w:left w:val="single" w:sz="4" w:space="0" w:color="auto"/>
              <w:bottom w:val="single" w:sz="4" w:space="0" w:color="auto"/>
              <w:right w:val="single" w:sz="4" w:space="0" w:color="auto"/>
            </w:tcBorders>
          </w:tcPr>
          <w:p w14:paraId="57E3F20C" w14:textId="77777777" w:rsidR="00D83AB9" w:rsidRPr="001A28D2" w:rsidRDefault="00D83AB9" w:rsidP="00334438">
            <w:pPr>
              <w:jc w:val="both"/>
            </w:pPr>
            <w:r w:rsidRPr="001A28D2">
              <w:t>Утвърден от министъра на финансите централен бюджет към 31.12.2016 г.</w:t>
            </w:r>
          </w:p>
        </w:tc>
        <w:tc>
          <w:tcPr>
            <w:tcW w:w="1607" w:type="dxa"/>
            <w:tcBorders>
              <w:top w:val="single" w:sz="4" w:space="0" w:color="auto"/>
              <w:left w:val="single" w:sz="4" w:space="0" w:color="auto"/>
              <w:bottom w:val="single" w:sz="4" w:space="0" w:color="auto"/>
              <w:right w:val="single" w:sz="4" w:space="0" w:color="auto"/>
            </w:tcBorders>
          </w:tcPr>
          <w:p w14:paraId="5EC9AADF" w14:textId="77777777" w:rsidR="00D83AB9" w:rsidRPr="001A28D2" w:rsidRDefault="00D83AB9" w:rsidP="00334438">
            <w:pPr>
              <w:jc w:val="center"/>
            </w:pPr>
            <w:r w:rsidRPr="001A28D2">
              <w:t>11</w:t>
            </w:r>
          </w:p>
        </w:tc>
      </w:tr>
      <w:tr w:rsidR="00D83AB9" w:rsidRPr="001A28D2" w14:paraId="36016858"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84ACFF" w14:textId="77777777" w:rsidR="00D83AB9" w:rsidRPr="001A28D2" w:rsidRDefault="00D83AB9" w:rsidP="00334438">
            <w:pPr>
              <w:jc w:val="center"/>
              <w:rPr>
                <w:bCs/>
              </w:rPr>
            </w:pPr>
            <w:r w:rsidRPr="001A28D2">
              <w:rPr>
                <w:bCs/>
              </w:rPr>
              <w:t xml:space="preserve">4 </w:t>
            </w:r>
          </w:p>
        </w:tc>
        <w:tc>
          <w:tcPr>
            <w:tcW w:w="6660" w:type="dxa"/>
            <w:tcBorders>
              <w:top w:val="single" w:sz="4" w:space="0" w:color="auto"/>
              <w:left w:val="single" w:sz="4" w:space="0" w:color="auto"/>
              <w:bottom w:val="single" w:sz="4" w:space="0" w:color="auto"/>
              <w:right w:val="single" w:sz="4" w:space="0" w:color="auto"/>
            </w:tcBorders>
            <w:vAlign w:val="center"/>
          </w:tcPr>
          <w:p w14:paraId="7CED6CDA" w14:textId="77777777" w:rsidR="00D83AB9" w:rsidRPr="001A28D2" w:rsidRDefault="00D83AB9" w:rsidP="00334438">
            <w:pPr>
              <w:jc w:val="both"/>
            </w:pPr>
            <w:r w:rsidRPr="001A28D2">
              <w:t>Отчет за касовото изпълнение на централния бюджет към 31.12.2016 г., вх. № 04-01-29 от 28.03.2017 г.</w:t>
            </w:r>
          </w:p>
        </w:tc>
        <w:tc>
          <w:tcPr>
            <w:tcW w:w="1607" w:type="dxa"/>
            <w:tcBorders>
              <w:top w:val="single" w:sz="4" w:space="0" w:color="auto"/>
              <w:left w:val="single" w:sz="4" w:space="0" w:color="auto"/>
              <w:bottom w:val="single" w:sz="4" w:space="0" w:color="auto"/>
              <w:right w:val="single" w:sz="4" w:space="0" w:color="auto"/>
            </w:tcBorders>
            <w:vAlign w:val="center"/>
          </w:tcPr>
          <w:p w14:paraId="3B75EC92" w14:textId="77777777" w:rsidR="00D83AB9" w:rsidRPr="001A28D2" w:rsidRDefault="00D83AB9" w:rsidP="00334438">
            <w:pPr>
              <w:jc w:val="center"/>
            </w:pPr>
            <w:r w:rsidRPr="001A28D2">
              <w:t>92+СД</w:t>
            </w:r>
          </w:p>
        </w:tc>
      </w:tr>
      <w:tr w:rsidR="00D83AB9" w:rsidRPr="001A28D2" w14:paraId="2D1A8DAD"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6F0CC07F" w14:textId="77777777" w:rsidR="00D83AB9" w:rsidRPr="001A28D2" w:rsidRDefault="00D83AB9" w:rsidP="00334438">
            <w:pPr>
              <w:jc w:val="center"/>
              <w:rPr>
                <w:bCs/>
              </w:rPr>
            </w:pPr>
            <w:r w:rsidRPr="001A28D2">
              <w:rPr>
                <w:bCs/>
              </w:rPr>
              <w:t>5</w:t>
            </w:r>
          </w:p>
        </w:tc>
        <w:tc>
          <w:tcPr>
            <w:tcW w:w="6660" w:type="dxa"/>
            <w:tcBorders>
              <w:top w:val="single" w:sz="4" w:space="0" w:color="auto"/>
              <w:left w:val="single" w:sz="4" w:space="0" w:color="auto"/>
              <w:bottom w:val="single" w:sz="4" w:space="0" w:color="auto"/>
              <w:right w:val="single" w:sz="4" w:space="0" w:color="auto"/>
            </w:tcBorders>
            <w:vAlign w:val="center"/>
          </w:tcPr>
          <w:p w14:paraId="5741C1BF" w14:textId="77777777" w:rsidR="00D83AB9" w:rsidRPr="001A28D2" w:rsidRDefault="00D83AB9" w:rsidP="00334438">
            <w:pPr>
              <w:jc w:val="both"/>
              <w:rPr>
                <w:highlight w:val="yellow"/>
              </w:rPr>
            </w:pPr>
            <w:r w:rsidRPr="001A28D2">
              <w:t>Писмо № 50-01-48 от 21.06.2016 г. отговори на въпроси от Дирекция „Финанси на общините“</w:t>
            </w:r>
          </w:p>
        </w:tc>
        <w:tc>
          <w:tcPr>
            <w:tcW w:w="1607" w:type="dxa"/>
            <w:tcBorders>
              <w:top w:val="single" w:sz="4" w:space="0" w:color="auto"/>
              <w:left w:val="single" w:sz="4" w:space="0" w:color="auto"/>
              <w:bottom w:val="single" w:sz="4" w:space="0" w:color="auto"/>
              <w:right w:val="single" w:sz="4" w:space="0" w:color="auto"/>
            </w:tcBorders>
            <w:vAlign w:val="center"/>
          </w:tcPr>
          <w:p w14:paraId="10B28EBC" w14:textId="77777777" w:rsidR="00D83AB9" w:rsidRPr="001A28D2" w:rsidRDefault="00D83AB9" w:rsidP="00334438">
            <w:pPr>
              <w:jc w:val="center"/>
              <w:rPr>
                <w:highlight w:val="yellow"/>
              </w:rPr>
            </w:pPr>
            <w:r w:rsidRPr="001A28D2">
              <w:t>4</w:t>
            </w:r>
          </w:p>
        </w:tc>
      </w:tr>
      <w:tr w:rsidR="00D83AB9" w:rsidRPr="001A28D2" w14:paraId="067D7E22"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6EB9F558" w14:textId="77777777" w:rsidR="00D83AB9" w:rsidRPr="001A28D2" w:rsidRDefault="00D83AB9" w:rsidP="00334438">
            <w:pPr>
              <w:jc w:val="center"/>
              <w:rPr>
                <w:bCs/>
              </w:rPr>
            </w:pPr>
            <w:r w:rsidRPr="001A28D2">
              <w:rPr>
                <w:bCs/>
              </w:rPr>
              <w:t>6</w:t>
            </w:r>
          </w:p>
        </w:tc>
        <w:tc>
          <w:tcPr>
            <w:tcW w:w="6660" w:type="dxa"/>
            <w:tcBorders>
              <w:top w:val="single" w:sz="4" w:space="0" w:color="auto"/>
              <w:left w:val="single" w:sz="4" w:space="0" w:color="auto"/>
              <w:bottom w:val="single" w:sz="4" w:space="0" w:color="auto"/>
              <w:right w:val="single" w:sz="4" w:space="0" w:color="auto"/>
            </w:tcBorders>
            <w:vAlign w:val="center"/>
          </w:tcPr>
          <w:p w14:paraId="6F062674" w14:textId="77777777" w:rsidR="00D83AB9" w:rsidRPr="001A28D2" w:rsidRDefault="00D83AB9" w:rsidP="00334438">
            <w:pPr>
              <w:jc w:val="both"/>
            </w:pPr>
            <w:r w:rsidRPr="001A28D2">
              <w:t>Писмо № 50-01-48 от 20.06.2017 г. отговори на въпроси от Дирекция „Държавни разходи“ и Справка за заложени лимити по тримесечия за 2016 г.</w:t>
            </w:r>
          </w:p>
        </w:tc>
        <w:tc>
          <w:tcPr>
            <w:tcW w:w="1607" w:type="dxa"/>
            <w:tcBorders>
              <w:top w:val="single" w:sz="4" w:space="0" w:color="auto"/>
              <w:left w:val="single" w:sz="4" w:space="0" w:color="auto"/>
              <w:bottom w:val="single" w:sz="4" w:space="0" w:color="auto"/>
              <w:right w:val="single" w:sz="4" w:space="0" w:color="auto"/>
            </w:tcBorders>
            <w:vAlign w:val="center"/>
          </w:tcPr>
          <w:p w14:paraId="59FE2926" w14:textId="77777777" w:rsidR="00D83AB9" w:rsidRPr="001A28D2" w:rsidRDefault="00D83AB9" w:rsidP="00334438">
            <w:pPr>
              <w:jc w:val="center"/>
              <w:rPr>
                <w:highlight w:val="yellow"/>
              </w:rPr>
            </w:pPr>
            <w:r w:rsidRPr="001A28D2">
              <w:t>5</w:t>
            </w:r>
          </w:p>
        </w:tc>
      </w:tr>
      <w:tr w:rsidR="00D83AB9" w:rsidRPr="001A28D2" w14:paraId="6D4716D2"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175CA456" w14:textId="77777777" w:rsidR="00D83AB9" w:rsidRPr="001A28D2" w:rsidRDefault="00D83AB9" w:rsidP="00334438">
            <w:pPr>
              <w:jc w:val="center"/>
              <w:rPr>
                <w:bCs/>
              </w:rPr>
            </w:pPr>
            <w:r w:rsidRPr="001A28D2">
              <w:rPr>
                <w:bCs/>
              </w:rPr>
              <w:t>7</w:t>
            </w:r>
          </w:p>
        </w:tc>
        <w:tc>
          <w:tcPr>
            <w:tcW w:w="6660" w:type="dxa"/>
            <w:tcBorders>
              <w:top w:val="single" w:sz="4" w:space="0" w:color="auto"/>
              <w:left w:val="single" w:sz="4" w:space="0" w:color="auto"/>
              <w:bottom w:val="single" w:sz="4" w:space="0" w:color="auto"/>
              <w:right w:val="single" w:sz="4" w:space="0" w:color="auto"/>
            </w:tcBorders>
            <w:vAlign w:val="center"/>
          </w:tcPr>
          <w:p w14:paraId="581943BE" w14:textId="77777777" w:rsidR="00D83AB9" w:rsidRPr="001A28D2" w:rsidRDefault="00D83AB9" w:rsidP="00334438">
            <w:pPr>
              <w:jc w:val="both"/>
            </w:pPr>
            <w:r w:rsidRPr="001A28D2">
              <w:t>Писмо № 50-01-48 от 23.06.2017 г. отговори на въпроси от Дирекция „Икономическа и финансова политика“; Писмо № 50-01-48 от 19.06.2017 г. от Дирекция „Държавен дълг“</w:t>
            </w:r>
          </w:p>
        </w:tc>
        <w:tc>
          <w:tcPr>
            <w:tcW w:w="1607" w:type="dxa"/>
            <w:tcBorders>
              <w:top w:val="single" w:sz="4" w:space="0" w:color="auto"/>
              <w:left w:val="single" w:sz="4" w:space="0" w:color="auto"/>
              <w:bottom w:val="single" w:sz="4" w:space="0" w:color="auto"/>
              <w:right w:val="single" w:sz="4" w:space="0" w:color="auto"/>
            </w:tcBorders>
            <w:vAlign w:val="center"/>
          </w:tcPr>
          <w:p w14:paraId="5C48BB52" w14:textId="77777777" w:rsidR="00D83AB9" w:rsidRPr="001A28D2" w:rsidRDefault="00D83AB9" w:rsidP="00334438">
            <w:pPr>
              <w:jc w:val="center"/>
            </w:pPr>
            <w:r w:rsidRPr="001A28D2">
              <w:t>6</w:t>
            </w:r>
          </w:p>
        </w:tc>
      </w:tr>
      <w:tr w:rsidR="00D83AB9" w:rsidRPr="001A28D2" w14:paraId="7C353B95"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5B4374EB" w14:textId="77777777" w:rsidR="00D83AB9" w:rsidRPr="001A28D2" w:rsidRDefault="00D83AB9" w:rsidP="00334438">
            <w:pPr>
              <w:jc w:val="center"/>
              <w:rPr>
                <w:bCs/>
              </w:rPr>
            </w:pPr>
            <w:r w:rsidRPr="001A28D2">
              <w:rPr>
                <w:bCs/>
              </w:rPr>
              <w:t>8</w:t>
            </w:r>
          </w:p>
        </w:tc>
        <w:tc>
          <w:tcPr>
            <w:tcW w:w="6660" w:type="dxa"/>
            <w:tcBorders>
              <w:top w:val="single" w:sz="4" w:space="0" w:color="auto"/>
              <w:left w:val="single" w:sz="4" w:space="0" w:color="auto"/>
              <w:bottom w:val="single" w:sz="4" w:space="0" w:color="auto"/>
              <w:right w:val="single" w:sz="4" w:space="0" w:color="auto"/>
            </w:tcBorders>
            <w:vAlign w:val="center"/>
          </w:tcPr>
          <w:p w14:paraId="45E93450" w14:textId="77777777" w:rsidR="00D83AB9" w:rsidRPr="001A28D2" w:rsidRDefault="00D83AB9" w:rsidP="00334438">
            <w:pPr>
              <w:jc w:val="both"/>
            </w:pPr>
            <w:r w:rsidRPr="001A28D2">
              <w:t xml:space="preserve">Писмо № 50-01-50 от 28.06.2017 отговори на въпроси от Дирекция „Държавни разходи“. </w:t>
            </w:r>
          </w:p>
        </w:tc>
        <w:tc>
          <w:tcPr>
            <w:tcW w:w="1607" w:type="dxa"/>
            <w:tcBorders>
              <w:top w:val="single" w:sz="4" w:space="0" w:color="auto"/>
              <w:left w:val="single" w:sz="4" w:space="0" w:color="auto"/>
              <w:bottom w:val="single" w:sz="4" w:space="0" w:color="auto"/>
              <w:right w:val="single" w:sz="4" w:space="0" w:color="auto"/>
            </w:tcBorders>
            <w:vAlign w:val="center"/>
          </w:tcPr>
          <w:p w14:paraId="1E88ABD8" w14:textId="77777777" w:rsidR="00D83AB9" w:rsidRPr="001A28D2" w:rsidRDefault="00D83AB9" w:rsidP="00334438">
            <w:pPr>
              <w:jc w:val="center"/>
            </w:pPr>
            <w:r w:rsidRPr="001A28D2">
              <w:t>2</w:t>
            </w:r>
          </w:p>
        </w:tc>
      </w:tr>
      <w:tr w:rsidR="00D83AB9" w:rsidRPr="001A28D2" w14:paraId="62EA18AA"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213BB339" w14:textId="77777777" w:rsidR="00D83AB9" w:rsidRPr="001A28D2" w:rsidRDefault="00D83AB9" w:rsidP="00334438">
            <w:pPr>
              <w:jc w:val="center"/>
              <w:rPr>
                <w:bCs/>
              </w:rPr>
            </w:pPr>
            <w:r w:rsidRPr="001A28D2">
              <w:rPr>
                <w:bCs/>
              </w:rPr>
              <w:t>9</w:t>
            </w:r>
          </w:p>
        </w:tc>
        <w:tc>
          <w:tcPr>
            <w:tcW w:w="6660" w:type="dxa"/>
            <w:tcBorders>
              <w:top w:val="single" w:sz="4" w:space="0" w:color="auto"/>
              <w:left w:val="single" w:sz="4" w:space="0" w:color="auto"/>
              <w:bottom w:val="single" w:sz="4" w:space="0" w:color="auto"/>
              <w:right w:val="single" w:sz="4" w:space="0" w:color="auto"/>
            </w:tcBorders>
            <w:vAlign w:val="center"/>
          </w:tcPr>
          <w:p w14:paraId="0A57615C" w14:textId="77777777" w:rsidR="00D83AB9" w:rsidRPr="001A28D2" w:rsidRDefault="00D83AB9" w:rsidP="00334438">
            <w:pPr>
              <w:jc w:val="both"/>
            </w:pPr>
            <w:r w:rsidRPr="001A28D2">
              <w:t>Писмо № 50-01-50 от 28.06.2017 отговори на въпроси от Дирекция „Бюджет“; Справка за капиталови разходи по ПРБ по области на политики и бюджетни програми за 2016 г. за ПРБ, прилагащи програмен формат на бюджет</w:t>
            </w:r>
          </w:p>
        </w:tc>
        <w:tc>
          <w:tcPr>
            <w:tcW w:w="1607" w:type="dxa"/>
            <w:tcBorders>
              <w:top w:val="single" w:sz="4" w:space="0" w:color="auto"/>
              <w:left w:val="single" w:sz="4" w:space="0" w:color="auto"/>
              <w:bottom w:val="single" w:sz="4" w:space="0" w:color="auto"/>
              <w:right w:val="single" w:sz="4" w:space="0" w:color="auto"/>
            </w:tcBorders>
            <w:vAlign w:val="center"/>
          </w:tcPr>
          <w:p w14:paraId="553EBD1E" w14:textId="77777777" w:rsidR="00D83AB9" w:rsidRPr="001A28D2" w:rsidRDefault="00D83AB9" w:rsidP="00334438">
            <w:pPr>
              <w:jc w:val="center"/>
              <w:rPr>
                <w:highlight w:val="yellow"/>
              </w:rPr>
            </w:pPr>
            <w:r w:rsidRPr="001A28D2">
              <w:t>5+СД</w:t>
            </w:r>
          </w:p>
        </w:tc>
      </w:tr>
      <w:tr w:rsidR="00D83AB9" w:rsidRPr="001A28D2" w14:paraId="427433E9"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49C119C2" w14:textId="77777777" w:rsidR="00D83AB9" w:rsidRPr="001A28D2" w:rsidRDefault="00D83AB9" w:rsidP="00334438">
            <w:pPr>
              <w:jc w:val="center"/>
              <w:rPr>
                <w:bCs/>
              </w:rPr>
            </w:pPr>
            <w:r w:rsidRPr="001A28D2">
              <w:rPr>
                <w:bCs/>
              </w:rPr>
              <w:t>10</w:t>
            </w:r>
          </w:p>
        </w:tc>
        <w:tc>
          <w:tcPr>
            <w:tcW w:w="6660" w:type="dxa"/>
            <w:tcBorders>
              <w:top w:val="single" w:sz="4" w:space="0" w:color="auto"/>
              <w:left w:val="single" w:sz="4" w:space="0" w:color="auto"/>
              <w:bottom w:val="single" w:sz="4" w:space="0" w:color="auto"/>
              <w:right w:val="single" w:sz="4" w:space="0" w:color="auto"/>
            </w:tcBorders>
            <w:vAlign w:val="center"/>
          </w:tcPr>
          <w:p w14:paraId="100605D1" w14:textId="77777777" w:rsidR="00D83AB9" w:rsidRPr="001A28D2" w:rsidRDefault="00D83AB9" w:rsidP="00334438">
            <w:pPr>
              <w:jc w:val="both"/>
              <w:rPr>
                <w:highlight w:val="yellow"/>
              </w:rPr>
            </w:pPr>
            <w:r w:rsidRPr="001A28D2">
              <w:t>Писмо № 50-01-50 от 29.06.2017 отговори на въпроси от Дирекция „Бюджет“; Справка за капиталови разходи по ПРБ по области на политики и бюджетни програми за 2016 г. за ПРБ, прилагащи програмен формат на бюджет – Държавна агенция „Електронно управление“</w:t>
            </w:r>
          </w:p>
        </w:tc>
        <w:tc>
          <w:tcPr>
            <w:tcW w:w="1607" w:type="dxa"/>
            <w:tcBorders>
              <w:top w:val="single" w:sz="4" w:space="0" w:color="auto"/>
              <w:left w:val="single" w:sz="4" w:space="0" w:color="auto"/>
              <w:bottom w:val="single" w:sz="4" w:space="0" w:color="auto"/>
              <w:right w:val="single" w:sz="4" w:space="0" w:color="auto"/>
            </w:tcBorders>
            <w:vAlign w:val="center"/>
          </w:tcPr>
          <w:p w14:paraId="5219CA56" w14:textId="77777777" w:rsidR="00D83AB9" w:rsidRPr="001A28D2" w:rsidRDefault="00D83AB9" w:rsidP="00334438">
            <w:pPr>
              <w:jc w:val="center"/>
              <w:rPr>
                <w:highlight w:val="yellow"/>
              </w:rPr>
            </w:pPr>
            <w:r w:rsidRPr="001A28D2">
              <w:t>2</w:t>
            </w:r>
          </w:p>
        </w:tc>
      </w:tr>
      <w:tr w:rsidR="00D83AB9" w:rsidRPr="001A28D2" w14:paraId="316FE24C"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7EF85658" w14:textId="77777777" w:rsidR="00D83AB9" w:rsidRPr="001A28D2" w:rsidRDefault="00D83AB9" w:rsidP="00334438">
            <w:pPr>
              <w:jc w:val="center"/>
              <w:rPr>
                <w:bCs/>
              </w:rPr>
            </w:pPr>
            <w:r w:rsidRPr="001A28D2">
              <w:rPr>
                <w:bCs/>
              </w:rPr>
              <w:t>11</w:t>
            </w:r>
          </w:p>
        </w:tc>
        <w:tc>
          <w:tcPr>
            <w:tcW w:w="6660" w:type="dxa"/>
            <w:tcBorders>
              <w:top w:val="single" w:sz="4" w:space="0" w:color="auto"/>
              <w:left w:val="single" w:sz="4" w:space="0" w:color="auto"/>
              <w:bottom w:val="single" w:sz="4" w:space="0" w:color="auto"/>
              <w:right w:val="single" w:sz="4" w:space="0" w:color="auto"/>
            </w:tcBorders>
            <w:vAlign w:val="center"/>
          </w:tcPr>
          <w:p w14:paraId="181572F8" w14:textId="77777777" w:rsidR="00D83AB9" w:rsidRPr="001A28D2" w:rsidRDefault="00D83AB9" w:rsidP="00334438">
            <w:pPr>
              <w:jc w:val="both"/>
            </w:pPr>
            <w:r w:rsidRPr="001A28D2">
              <w:t>Писмо № 50-01-50 от 28.06.2017 от Дирекция „Държавни разходи“; Справка за максималния размер на ангажиментите за разходи, поети през 2016 г. и за максималния размер на новите задължения за разходи, натрупани през 2016 г. на ПРБ по ДБ; Справка за приходите от държавни такси, в т. ч. такси за административни и други услуги и дейности и такси за лицензии с данъчен характер по ПРБ за 2014 г., 2015 г. и 2016 г.</w:t>
            </w:r>
          </w:p>
        </w:tc>
        <w:tc>
          <w:tcPr>
            <w:tcW w:w="1607" w:type="dxa"/>
            <w:tcBorders>
              <w:top w:val="single" w:sz="4" w:space="0" w:color="auto"/>
              <w:left w:val="single" w:sz="4" w:space="0" w:color="auto"/>
              <w:bottom w:val="single" w:sz="4" w:space="0" w:color="auto"/>
              <w:right w:val="single" w:sz="4" w:space="0" w:color="auto"/>
            </w:tcBorders>
            <w:vAlign w:val="center"/>
          </w:tcPr>
          <w:p w14:paraId="09E85775" w14:textId="77777777" w:rsidR="00D83AB9" w:rsidRPr="001A28D2" w:rsidRDefault="00D83AB9" w:rsidP="00334438">
            <w:pPr>
              <w:jc w:val="center"/>
            </w:pPr>
            <w:r w:rsidRPr="001A28D2">
              <w:t>5</w:t>
            </w:r>
          </w:p>
        </w:tc>
      </w:tr>
      <w:tr w:rsidR="00D83AB9" w:rsidRPr="001A28D2" w14:paraId="49E0D755"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493954" w14:textId="77777777" w:rsidR="00D83AB9" w:rsidRPr="001A28D2" w:rsidRDefault="00D83AB9" w:rsidP="00334438">
            <w:pPr>
              <w:jc w:val="center"/>
              <w:rPr>
                <w:bCs/>
              </w:rPr>
            </w:pPr>
            <w:r w:rsidRPr="001A28D2">
              <w:rPr>
                <w:bCs/>
              </w:rPr>
              <w:t>12</w:t>
            </w:r>
          </w:p>
        </w:tc>
        <w:tc>
          <w:tcPr>
            <w:tcW w:w="6660" w:type="dxa"/>
            <w:tcBorders>
              <w:top w:val="single" w:sz="4" w:space="0" w:color="auto"/>
              <w:left w:val="single" w:sz="4" w:space="0" w:color="auto"/>
              <w:bottom w:val="single" w:sz="4" w:space="0" w:color="auto"/>
              <w:right w:val="single" w:sz="4" w:space="0" w:color="auto"/>
            </w:tcBorders>
            <w:vAlign w:val="center"/>
          </w:tcPr>
          <w:p w14:paraId="10291C71" w14:textId="77777777" w:rsidR="00D83AB9" w:rsidRPr="001A28D2" w:rsidRDefault="00D83AB9" w:rsidP="00334438">
            <w:pPr>
              <w:jc w:val="both"/>
            </w:pPr>
            <w:r w:rsidRPr="001A28D2">
              <w:t>Писмо № 50-01-56 от 14.07.2016 г. отговори на въпроси от Дирекция „Бюджет“ и приложение – утвърдени капиталови разходи.</w:t>
            </w:r>
          </w:p>
        </w:tc>
        <w:tc>
          <w:tcPr>
            <w:tcW w:w="1607" w:type="dxa"/>
            <w:tcBorders>
              <w:top w:val="single" w:sz="4" w:space="0" w:color="auto"/>
              <w:left w:val="single" w:sz="4" w:space="0" w:color="auto"/>
              <w:bottom w:val="single" w:sz="4" w:space="0" w:color="auto"/>
              <w:right w:val="single" w:sz="4" w:space="0" w:color="auto"/>
            </w:tcBorders>
            <w:vAlign w:val="center"/>
          </w:tcPr>
          <w:p w14:paraId="1434D520" w14:textId="77777777" w:rsidR="00D83AB9" w:rsidRPr="001A28D2" w:rsidRDefault="00D83AB9" w:rsidP="00334438">
            <w:pPr>
              <w:jc w:val="center"/>
            </w:pPr>
            <w:r w:rsidRPr="001A28D2">
              <w:t>4</w:t>
            </w:r>
          </w:p>
        </w:tc>
      </w:tr>
      <w:tr w:rsidR="00D83AB9" w:rsidRPr="001A28D2" w14:paraId="63D34BC0"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B1C63F" w14:textId="77777777" w:rsidR="00D83AB9" w:rsidRPr="001A28D2" w:rsidRDefault="00D83AB9" w:rsidP="00334438">
            <w:pPr>
              <w:jc w:val="center"/>
              <w:rPr>
                <w:bCs/>
              </w:rPr>
            </w:pPr>
            <w:r w:rsidRPr="001A28D2">
              <w:rPr>
                <w:bCs/>
              </w:rPr>
              <w:t>13</w:t>
            </w:r>
          </w:p>
        </w:tc>
        <w:tc>
          <w:tcPr>
            <w:tcW w:w="6660" w:type="dxa"/>
            <w:tcBorders>
              <w:top w:val="single" w:sz="4" w:space="0" w:color="auto"/>
              <w:left w:val="single" w:sz="4" w:space="0" w:color="auto"/>
              <w:bottom w:val="single" w:sz="4" w:space="0" w:color="auto"/>
              <w:right w:val="single" w:sz="4" w:space="0" w:color="auto"/>
            </w:tcBorders>
            <w:vAlign w:val="center"/>
          </w:tcPr>
          <w:p w14:paraId="2C0F4E15" w14:textId="77777777" w:rsidR="00D83AB9" w:rsidRPr="001A28D2" w:rsidRDefault="00D83AB9" w:rsidP="00334438">
            <w:pPr>
              <w:jc w:val="both"/>
            </w:pPr>
            <w:r w:rsidRPr="001A28D2">
              <w:t>Писмо № 50-01-56 от 14.07.2017 г. от Дирекция „Държавно съкровище“</w:t>
            </w:r>
          </w:p>
        </w:tc>
        <w:tc>
          <w:tcPr>
            <w:tcW w:w="1607" w:type="dxa"/>
            <w:tcBorders>
              <w:top w:val="single" w:sz="4" w:space="0" w:color="auto"/>
              <w:left w:val="single" w:sz="4" w:space="0" w:color="auto"/>
              <w:bottom w:val="single" w:sz="4" w:space="0" w:color="auto"/>
              <w:right w:val="single" w:sz="4" w:space="0" w:color="auto"/>
            </w:tcBorders>
            <w:vAlign w:val="center"/>
          </w:tcPr>
          <w:p w14:paraId="62334462" w14:textId="77777777" w:rsidR="00D83AB9" w:rsidRPr="001A28D2" w:rsidRDefault="00D83AB9" w:rsidP="00334438">
            <w:pPr>
              <w:jc w:val="center"/>
            </w:pPr>
            <w:r w:rsidRPr="001A28D2">
              <w:t>4</w:t>
            </w:r>
          </w:p>
        </w:tc>
      </w:tr>
      <w:tr w:rsidR="00D83AB9" w:rsidRPr="001A28D2" w14:paraId="0E229E82"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3C0DF106" w14:textId="77777777" w:rsidR="00D83AB9" w:rsidRPr="001A28D2" w:rsidRDefault="00D83AB9" w:rsidP="00334438">
            <w:pPr>
              <w:jc w:val="center"/>
              <w:rPr>
                <w:bCs/>
              </w:rPr>
            </w:pPr>
            <w:r w:rsidRPr="001A28D2">
              <w:rPr>
                <w:bCs/>
              </w:rPr>
              <w:t>14</w:t>
            </w:r>
          </w:p>
        </w:tc>
        <w:tc>
          <w:tcPr>
            <w:tcW w:w="6660" w:type="dxa"/>
            <w:tcBorders>
              <w:top w:val="single" w:sz="4" w:space="0" w:color="auto"/>
              <w:left w:val="single" w:sz="4" w:space="0" w:color="auto"/>
              <w:bottom w:val="single" w:sz="4" w:space="0" w:color="auto"/>
              <w:right w:val="single" w:sz="4" w:space="0" w:color="auto"/>
            </w:tcBorders>
            <w:vAlign w:val="center"/>
          </w:tcPr>
          <w:p w14:paraId="7DE438B6" w14:textId="77777777" w:rsidR="00D83AB9" w:rsidRPr="001A28D2" w:rsidRDefault="00D83AB9" w:rsidP="00334438">
            <w:pPr>
              <w:jc w:val="both"/>
              <w:rPr>
                <w:highlight w:val="yellow"/>
              </w:rPr>
            </w:pPr>
            <w:r w:rsidRPr="001A28D2">
              <w:t xml:space="preserve">Писмо № 50-01-56 от 14.07.2017 г. от Дирекция „Държавни помощи и реален сектор“; писма за утвърдени разчети за </w:t>
            </w:r>
            <w:r w:rsidRPr="001A28D2">
              <w:lastRenderedPageBreak/>
              <w:t>капиталовите трансфери за 2016 г.; отчети на предприятия от транспортния сектор, на които са предоставяни средства от ЦБ за 2016 г.</w:t>
            </w:r>
          </w:p>
        </w:tc>
        <w:tc>
          <w:tcPr>
            <w:tcW w:w="1607" w:type="dxa"/>
            <w:tcBorders>
              <w:top w:val="single" w:sz="4" w:space="0" w:color="auto"/>
              <w:left w:val="single" w:sz="4" w:space="0" w:color="auto"/>
              <w:bottom w:val="single" w:sz="4" w:space="0" w:color="auto"/>
              <w:right w:val="single" w:sz="4" w:space="0" w:color="auto"/>
            </w:tcBorders>
            <w:vAlign w:val="center"/>
          </w:tcPr>
          <w:p w14:paraId="37608D89" w14:textId="77777777" w:rsidR="00D83AB9" w:rsidRPr="001A28D2" w:rsidRDefault="00D83AB9" w:rsidP="00334438">
            <w:pPr>
              <w:jc w:val="center"/>
              <w:rPr>
                <w:highlight w:val="yellow"/>
              </w:rPr>
            </w:pPr>
            <w:r w:rsidRPr="001A28D2">
              <w:lastRenderedPageBreak/>
              <w:t>61</w:t>
            </w:r>
          </w:p>
        </w:tc>
      </w:tr>
      <w:tr w:rsidR="00D83AB9" w:rsidRPr="001A28D2" w14:paraId="30F50B3F"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61279D9E" w14:textId="77777777" w:rsidR="00D83AB9" w:rsidRPr="001A28D2" w:rsidRDefault="00D83AB9" w:rsidP="00334438">
            <w:pPr>
              <w:jc w:val="center"/>
              <w:rPr>
                <w:bCs/>
              </w:rPr>
            </w:pPr>
            <w:r w:rsidRPr="001A28D2">
              <w:rPr>
                <w:bCs/>
              </w:rPr>
              <w:lastRenderedPageBreak/>
              <w:t>15</w:t>
            </w:r>
          </w:p>
        </w:tc>
        <w:tc>
          <w:tcPr>
            <w:tcW w:w="6660" w:type="dxa"/>
            <w:tcBorders>
              <w:top w:val="single" w:sz="4" w:space="0" w:color="auto"/>
              <w:left w:val="single" w:sz="4" w:space="0" w:color="auto"/>
              <w:bottom w:val="single" w:sz="4" w:space="0" w:color="auto"/>
              <w:right w:val="single" w:sz="4" w:space="0" w:color="auto"/>
            </w:tcBorders>
            <w:vAlign w:val="center"/>
          </w:tcPr>
          <w:p w14:paraId="47D69FAC" w14:textId="77777777" w:rsidR="00D83AB9" w:rsidRPr="001A28D2" w:rsidRDefault="00D83AB9" w:rsidP="00334438">
            <w:pPr>
              <w:jc w:val="both"/>
              <w:rPr>
                <w:highlight w:val="yellow"/>
              </w:rPr>
            </w:pPr>
            <w:r w:rsidRPr="001A28D2">
              <w:t>Писмо №50-01-54 от 11.07.2017 г. отговори на въпроси от Дирекция „Държавно съкровище“, Споразумение № РД-02-30-15 от 18.02.2015 г.</w:t>
            </w:r>
          </w:p>
        </w:tc>
        <w:tc>
          <w:tcPr>
            <w:tcW w:w="1607" w:type="dxa"/>
            <w:tcBorders>
              <w:top w:val="single" w:sz="4" w:space="0" w:color="auto"/>
              <w:left w:val="single" w:sz="4" w:space="0" w:color="auto"/>
              <w:bottom w:val="single" w:sz="4" w:space="0" w:color="auto"/>
              <w:right w:val="single" w:sz="4" w:space="0" w:color="auto"/>
            </w:tcBorders>
            <w:vAlign w:val="center"/>
          </w:tcPr>
          <w:p w14:paraId="0FB86B32" w14:textId="77777777" w:rsidR="00D83AB9" w:rsidRPr="001A28D2" w:rsidRDefault="00D83AB9" w:rsidP="00334438">
            <w:pPr>
              <w:jc w:val="center"/>
              <w:rPr>
                <w:highlight w:val="yellow"/>
              </w:rPr>
            </w:pPr>
            <w:r w:rsidRPr="001A28D2">
              <w:t>11</w:t>
            </w:r>
          </w:p>
        </w:tc>
      </w:tr>
      <w:tr w:rsidR="00D83AB9" w:rsidRPr="001A28D2" w14:paraId="1B5C4E06"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43BD3E90" w14:textId="77777777" w:rsidR="00D83AB9" w:rsidRPr="001A28D2" w:rsidRDefault="00D83AB9" w:rsidP="00334438">
            <w:pPr>
              <w:jc w:val="center"/>
              <w:rPr>
                <w:bCs/>
              </w:rPr>
            </w:pPr>
            <w:r w:rsidRPr="001A28D2">
              <w:rPr>
                <w:bCs/>
              </w:rPr>
              <w:t>16</w:t>
            </w:r>
          </w:p>
        </w:tc>
        <w:tc>
          <w:tcPr>
            <w:tcW w:w="6660" w:type="dxa"/>
            <w:tcBorders>
              <w:top w:val="single" w:sz="4" w:space="0" w:color="auto"/>
              <w:left w:val="single" w:sz="4" w:space="0" w:color="auto"/>
              <w:bottom w:val="single" w:sz="4" w:space="0" w:color="auto"/>
              <w:right w:val="single" w:sz="4" w:space="0" w:color="auto"/>
            </w:tcBorders>
            <w:vAlign w:val="center"/>
          </w:tcPr>
          <w:p w14:paraId="4E15E983" w14:textId="77777777" w:rsidR="00D83AB9" w:rsidRPr="001A28D2" w:rsidRDefault="00D83AB9" w:rsidP="00334438">
            <w:pPr>
              <w:jc w:val="both"/>
              <w:rPr>
                <w:highlight w:val="yellow"/>
              </w:rPr>
            </w:pPr>
            <w:r w:rsidRPr="001A28D2">
              <w:t xml:space="preserve">Писмо № 50-01-54 от 11.07.2017 г. отговори на въпроси от Дирекция „Държавни разходи“, </w:t>
            </w:r>
            <w:proofErr w:type="spellStart"/>
            <w:r w:rsidRPr="001A28D2">
              <w:t>съгласувателно</w:t>
            </w:r>
            <w:proofErr w:type="spellEnd"/>
            <w:r w:rsidRPr="001A28D2">
              <w:t xml:space="preserve"> писмо № 04-16-1357 от 25.11.2016 г. с приложения</w:t>
            </w:r>
          </w:p>
        </w:tc>
        <w:tc>
          <w:tcPr>
            <w:tcW w:w="1607" w:type="dxa"/>
            <w:tcBorders>
              <w:top w:val="single" w:sz="4" w:space="0" w:color="auto"/>
              <w:left w:val="single" w:sz="4" w:space="0" w:color="auto"/>
              <w:bottom w:val="single" w:sz="4" w:space="0" w:color="auto"/>
              <w:right w:val="single" w:sz="4" w:space="0" w:color="auto"/>
            </w:tcBorders>
            <w:vAlign w:val="center"/>
          </w:tcPr>
          <w:p w14:paraId="39AC2034" w14:textId="77777777" w:rsidR="00D83AB9" w:rsidRPr="001A28D2" w:rsidRDefault="00D83AB9" w:rsidP="00334438">
            <w:pPr>
              <w:jc w:val="center"/>
              <w:rPr>
                <w:highlight w:val="yellow"/>
              </w:rPr>
            </w:pPr>
            <w:r w:rsidRPr="001A28D2">
              <w:t>22</w:t>
            </w:r>
          </w:p>
        </w:tc>
      </w:tr>
      <w:tr w:rsidR="00D83AB9" w:rsidRPr="001A28D2" w14:paraId="4917FA1F"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3F29FB92" w14:textId="77777777" w:rsidR="00D83AB9" w:rsidRPr="001A28D2" w:rsidRDefault="00D83AB9" w:rsidP="00334438">
            <w:pPr>
              <w:jc w:val="center"/>
              <w:rPr>
                <w:bCs/>
              </w:rPr>
            </w:pPr>
            <w:r w:rsidRPr="001A28D2">
              <w:rPr>
                <w:bCs/>
              </w:rPr>
              <w:t>17</w:t>
            </w:r>
          </w:p>
        </w:tc>
        <w:tc>
          <w:tcPr>
            <w:tcW w:w="6660" w:type="dxa"/>
            <w:tcBorders>
              <w:top w:val="single" w:sz="4" w:space="0" w:color="auto"/>
              <w:left w:val="single" w:sz="4" w:space="0" w:color="auto"/>
              <w:bottom w:val="single" w:sz="4" w:space="0" w:color="auto"/>
              <w:right w:val="single" w:sz="4" w:space="0" w:color="auto"/>
            </w:tcBorders>
            <w:vAlign w:val="center"/>
          </w:tcPr>
          <w:p w14:paraId="48A4DD24" w14:textId="77777777" w:rsidR="00D83AB9" w:rsidRPr="001A28D2" w:rsidRDefault="00D83AB9" w:rsidP="00334438">
            <w:pPr>
              <w:jc w:val="both"/>
              <w:rPr>
                <w:highlight w:val="yellow"/>
              </w:rPr>
            </w:pPr>
            <w:r w:rsidRPr="001A28D2">
              <w:t>Писмо № 50-01-56 от 19.07.2017 г. от Дирекция „Финанси на общините“; справка за размера на предоставените средства през 2016 г. по бюджетите на общините от предвидени капиталови разходи по ЦБ за 2016 г., заповеди на министъра на финансите</w:t>
            </w:r>
          </w:p>
        </w:tc>
        <w:tc>
          <w:tcPr>
            <w:tcW w:w="1607" w:type="dxa"/>
            <w:tcBorders>
              <w:top w:val="single" w:sz="4" w:space="0" w:color="auto"/>
              <w:left w:val="single" w:sz="4" w:space="0" w:color="auto"/>
              <w:bottom w:val="single" w:sz="4" w:space="0" w:color="auto"/>
              <w:right w:val="single" w:sz="4" w:space="0" w:color="auto"/>
            </w:tcBorders>
            <w:vAlign w:val="center"/>
          </w:tcPr>
          <w:p w14:paraId="77C48464" w14:textId="77777777" w:rsidR="00D83AB9" w:rsidRPr="001A28D2" w:rsidRDefault="00D83AB9" w:rsidP="00334438">
            <w:pPr>
              <w:jc w:val="center"/>
              <w:rPr>
                <w:highlight w:val="yellow"/>
              </w:rPr>
            </w:pPr>
            <w:r w:rsidRPr="001A28D2">
              <w:t>29</w:t>
            </w:r>
          </w:p>
        </w:tc>
      </w:tr>
      <w:tr w:rsidR="00D83AB9" w:rsidRPr="001A28D2" w14:paraId="575E652A"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37E3529A" w14:textId="77777777" w:rsidR="00D83AB9" w:rsidRPr="001A28D2" w:rsidRDefault="00D83AB9" w:rsidP="00334438">
            <w:pPr>
              <w:jc w:val="center"/>
              <w:rPr>
                <w:bCs/>
              </w:rPr>
            </w:pPr>
            <w:r w:rsidRPr="001A28D2">
              <w:rPr>
                <w:bCs/>
              </w:rPr>
              <w:t>18</w:t>
            </w:r>
          </w:p>
        </w:tc>
        <w:tc>
          <w:tcPr>
            <w:tcW w:w="6660" w:type="dxa"/>
            <w:tcBorders>
              <w:top w:val="single" w:sz="4" w:space="0" w:color="auto"/>
              <w:left w:val="single" w:sz="4" w:space="0" w:color="auto"/>
              <w:bottom w:val="single" w:sz="4" w:space="0" w:color="auto"/>
              <w:right w:val="single" w:sz="4" w:space="0" w:color="auto"/>
            </w:tcBorders>
            <w:vAlign w:val="center"/>
          </w:tcPr>
          <w:p w14:paraId="26E4A188" w14:textId="77777777" w:rsidR="00D83AB9" w:rsidRPr="001A28D2" w:rsidRDefault="00D83AB9" w:rsidP="00334438">
            <w:pPr>
              <w:jc w:val="both"/>
              <w:rPr>
                <w:highlight w:val="yellow"/>
              </w:rPr>
            </w:pPr>
            <w:r w:rsidRPr="001A28D2">
              <w:t>Писмо № 50-01-48 от 21.06.2017 г. отговори на въпроси от Дирекция „Бюджет“</w:t>
            </w:r>
          </w:p>
        </w:tc>
        <w:tc>
          <w:tcPr>
            <w:tcW w:w="1607" w:type="dxa"/>
            <w:tcBorders>
              <w:top w:val="single" w:sz="4" w:space="0" w:color="auto"/>
              <w:left w:val="single" w:sz="4" w:space="0" w:color="auto"/>
              <w:bottom w:val="single" w:sz="4" w:space="0" w:color="auto"/>
              <w:right w:val="single" w:sz="4" w:space="0" w:color="auto"/>
            </w:tcBorders>
            <w:vAlign w:val="center"/>
          </w:tcPr>
          <w:p w14:paraId="2C15B21A" w14:textId="77777777" w:rsidR="00D83AB9" w:rsidRPr="001A28D2" w:rsidRDefault="00D83AB9" w:rsidP="00334438">
            <w:pPr>
              <w:jc w:val="center"/>
              <w:rPr>
                <w:highlight w:val="yellow"/>
              </w:rPr>
            </w:pPr>
            <w:r w:rsidRPr="001A28D2">
              <w:t>3+ СД</w:t>
            </w:r>
          </w:p>
        </w:tc>
      </w:tr>
      <w:tr w:rsidR="00D83AB9" w:rsidRPr="001A28D2" w14:paraId="29D65D14"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5B5BCE4E" w14:textId="77777777" w:rsidR="00D83AB9" w:rsidRPr="001A28D2" w:rsidRDefault="00D83AB9" w:rsidP="00334438">
            <w:pPr>
              <w:jc w:val="center"/>
              <w:rPr>
                <w:bCs/>
              </w:rPr>
            </w:pPr>
            <w:r w:rsidRPr="001A28D2">
              <w:rPr>
                <w:bCs/>
              </w:rPr>
              <w:t>19</w:t>
            </w:r>
          </w:p>
        </w:tc>
        <w:tc>
          <w:tcPr>
            <w:tcW w:w="6660" w:type="dxa"/>
            <w:tcBorders>
              <w:top w:val="single" w:sz="4" w:space="0" w:color="auto"/>
              <w:left w:val="single" w:sz="4" w:space="0" w:color="auto"/>
              <w:bottom w:val="single" w:sz="4" w:space="0" w:color="auto"/>
              <w:right w:val="single" w:sz="4" w:space="0" w:color="auto"/>
            </w:tcBorders>
            <w:vAlign w:val="center"/>
          </w:tcPr>
          <w:p w14:paraId="6C065C34" w14:textId="77777777" w:rsidR="00D83AB9" w:rsidRPr="001A28D2" w:rsidRDefault="00D83AB9" w:rsidP="00334438">
            <w:pPr>
              <w:jc w:val="both"/>
              <w:rPr>
                <w:highlight w:val="yellow"/>
              </w:rPr>
            </w:pPr>
            <w:r w:rsidRPr="001A28D2">
              <w:t>Писмо № 50-01-48 от 20.06.2017 г. отговори на въпроси от Дирекция „Държавни разходи“; изпратени уведомителни писма до ПРБ относно поети ангажименти и за натрупване на нови задължения за разходи на ПРБ; Справка за брой и обща стойност на извършени промени по бюджетите на ПРБ по ДБ с 2016 г.; Справка за корекциите по бюджетите на министерствата, ведомствата и самостоятелните бюджети за 2016 г.</w:t>
            </w:r>
          </w:p>
        </w:tc>
        <w:tc>
          <w:tcPr>
            <w:tcW w:w="1607" w:type="dxa"/>
            <w:tcBorders>
              <w:top w:val="single" w:sz="4" w:space="0" w:color="auto"/>
              <w:left w:val="single" w:sz="4" w:space="0" w:color="auto"/>
              <w:bottom w:val="single" w:sz="4" w:space="0" w:color="auto"/>
              <w:right w:val="single" w:sz="4" w:space="0" w:color="auto"/>
            </w:tcBorders>
            <w:vAlign w:val="center"/>
          </w:tcPr>
          <w:p w14:paraId="4B0C16E0" w14:textId="77777777" w:rsidR="00D83AB9" w:rsidRPr="001A28D2" w:rsidRDefault="00D83AB9" w:rsidP="00334438">
            <w:pPr>
              <w:jc w:val="center"/>
              <w:rPr>
                <w:highlight w:val="yellow"/>
              </w:rPr>
            </w:pPr>
            <w:r w:rsidRPr="001A28D2">
              <w:t>98</w:t>
            </w:r>
          </w:p>
        </w:tc>
      </w:tr>
      <w:tr w:rsidR="00D83AB9" w:rsidRPr="001A28D2" w14:paraId="454D0BD3"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1FBD899B" w14:textId="77777777" w:rsidR="00D83AB9" w:rsidRPr="001A28D2" w:rsidRDefault="00D83AB9" w:rsidP="00334438">
            <w:pPr>
              <w:jc w:val="center"/>
              <w:rPr>
                <w:bCs/>
              </w:rPr>
            </w:pPr>
            <w:r w:rsidRPr="001A28D2">
              <w:rPr>
                <w:bCs/>
              </w:rPr>
              <w:t>20</w:t>
            </w:r>
          </w:p>
        </w:tc>
        <w:tc>
          <w:tcPr>
            <w:tcW w:w="6660" w:type="dxa"/>
            <w:tcBorders>
              <w:top w:val="single" w:sz="4" w:space="0" w:color="auto"/>
              <w:left w:val="single" w:sz="4" w:space="0" w:color="auto"/>
              <w:bottom w:val="single" w:sz="4" w:space="0" w:color="auto"/>
              <w:right w:val="single" w:sz="4" w:space="0" w:color="auto"/>
            </w:tcBorders>
            <w:vAlign w:val="center"/>
          </w:tcPr>
          <w:p w14:paraId="4554C1C5" w14:textId="77777777" w:rsidR="00D83AB9" w:rsidRPr="001A28D2" w:rsidRDefault="00D83AB9" w:rsidP="00334438">
            <w:pPr>
              <w:jc w:val="both"/>
              <w:rPr>
                <w:highlight w:val="yellow"/>
              </w:rPr>
            </w:pPr>
            <w:r w:rsidRPr="001A28D2">
              <w:t>Писмо № 50-01-56 от 19.07.2017 г. от Дирекция „Държавни разходи“; справка за планираните средства от Дирекция „Държавни разходи“ капиталови разходи по ЦБ за 2016 г.; справка за предоставени средства за сметка на планираните по ЦБ; справка за предоставени средства за сметка на капиталовите разходи по ЦБ;, които не са разчетени от Дирекция „Държавни разходи“; копия на заповеди на министъра на финансите за промени на ЦБ, писма, финансови обосновки, уведомителни писма и др.</w:t>
            </w:r>
          </w:p>
        </w:tc>
        <w:tc>
          <w:tcPr>
            <w:tcW w:w="1607" w:type="dxa"/>
            <w:tcBorders>
              <w:top w:val="single" w:sz="4" w:space="0" w:color="auto"/>
              <w:left w:val="single" w:sz="4" w:space="0" w:color="auto"/>
              <w:bottom w:val="single" w:sz="4" w:space="0" w:color="auto"/>
              <w:right w:val="single" w:sz="4" w:space="0" w:color="auto"/>
            </w:tcBorders>
            <w:vAlign w:val="center"/>
          </w:tcPr>
          <w:p w14:paraId="5F9A80D3" w14:textId="77777777" w:rsidR="00D83AB9" w:rsidRPr="001A28D2" w:rsidRDefault="00D83AB9" w:rsidP="00334438">
            <w:pPr>
              <w:jc w:val="center"/>
              <w:rPr>
                <w:highlight w:val="yellow"/>
              </w:rPr>
            </w:pPr>
            <w:r w:rsidRPr="001A28D2">
              <w:t>167+СД</w:t>
            </w:r>
          </w:p>
        </w:tc>
      </w:tr>
      <w:tr w:rsidR="00D83AB9" w:rsidRPr="001A28D2" w14:paraId="78FEECC3"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37CB6A14" w14:textId="77777777" w:rsidR="00D83AB9" w:rsidRPr="001A28D2" w:rsidRDefault="00D83AB9" w:rsidP="00334438">
            <w:pPr>
              <w:jc w:val="center"/>
              <w:rPr>
                <w:bCs/>
              </w:rPr>
            </w:pPr>
            <w:r w:rsidRPr="001A28D2">
              <w:rPr>
                <w:bCs/>
              </w:rPr>
              <w:t>21</w:t>
            </w:r>
          </w:p>
        </w:tc>
        <w:tc>
          <w:tcPr>
            <w:tcW w:w="6660" w:type="dxa"/>
            <w:tcBorders>
              <w:top w:val="single" w:sz="4" w:space="0" w:color="auto"/>
              <w:left w:val="single" w:sz="4" w:space="0" w:color="auto"/>
              <w:bottom w:val="single" w:sz="4" w:space="0" w:color="auto"/>
              <w:right w:val="single" w:sz="4" w:space="0" w:color="auto"/>
            </w:tcBorders>
            <w:vAlign w:val="center"/>
          </w:tcPr>
          <w:p w14:paraId="11B16599" w14:textId="77777777" w:rsidR="00D83AB9" w:rsidRPr="001A28D2" w:rsidRDefault="00D83AB9" w:rsidP="00334438">
            <w:pPr>
              <w:jc w:val="both"/>
              <w:rPr>
                <w:highlight w:val="yellow"/>
              </w:rPr>
            </w:pPr>
            <w:r w:rsidRPr="001A28D2">
              <w:t>Писмо № 50-01-60 от 25.07.2017 г. от Дирекция „Държавно съкровище“; таблица с показатели</w:t>
            </w:r>
          </w:p>
        </w:tc>
        <w:tc>
          <w:tcPr>
            <w:tcW w:w="1607" w:type="dxa"/>
            <w:tcBorders>
              <w:top w:val="single" w:sz="4" w:space="0" w:color="auto"/>
              <w:left w:val="single" w:sz="4" w:space="0" w:color="auto"/>
              <w:bottom w:val="single" w:sz="4" w:space="0" w:color="auto"/>
              <w:right w:val="single" w:sz="4" w:space="0" w:color="auto"/>
            </w:tcBorders>
            <w:vAlign w:val="center"/>
          </w:tcPr>
          <w:p w14:paraId="5D935A60" w14:textId="77777777" w:rsidR="00D83AB9" w:rsidRPr="001A28D2" w:rsidRDefault="00D83AB9" w:rsidP="00334438">
            <w:pPr>
              <w:jc w:val="center"/>
              <w:rPr>
                <w:highlight w:val="yellow"/>
              </w:rPr>
            </w:pPr>
            <w:r w:rsidRPr="001A28D2">
              <w:t>9</w:t>
            </w:r>
          </w:p>
        </w:tc>
      </w:tr>
      <w:tr w:rsidR="00D83AB9" w:rsidRPr="001A28D2" w14:paraId="288AF382"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66CDF783" w14:textId="77777777" w:rsidR="00D83AB9" w:rsidRPr="001A28D2" w:rsidRDefault="00D83AB9" w:rsidP="00334438">
            <w:pPr>
              <w:jc w:val="center"/>
              <w:rPr>
                <w:bCs/>
              </w:rPr>
            </w:pPr>
            <w:r w:rsidRPr="001A28D2">
              <w:rPr>
                <w:bCs/>
              </w:rPr>
              <w:t>22</w:t>
            </w:r>
          </w:p>
        </w:tc>
        <w:tc>
          <w:tcPr>
            <w:tcW w:w="6660" w:type="dxa"/>
            <w:tcBorders>
              <w:top w:val="single" w:sz="4" w:space="0" w:color="auto"/>
              <w:left w:val="single" w:sz="4" w:space="0" w:color="auto"/>
              <w:bottom w:val="single" w:sz="4" w:space="0" w:color="auto"/>
              <w:right w:val="single" w:sz="4" w:space="0" w:color="auto"/>
            </w:tcBorders>
            <w:vAlign w:val="center"/>
          </w:tcPr>
          <w:p w14:paraId="069D5467" w14:textId="77777777" w:rsidR="00D83AB9" w:rsidRPr="001A28D2" w:rsidRDefault="00D83AB9" w:rsidP="00334438">
            <w:pPr>
              <w:jc w:val="both"/>
              <w:rPr>
                <w:highlight w:val="yellow"/>
              </w:rPr>
            </w:pPr>
            <w:r w:rsidRPr="001A28D2">
              <w:t>Писмо № 50-01-60 от 26.07.2017 г. от Дирекция „Държавни разходи“</w:t>
            </w:r>
          </w:p>
        </w:tc>
        <w:tc>
          <w:tcPr>
            <w:tcW w:w="1607" w:type="dxa"/>
            <w:tcBorders>
              <w:top w:val="single" w:sz="4" w:space="0" w:color="auto"/>
              <w:left w:val="single" w:sz="4" w:space="0" w:color="auto"/>
              <w:bottom w:val="single" w:sz="4" w:space="0" w:color="auto"/>
              <w:right w:val="single" w:sz="4" w:space="0" w:color="auto"/>
            </w:tcBorders>
            <w:vAlign w:val="center"/>
          </w:tcPr>
          <w:p w14:paraId="5CBBB7E7" w14:textId="77777777" w:rsidR="00D83AB9" w:rsidRPr="001A28D2" w:rsidRDefault="00D83AB9" w:rsidP="00334438">
            <w:pPr>
              <w:jc w:val="center"/>
              <w:rPr>
                <w:highlight w:val="yellow"/>
              </w:rPr>
            </w:pPr>
            <w:r w:rsidRPr="001A28D2">
              <w:t>7</w:t>
            </w:r>
          </w:p>
        </w:tc>
      </w:tr>
      <w:tr w:rsidR="00D83AB9" w:rsidRPr="001A28D2" w14:paraId="4CFBD6B7"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AC8CDA" w14:textId="77777777" w:rsidR="00D83AB9" w:rsidRPr="001A28D2" w:rsidRDefault="00D83AB9" w:rsidP="00334438">
            <w:pPr>
              <w:jc w:val="center"/>
              <w:rPr>
                <w:bCs/>
              </w:rPr>
            </w:pPr>
            <w:r w:rsidRPr="001A28D2">
              <w:rPr>
                <w:bCs/>
              </w:rPr>
              <w:t>23</w:t>
            </w:r>
          </w:p>
        </w:tc>
        <w:tc>
          <w:tcPr>
            <w:tcW w:w="6660" w:type="dxa"/>
            <w:tcBorders>
              <w:top w:val="single" w:sz="4" w:space="0" w:color="auto"/>
              <w:left w:val="single" w:sz="4" w:space="0" w:color="auto"/>
              <w:bottom w:val="single" w:sz="4" w:space="0" w:color="auto"/>
              <w:right w:val="single" w:sz="4" w:space="0" w:color="auto"/>
            </w:tcBorders>
            <w:vAlign w:val="center"/>
          </w:tcPr>
          <w:p w14:paraId="77A48419" w14:textId="77777777" w:rsidR="00D83AB9" w:rsidRPr="001A28D2" w:rsidRDefault="00D83AB9" w:rsidP="00334438">
            <w:pPr>
              <w:jc w:val="both"/>
            </w:pPr>
            <w:r w:rsidRPr="001A28D2">
              <w:t>РД-И-2.20-8 от 01.06.2017 г. за приходи по ЦБ</w:t>
            </w:r>
          </w:p>
        </w:tc>
        <w:tc>
          <w:tcPr>
            <w:tcW w:w="1607" w:type="dxa"/>
            <w:tcBorders>
              <w:top w:val="single" w:sz="4" w:space="0" w:color="auto"/>
              <w:left w:val="single" w:sz="4" w:space="0" w:color="auto"/>
              <w:bottom w:val="single" w:sz="4" w:space="0" w:color="auto"/>
              <w:right w:val="single" w:sz="4" w:space="0" w:color="auto"/>
            </w:tcBorders>
            <w:vAlign w:val="center"/>
          </w:tcPr>
          <w:p w14:paraId="7D6CAB7D" w14:textId="77777777" w:rsidR="00D83AB9" w:rsidRPr="001A28D2" w:rsidRDefault="00D83AB9" w:rsidP="00334438">
            <w:pPr>
              <w:jc w:val="center"/>
            </w:pPr>
            <w:r w:rsidRPr="001A28D2">
              <w:t>8</w:t>
            </w:r>
          </w:p>
        </w:tc>
      </w:tr>
      <w:tr w:rsidR="00D83AB9" w:rsidRPr="001A28D2" w14:paraId="53AD44B4"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691181" w14:textId="77777777" w:rsidR="00D83AB9" w:rsidRPr="001A28D2" w:rsidRDefault="00D83AB9" w:rsidP="00334438">
            <w:pPr>
              <w:jc w:val="center"/>
              <w:rPr>
                <w:bCs/>
              </w:rPr>
            </w:pPr>
            <w:r w:rsidRPr="001A28D2">
              <w:rPr>
                <w:bCs/>
              </w:rPr>
              <w:t>24</w:t>
            </w:r>
          </w:p>
        </w:tc>
        <w:tc>
          <w:tcPr>
            <w:tcW w:w="6660" w:type="dxa"/>
            <w:tcBorders>
              <w:top w:val="single" w:sz="4" w:space="0" w:color="auto"/>
              <w:left w:val="single" w:sz="4" w:space="0" w:color="auto"/>
              <w:bottom w:val="single" w:sz="4" w:space="0" w:color="auto"/>
              <w:right w:val="single" w:sz="4" w:space="0" w:color="auto"/>
            </w:tcBorders>
            <w:vAlign w:val="center"/>
          </w:tcPr>
          <w:p w14:paraId="7DD178B2" w14:textId="77777777" w:rsidR="00D83AB9" w:rsidRPr="001A28D2" w:rsidRDefault="00D83AB9" w:rsidP="00334438">
            <w:pPr>
              <w:jc w:val="both"/>
              <w:rPr>
                <w:highlight w:val="yellow"/>
              </w:rPr>
            </w:pPr>
            <w:r w:rsidRPr="001A28D2">
              <w:t>Писмо № 50-01-60 от 27.07.2017 г. от Дирекция „Финанси на общините“; Протокол за проведени консултации на основание чл. 74, ал. 2 от ЗПФ между МФ и НСОРБ по проекта на ЗДБРБ за 2016 г. в частта за общините</w:t>
            </w:r>
          </w:p>
        </w:tc>
        <w:tc>
          <w:tcPr>
            <w:tcW w:w="1607" w:type="dxa"/>
            <w:tcBorders>
              <w:top w:val="single" w:sz="4" w:space="0" w:color="auto"/>
              <w:left w:val="single" w:sz="4" w:space="0" w:color="auto"/>
              <w:bottom w:val="single" w:sz="4" w:space="0" w:color="auto"/>
              <w:right w:val="single" w:sz="4" w:space="0" w:color="auto"/>
            </w:tcBorders>
            <w:vAlign w:val="center"/>
          </w:tcPr>
          <w:p w14:paraId="68104829" w14:textId="77777777" w:rsidR="00D83AB9" w:rsidRPr="001A28D2" w:rsidRDefault="00D83AB9" w:rsidP="00334438">
            <w:pPr>
              <w:jc w:val="center"/>
              <w:rPr>
                <w:highlight w:val="yellow"/>
              </w:rPr>
            </w:pPr>
            <w:r w:rsidRPr="001A28D2">
              <w:t>7</w:t>
            </w:r>
          </w:p>
        </w:tc>
      </w:tr>
      <w:tr w:rsidR="00D83AB9" w:rsidRPr="001A28D2" w14:paraId="4C1715C8"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3931983D" w14:textId="77777777" w:rsidR="00D83AB9" w:rsidRPr="001A28D2" w:rsidRDefault="00D83AB9" w:rsidP="00334438">
            <w:pPr>
              <w:jc w:val="center"/>
              <w:rPr>
                <w:bCs/>
              </w:rPr>
            </w:pPr>
            <w:r w:rsidRPr="001A28D2">
              <w:rPr>
                <w:bCs/>
              </w:rPr>
              <w:t>25</w:t>
            </w:r>
          </w:p>
        </w:tc>
        <w:tc>
          <w:tcPr>
            <w:tcW w:w="6660" w:type="dxa"/>
            <w:tcBorders>
              <w:top w:val="single" w:sz="4" w:space="0" w:color="auto"/>
              <w:left w:val="single" w:sz="4" w:space="0" w:color="auto"/>
              <w:bottom w:val="single" w:sz="4" w:space="0" w:color="auto"/>
              <w:right w:val="single" w:sz="4" w:space="0" w:color="auto"/>
            </w:tcBorders>
            <w:vAlign w:val="center"/>
          </w:tcPr>
          <w:p w14:paraId="3EAA36C0" w14:textId="77777777" w:rsidR="00D83AB9" w:rsidRPr="001A28D2" w:rsidRDefault="00D83AB9" w:rsidP="00334438">
            <w:pPr>
              <w:jc w:val="both"/>
              <w:rPr>
                <w:highlight w:val="yellow"/>
              </w:rPr>
            </w:pPr>
            <w:r w:rsidRPr="001A28D2">
              <w:t>Писмо № 50-01-60 от 31.07.2017 г. от Дирекция „Данъчна политика“</w:t>
            </w:r>
          </w:p>
        </w:tc>
        <w:tc>
          <w:tcPr>
            <w:tcW w:w="1607" w:type="dxa"/>
            <w:tcBorders>
              <w:top w:val="single" w:sz="4" w:space="0" w:color="auto"/>
              <w:left w:val="single" w:sz="4" w:space="0" w:color="auto"/>
              <w:bottom w:val="single" w:sz="4" w:space="0" w:color="auto"/>
              <w:right w:val="single" w:sz="4" w:space="0" w:color="auto"/>
            </w:tcBorders>
            <w:vAlign w:val="center"/>
          </w:tcPr>
          <w:p w14:paraId="23032E61" w14:textId="77777777" w:rsidR="00D83AB9" w:rsidRPr="001A28D2" w:rsidRDefault="00D83AB9" w:rsidP="00334438">
            <w:pPr>
              <w:jc w:val="center"/>
              <w:rPr>
                <w:highlight w:val="yellow"/>
              </w:rPr>
            </w:pPr>
            <w:r w:rsidRPr="001A28D2">
              <w:t>2</w:t>
            </w:r>
          </w:p>
        </w:tc>
      </w:tr>
      <w:tr w:rsidR="00D83AB9" w:rsidRPr="001A28D2" w14:paraId="7321CFCA"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AB6BA1" w14:textId="77777777" w:rsidR="00D83AB9" w:rsidRPr="001A28D2" w:rsidRDefault="00D83AB9" w:rsidP="00334438">
            <w:pPr>
              <w:jc w:val="center"/>
              <w:rPr>
                <w:bCs/>
              </w:rPr>
            </w:pPr>
            <w:r w:rsidRPr="001A28D2">
              <w:rPr>
                <w:bCs/>
              </w:rPr>
              <w:t>26</w:t>
            </w:r>
          </w:p>
        </w:tc>
        <w:tc>
          <w:tcPr>
            <w:tcW w:w="6660" w:type="dxa"/>
            <w:tcBorders>
              <w:top w:val="single" w:sz="4" w:space="0" w:color="auto"/>
              <w:left w:val="single" w:sz="4" w:space="0" w:color="auto"/>
              <w:bottom w:val="single" w:sz="4" w:space="0" w:color="auto"/>
              <w:right w:val="single" w:sz="4" w:space="0" w:color="auto"/>
            </w:tcBorders>
            <w:vAlign w:val="center"/>
          </w:tcPr>
          <w:p w14:paraId="474CCE63" w14:textId="77777777" w:rsidR="00D83AB9" w:rsidRPr="001A28D2" w:rsidRDefault="00D83AB9" w:rsidP="00334438">
            <w:pPr>
              <w:jc w:val="both"/>
              <w:rPr>
                <w:highlight w:val="yellow"/>
              </w:rPr>
            </w:pPr>
            <w:r w:rsidRPr="001A28D2">
              <w:t>Писмо № 08-51-31 от 06.07.2017 г. за предоставено извлечение от одитен доклад</w:t>
            </w:r>
          </w:p>
        </w:tc>
        <w:tc>
          <w:tcPr>
            <w:tcW w:w="1607" w:type="dxa"/>
            <w:tcBorders>
              <w:top w:val="single" w:sz="4" w:space="0" w:color="auto"/>
              <w:left w:val="single" w:sz="4" w:space="0" w:color="auto"/>
              <w:bottom w:val="single" w:sz="4" w:space="0" w:color="auto"/>
              <w:right w:val="single" w:sz="4" w:space="0" w:color="auto"/>
            </w:tcBorders>
            <w:vAlign w:val="center"/>
          </w:tcPr>
          <w:p w14:paraId="68969011" w14:textId="77777777" w:rsidR="00D83AB9" w:rsidRPr="001A28D2" w:rsidRDefault="00D83AB9" w:rsidP="00334438">
            <w:pPr>
              <w:jc w:val="center"/>
              <w:rPr>
                <w:highlight w:val="yellow"/>
              </w:rPr>
            </w:pPr>
            <w:r w:rsidRPr="001A28D2">
              <w:t>63</w:t>
            </w:r>
          </w:p>
        </w:tc>
      </w:tr>
      <w:tr w:rsidR="00D83AB9" w:rsidRPr="001A28D2" w14:paraId="16469E8E"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732D5CA2" w14:textId="77777777" w:rsidR="00D83AB9" w:rsidRPr="001A28D2" w:rsidRDefault="00D83AB9" w:rsidP="00334438">
            <w:pPr>
              <w:jc w:val="center"/>
              <w:rPr>
                <w:bCs/>
              </w:rPr>
            </w:pPr>
            <w:r w:rsidRPr="001A28D2">
              <w:rPr>
                <w:bCs/>
              </w:rPr>
              <w:lastRenderedPageBreak/>
              <w:t>27</w:t>
            </w:r>
          </w:p>
        </w:tc>
        <w:tc>
          <w:tcPr>
            <w:tcW w:w="6660" w:type="dxa"/>
            <w:tcBorders>
              <w:top w:val="single" w:sz="4" w:space="0" w:color="auto"/>
              <w:left w:val="single" w:sz="4" w:space="0" w:color="auto"/>
              <w:bottom w:val="single" w:sz="4" w:space="0" w:color="auto"/>
              <w:right w:val="single" w:sz="4" w:space="0" w:color="auto"/>
            </w:tcBorders>
            <w:vAlign w:val="center"/>
          </w:tcPr>
          <w:p w14:paraId="2E47B48E" w14:textId="77777777" w:rsidR="00D83AB9" w:rsidRPr="001A28D2" w:rsidRDefault="00D83AB9" w:rsidP="00334438">
            <w:pPr>
              <w:jc w:val="both"/>
              <w:rPr>
                <w:highlight w:val="yellow"/>
              </w:rPr>
            </w:pPr>
            <w:r w:rsidRPr="001A28D2">
              <w:t xml:space="preserve">Писмо № 50-01-62 от 01.08.2017 г. от Дирекция „Държавно съкровище“; уточнен план; справка за резерва за непредвидени и/или неотложни разходи за 2016 г. </w:t>
            </w:r>
          </w:p>
        </w:tc>
        <w:tc>
          <w:tcPr>
            <w:tcW w:w="1607" w:type="dxa"/>
            <w:tcBorders>
              <w:top w:val="single" w:sz="4" w:space="0" w:color="auto"/>
              <w:left w:val="single" w:sz="4" w:space="0" w:color="auto"/>
              <w:bottom w:val="single" w:sz="4" w:space="0" w:color="auto"/>
              <w:right w:val="single" w:sz="4" w:space="0" w:color="auto"/>
            </w:tcBorders>
            <w:vAlign w:val="center"/>
          </w:tcPr>
          <w:p w14:paraId="0FE66F40" w14:textId="77777777" w:rsidR="00D83AB9" w:rsidRPr="001A28D2" w:rsidRDefault="00D83AB9" w:rsidP="00334438">
            <w:pPr>
              <w:jc w:val="center"/>
              <w:rPr>
                <w:highlight w:val="yellow"/>
              </w:rPr>
            </w:pPr>
            <w:r w:rsidRPr="001A28D2">
              <w:t>4</w:t>
            </w:r>
          </w:p>
        </w:tc>
      </w:tr>
      <w:tr w:rsidR="00D83AB9" w:rsidRPr="001A28D2" w14:paraId="069A2A9D"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3D58D2" w14:textId="77777777" w:rsidR="00D83AB9" w:rsidRPr="001A28D2" w:rsidRDefault="00D83AB9" w:rsidP="00334438">
            <w:pPr>
              <w:jc w:val="center"/>
              <w:rPr>
                <w:bCs/>
              </w:rPr>
            </w:pPr>
            <w:r w:rsidRPr="001A28D2">
              <w:rPr>
                <w:bCs/>
              </w:rPr>
              <w:t>28</w:t>
            </w:r>
          </w:p>
        </w:tc>
        <w:tc>
          <w:tcPr>
            <w:tcW w:w="6660" w:type="dxa"/>
            <w:tcBorders>
              <w:top w:val="single" w:sz="4" w:space="0" w:color="auto"/>
              <w:left w:val="single" w:sz="4" w:space="0" w:color="auto"/>
              <w:bottom w:val="single" w:sz="4" w:space="0" w:color="auto"/>
              <w:right w:val="single" w:sz="4" w:space="0" w:color="auto"/>
            </w:tcBorders>
            <w:vAlign w:val="center"/>
          </w:tcPr>
          <w:p w14:paraId="028542B7" w14:textId="77777777" w:rsidR="00D83AB9" w:rsidRPr="001A28D2" w:rsidRDefault="00D83AB9" w:rsidP="00334438">
            <w:pPr>
              <w:jc w:val="both"/>
              <w:rPr>
                <w:highlight w:val="yellow"/>
              </w:rPr>
            </w:pPr>
            <w:r w:rsidRPr="001A28D2">
              <w:t xml:space="preserve">Писмо № 50-01-62 от 01.08.2017 г. от Дирекция „Държавни разходи“ относно </w:t>
            </w:r>
            <w:proofErr w:type="spellStart"/>
            <w:r w:rsidRPr="001A28D2">
              <w:t>превишение</w:t>
            </w:r>
            <w:proofErr w:type="spellEnd"/>
            <w:r w:rsidRPr="001A28D2">
              <w:t xml:space="preserve"> разходите за персонал</w:t>
            </w:r>
          </w:p>
        </w:tc>
        <w:tc>
          <w:tcPr>
            <w:tcW w:w="1607" w:type="dxa"/>
            <w:tcBorders>
              <w:top w:val="single" w:sz="4" w:space="0" w:color="auto"/>
              <w:left w:val="single" w:sz="4" w:space="0" w:color="auto"/>
              <w:bottom w:val="single" w:sz="4" w:space="0" w:color="auto"/>
              <w:right w:val="single" w:sz="4" w:space="0" w:color="auto"/>
            </w:tcBorders>
            <w:vAlign w:val="center"/>
          </w:tcPr>
          <w:p w14:paraId="4D5D1277" w14:textId="77777777" w:rsidR="00D83AB9" w:rsidRPr="001A28D2" w:rsidRDefault="00D83AB9" w:rsidP="00334438">
            <w:pPr>
              <w:jc w:val="center"/>
              <w:rPr>
                <w:highlight w:val="yellow"/>
              </w:rPr>
            </w:pPr>
            <w:r w:rsidRPr="001A28D2">
              <w:t>3</w:t>
            </w:r>
          </w:p>
        </w:tc>
      </w:tr>
      <w:tr w:rsidR="00D83AB9" w:rsidRPr="001A28D2" w14:paraId="61B4F46D"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6361892C" w14:textId="77777777" w:rsidR="00D83AB9" w:rsidRPr="001A28D2" w:rsidRDefault="00D83AB9" w:rsidP="00334438">
            <w:pPr>
              <w:jc w:val="center"/>
              <w:rPr>
                <w:bCs/>
              </w:rPr>
            </w:pPr>
            <w:r w:rsidRPr="001A28D2">
              <w:rPr>
                <w:bCs/>
              </w:rPr>
              <w:t>29</w:t>
            </w:r>
          </w:p>
        </w:tc>
        <w:tc>
          <w:tcPr>
            <w:tcW w:w="6660" w:type="dxa"/>
            <w:tcBorders>
              <w:top w:val="single" w:sz="4" w:space="0" w:color="auto"/>
              <w:left w:val="single" w:sz="4" w:space="0" w:color="auto"/>
              <w:bottom w:val="single" w:sz="4" w:space="0" w:color="auto"/>
              <w:right w:val="single" w:sz="4" w:space="0" w:color="auto"/>
            </w:tcBorders>
            <w:vAlign w:val="center"/>
          </w:tcPr>
          <w:p w14:paraId="2FD84968" w14:textId="77777777" w:rsidR="00D83AB9" w:rsidRPr="001A28D2" w:rsidRDefault="00D83AB9" w:rsidP="00334438">
            <w:pPr>
              <w:jc w:val="both"/>
              <w:rPr>
                <w:highlight w:val="yellow"/>
              </w:rPr>
            </w:pPr>
            <w:r w:rsidRPr="001A28D2">
              <w:t>Писмо относно изпълнение на препоръки, дадени при одит на отчета за изпълнение на ДБ за 2015 г. № 50-01-70 от 16.03.2017 г., вх. № на СП 04-01-56 от 16.03.2017 г. с приложения</w:t>
            </w:r>
          </w:p>
        </w:tc>
        <w:tc>
          <w:tcPr>
            <w:tcW w:w="1607" w:type="dxa"/>
            <w:tcBorders>
              <w:top w:val="single" w:sz="4" w:space="0" w:color="auto"/>
              <w:left w:val="single" w:sz="4" w:space="0" w:color="auto"/>
              <w:bottom w:val="single" w:sz="4" w:space="0" w:color="auto"/>
              <w:right w:val="single" w:sz="4" w:space="0" w:color="auto"/>
            </w:tcBorders>
            <w:vAlign w:val="center"/>
          </w:tcPr>
          <w:p w14:paraId="1784EE41" w14:textId="77777777" w:rsidR="00D83AB9" w:rsidRPr="001A28D2" w:rsidRDefault="00D83AB9" w:rsidP="00334438">
            <w:pPr>
              <w:jc w:val="center"/>
              <w:rPr>
                <w:highlight w:val="yellow"/>
              </w:rPr>
            </w:pPr>
            <w:r w:rsidRPr="001A28D2">
              <w:t>29</w:t>
            </w:r>
          </w:p>
        </w:tc>
      </w:tr>
      <w:tr w:rsidR="00D83AB9" w:rsidRPr="001A28D2" w14:paraId="6037D907"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11D801" w14:textId="77777777" w:rsidR="00D83AB9" w:rsidRPr="001A28D2" w:rsidRDefault="00D83AB9" w:rsidP="00334438">
            <w:pPr>
              <w:jc w:val="center"/>
              <w:rPr>
                <w:bCs/>
              </w:rPr>
            </w:pPr>
            <w:r w:rsidRPr="001A28D2">
              <w:rPr>
                <w:bCs/>
              </w:rPr>
              <w:t>30</w:t>
            </w:r>
          </w:p>
        </w:tc>
        <w:tc>
          <w:tcPr>
            <w:tcW w:w="6660" w:type="dxa"/>
            <w:tcBorders>
              <w:top w:val="single" w:sz="4" w:space="0" w:color="auto"/>
              <w:left w:val="single" w:sz="4" w:space="0" w:color="auto"/>
              <w:bottom w:val="single" w:sz="4" w:space="0" w:color="auto"/>
              <w:right w:val="single" w:sz="4" w:space="0" w:color="auto"/>
            </w:tcBorders>
            <w:vAlign w:val="center"/>
          </w:tcPr>
          <w:p w14:paraId="25989979" w14:textId="77777777" w:rsidR="00D83AB9" w:rsidRPr="001A28D2" w:rsidRDefault="00D83AB9" w:rsidP="00334438">
            <w:pPr>
              <w:jc w:val="both"/>
              <w:rPr>
                <w:highlight w:val="yellow"/>
              </w:rPr>
            </w:pPr>
            <w:r w:rsidRPr="001A28D2">
              <w:t xml:space="preserve">Писмо № 50-01-60 от 02.08.2017 г. от Дирекция „Бюджет“; </w:t>
            </w:r>
            <w:proofErr w:type="spellStart"/>
            <w:r w:rsidRPr="001A28D2">
              <w:t>съгласувателна</w:t>
            </w:r>
            <w:proofErr w:type="spellEnd"/>
            <w:r w:rsidRPr="001A28D2">
              <w:t xml:space="preserve"> справка за отразяване на становищата, получени след съгласуване на проекта на РМС за одобряване законопроекта за държавния бюджет на РБ за 2016 г. и на актуализираната СБП 2016-2018 г. по чл. 32 от УПМСНА</w:t>
            </w:r>
          </w:p>
        </w:tc>
        <w:tc>
          <w:tcPr>
            <w:tcW w:w="1607" w:type="dxa"/>
            <w:tcBorders>
              <w:top w:val="single" w:sz="4" w:space="0" w:color="auto"/>
              <w:left w:val="single" w:sz="4" w:space="0" w:color="auto"/>
              <w:bottom w:val="single" w:sz="4" w:space="0" w:color="auto"/>
              <w:right w:val="single" w:sz="4" w:space="0" w:color="auto"/>
            </w:tcBorders>
            <w:vAlign w:val="center"/>
          </w:tcPr>
          <w:p w14:paraId="6A447B37" w14:textId="77777777" w:rsidR="00D83AB9" w:rsidRPr="001A28D2" w:rsidRDefault="00D83AB9" w:rsidP="00334438">
            <w:pPr>
              <w:jc w:val="center"/>
              <w:rPr>
                <w:highlight w:val="yellow"/>
              </w:rPr>
            </w:pPr>
            <w:r w:rsidRPr="001A28D2">
              <w:t>73</w:t>
            </w:r>
          </w:p>
        </w:tc>
      </w:tr>
      <w:tr w:rsidR="00D83AB9" w:rsidRPr="001A28D2" w14:paraId="5CC88CCF"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598DB889" w14:textId="77777777" w:rsidR="00D83AB9" w:rsidRPr="001A28D2" w:rsidRDefault="00D83AB9" w:rsidP="00334438">
            <w:pPr>
              <w:jc w:val="center"/>
              <w:rPr>
                <w:bCs/>
              </w:rPr>
            </w:pPr>
            <w:r w:rsidRPr="001A28D2">
              <w:rPr>
                <w:bCs/>
              </w:rPr>
              <w:t>31</w:t>
            </w:r>
          </w:p>
        </w:tc>
        <w:tc>
          <w:tcPr>
            <w:tcW w:w="6660" w:type="dxa"/>
            <w:tcBorders>
              <w:top w:val="single" w:sz="4" w:space="0" w:color="auto"/>
              <w:left w:val="single" w:sz="4" w:space="0" w:color="auto"/>
              <w:bottom w:val="single" w:sz="4" w:space="0" w:color="auto"/>
              <w:right w:val="single" w:sz="4" w:space="0" w:color="auto"/>
            </w:tcBorders>
            <w:vAlign w:val="center"/>
          </w:tcPr>
          <w:p w14:paraId="2CED3530" w14:textId="77777777" w:rsidR="00D83AB9" w:rsidRPr="001A28D2" w:rsidRDefault="00D83AB9" w:rsidP="00334438">
            <w:pPr>
              <w:jc w:val="both"/>
              <w:rPr>
                <w:highlight w:val="yellow"/>
              </w:rPr>
            </w:pPr>
            <w:r w:rsidRPr="001A28D2">
              <w:t>РД-И-2.20-2 от 12.07.2017 г. за разходни тавани</w:t>
            </w:r>
          </w:p>
        </w:tc>
        <w:tc>
          <w:tcPr>
            <w:tcW w:w="1607" w:type="dxa"/>
            <w:tcBorders>
              <w:top w:val="single" w:sz="4" w:space="0" w:color="auto"/>
              <w:left w:val="single" w:sz="4" w:space="0" w:color="auto"/>
              <w:bottom w:val="single" w:sz="4" w:space="0" w:color="auto"/>
              <w:right w:val="single" w:sz="4" w:space="0" w:color="auto"/>
            </w:tcBorders>
            <w:vAlign w:val="center"/>
          </w:tcPr>
          <w:p w14:paraId="231E4EFA" w14:textId="77777777" w:rsidR="00D83AB9" w:rsidRPr="001A28D2" w:rsidRDefault="00D83AB9" w:rsidP="00334438">
            <w:pPr>
              <w:jc w:val="center"/>
              <w:rPr>
                <w:highlight w:val="yellow"/>
              </w:rPr>
            </w:pPr>
            <w:r w:rsidRPr="001A28D2">
              <w:t>3</w:t>
            </w:r>
          </w:p>
        </w:tc>
      </w:tr>
      <w:tr w:rsidR="00D83AB9" w:rsidRPr="001A28D2" w14:paraId="2E101F5E"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14CEBFB0" w14:textId="77777777" w:rsidR="00D83AB9" w:rsidRPr="001A28D2" w:rsidRDefault="00D83AB9" w:rsidP="00334438">
            <w:pPr>
              <w:jc w:val="center"/>
              <w:rPr>
                <w:bCs/>
              </w:rPr>
            </w:pPr>
            <w:r w:rsidRPr="001A28D2">
              <w:rPr>
                <w:bCs/>
              </w:rPr>
              <w:t>32</w:t>
            </w:r>
          </w:p>
        </w:tc>
        <w:tc>
          <w:tcPr>
            <w:tcW w:w="6660" w:type="dxa"/>
            <w:tcBorders>
              <w:top w:val="single" w:sz="4" w:space="0" w:color="auto"/>
              <w:left w:val="single" w:sz="4" w:space="0" w:color="auto"/>
              <w:bottom w:val="single" w:sz="4" w:space="0" w:color="auto"/>
              <w:right w:val="single" w:sz="4" w:space="0" w:color="auto"/>
            </w:tcBorders>
            <w:vAlign w:val="center"/>
          </w:tcPr>
          <w:p w14:paraId="5A9C7849" w14:textId="77777777" w:rsidR="00D83AB9" w:rsidRPr="001A28D2" w:rsidRDefault="00D83AB9" w:rsidP="00334438">
            <w:pPr>
              <w:jc w:val="both"/>
            </w:pPr>
            <w:r w:rsidRPr="001A28D2">
              <w:t>РД-И-2.20-7 от 19.07.2017 г. за разходи за персонал</w:t>
            </w:r>
          </w:p>
        </w:tc>
        <w:tc>
          <w:tcPr>
            <w:tcW w:w="1607" w:type="dxa"/>
            <w:tcBorders>
              <w:top w:val="single" w:sz="4" w:space="0" w:color="auto"/>
              <w:left w:val="single" w:sz="4" w:space="0" w:color="auto"/>
              <w:bottom w:val="single" w:sz="4" w:space="0" w:color="auto"/>
              <w:right w:val="single" w:sz="4" w:space="0" w:color="auto"/>
            </w:tcBorders>
            <w:vAlign w:val="center"/>
          </w:tcPr>
          <w:p w14:paraId="3FBF6EF2" w14:textId="77777777" w:rsidR="00D83AB9" w:rsidRPr="001A28D2" w:rsidRDefault="00D83AB9" w:rsidP="00334438">
            <w:pPr>
              <w:jc w:val="center"/>
            </w:pPr>
            <w:r w:rsidRPr="001A28D2">
              <w:t>3</w:t>
            </w:r>
          </w:p>
        </w:tc>
      </w:tr>
      <w:tr w:rsidR="00D83AB9" w:rsidRPr="001A28D2" w14:paraId="250E1A2B" w14:textId="77777777" w:rsidTr="00334438">
        <w:trPr>
          <w:jc w:val="center"/>
        </w:trPr>
        <w:tc>
          <w:tcPr>
            <w:tcW w:w="1368" w:type="dxa"/>
            <w:tcBorders>
              <w:top w:val="single" w:sz="4" w:space="0" w:color="auto"/>
              <w:left w:val="single" w:sz="4" w:space="0" w:color="auto"/>
              <w:bottom w:val="single" w:sz="4" w:space="0" w:color="auto"/>
              <w:right w:val="single" w:sz="4" w:space="0" w:color="auto"/>
            </w:tcBorders>
            <w:vAlign w:val="center"/>
          </w:tcPr>
          <w:p w14:paraId="238D5C1C" w14:textId="61F9D608" w:rsidR="00D83AB9" w:rsidRPr="001A28D2" w:rsidRDefault="00D83AB9" w:rsidP="00334438">
            <w:pPr>
              <w:jc w:val="center"/>
              <w:rPr>
                <w:bCs/>
              </w:rPr>
            </w:pPr>
            <w:r w:rsidRPr="001A28D2">
              <w:rPr>
                <w:bCs/>
              </w:rPr>
              <w:t>33</w:t>
            </w:r>
          </w:p>
        </w:tc>
        <w:tc>
          <w:tcPr>
            <w:tcW w:w="6660" w:type="dxa"/>
            <w:tcBorders>
              <w:top w:val="single" w:sz="4" w:space="0" w:color="auto"/>
              <w:left w:val="single" w:sz="4" w:space="0" w:color="auto"/>
              <w:bottom w:val="single" w:sz="4" w:space="0" w:color="auto"/>
              <w:right w:val="single" w:sz="4" w:space="0" w:color="auto"/>
            </w:tcBorders>
            <w:vAlign w:val="center"/>
          </w:tcPr>
          <w:p w14:paraId="01137551" w14:textId="46F88C52" w:rsidR="00D83AB9" w:rsidRPr="001A28D2" w:rsidRDefault="00D83AB9" w:rsidP="00334438">
            <w:pPr>
              <w:jc w:val="both"/>
            </w:pPr>
            <w:r w:rsidRPr="001A28D2">
              <w:t>Писмо № 50-01-70 от 23.08.2017 г. от Дирекция „Държавно съкровище“ относно съгласуване на факти и обстоятелства</w:t>
            </w:r>
          </w:p>
        </w:tc>
        <w:tc>
          <w:tcPr>
            <w:tcW w:w="1607" w:type="dxa"/>
            <w:tcBorders>
              <w:top w:val="single" w:sz="4" w:space="0" w:color="auto"/>
              <w:left w:val="single" w:sz="4" w:space="0" w:color="auto"/>
              <w:bottom w:val="single" w:sz="4" w:space="0" w:color="auto"/>
              <w:right w:val="single" w:sz="4" w:space="0" w:color="auto"/>
            </w:tcBorders>
            <w:vAlign w:val="center"/>
          </w:tcPr>
          <w:p w14:paraId="6288616A" w14:textId="51ECCD76" w:rsidR="00D83AB9" w:rsidRPr="001A28D2" w:rsidRDefault="00D83AB9" w:rsidP="00334438">
            <w:pPr>
              <w:jc w:val="center"/>
            </w:pPr>
            <w:r w:rsidRPr="001A28D2">
              <w:t>46</w:t>
            </w:r>
          </w:p>
        </w:tc>
      </w:tr>
    </w:tbl>
    <w:p w14:paraId="3B9030BD" w14:textId="77777777" w:rsidR="00D83AB9" w:rsidRPr="001A28D2" w:rsidRDefault="00D83AB9" w:rsidP="00D83AB9">
      <w:pPr>
        <w:tabs>
          <w:tab w:val="left" w:pos="0"/>
        </w:tabs>
        <w:spacing w:before="120" w:after="360"/>
        <w:ind w:firstLine="360"/>
        <w:jc w:val="center"/>
        <w:rPr>
          <w:b/>
          <w:bCs/>
        </w:rPr>
      </w:pPr>
      <w:r w:rsidRPr="001A28D2">
        <w:rPr>
          <w:b/>
        </w:rPr>
        <w:br w:type="page"/>
      </w:r>
    </w:p>
    <w:p w14:paraId="25AAA977" w14:textId="77777777" w:rsidR="00D83AB9" w:rsidRPr="001A28D2" w:rsidRDefault="00D83AB9" w:rsidP="00D83AB9">
      <w:pPr>
        <w:spacing w:after="360"/>
        <w:jc w:val="right"/>
        <w:rPr>
          <w:i/>
        </w:rPr>
      </w:pPr>
      <w:r w:rsidRPr="001A28D2">
        <w:rPr>
          <w:i/>
        </w:rPr>
        <w:lastRenderedPageBreak/>
        <w:t>Приложение № 1</w:t>
      </w:r>
    </w:p>
    <w:p w14:paraId="1F33F5CD" w14:textId="77777777" w:rsidR="00D83AB9" w:rsidRPr="001A28D2" w:rsidRDefault="00D83AB9" w:rsidP="00D83AB9">
      <w:pPr>
        <w:spacing w:after="160" w:line="259" w:lineRule="auto"/>
        <w:jc w:val="center"/>
        <w:rPr>
          <w:rFonts w:eastAsiaTheme="minorHAnsi"/>
          <w:b/>
          <w:lang w:eastAsia="en-US"/>
        </w:rPr>
      </w:pPr>
      <w:r w:rsidRPr="001A28D2">
        <w:rPr>
          <w:rFonts w:eastAsiaTheme="minorHAnsi"/>
          <w:b/>
          <w:lang w:eastAsia="en-US"/>
        </w:rPr>
        <w:t>СПИСЪК</w:t>
      </w:r>
    </w:p>
    <w:p w14:paraId="27697C76" w14:textId="77777777" w:rsidR="00D83AB9" w:rsidRPr="001A28D2" w:rsidRDefault="00D83AB9" w:rsidP="00D83AB9">
      <w:pPr>
        <w:jc w:val="center"/>
        <w:rPr>
          <w:rFonts w:eastAsiaTheme="minorHAnsi"/>
          <w:b/>
          <w:lang w:eastAsia="en-US"/>
        </w:rPr>
      </w:pPr>
      <w:r w:rsidRPr="001A28D2">
        <w:rPr>
          <w:rFonts w:eastAsiaTheme="minorHAnsi"/>
          <w:b/>
          <w:lang w:eastAsia="en-US"/>
        </w:rPr>
        <w:t>на по-важните нормативни и вътрешни актове, имащи отношение към одита на отчета за изпълнението на държавния бюджет на Република България за периода от 01.</w:t>
      </w:r>
      <w:proofErr w:type="spellStart"/>
      <w:r w:rsidRPr="001A28D2">
        <w:rPr>
          <w:rFonts w:eastAsiaTheme="minorHAnsi"/>
          <w:b/>
          <w:lang w:eastAsia="en-US"/>
        </w:rPr>
        <w:t>01</w:t>
      </w:r>
      <w:proofErr w:type="spellEnd"/>
      <w:r w:rsidRPr="001A28D2">
        <w:rPr>
          <w:rFonts w:eastAsiaTheme="minorHAnsi"/>
          <w:b/>
          <w:lang w:eastAsia="en-US"/>
        </w:rPr>
        <w:t>.2016 г. до 31.12.2016 г.</w:t>
      </w:r>
    </w:p>
    <w:p w14:paraId="14D87D2F"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rPr>
          <w:bCs/>
        </w:rPr>
        <w:t>Закон за държавния бюджет на Република България за 2016 г.</w:t>
      </w:r>
      <w:bookmarkStart w:id="3" w:name="p32065419"/>
      <w:bookmarkEnd w:id="3"/>
      <w:r w:rsidRPr="001A28D2">
        <w:t xml:space="preserve">, </w:t>
      </w:r>
      <w:proofErr w:type="spellStart"/>
      <w:r w:rsidRPr="001A28D2">
        <w:t>обн</w:t>
      </w:r>
      <w:proofErr w:type="spellEnd"/>
      <w:r w:rsidRPr="001A28D2">
        <w:t>., ДВ, бр. 96 от 09.12.2015 г., в сила от 01.</w:t>
      </w:r>
      <w:proofErr w:type="spellStart"/>
      <w:r w:rsidRPr="001A28D2">
        <w:t>01</w:t>
      </w:r>
      <w:proofErr w:type="spellEnd"/>
      <w:r w:rsidRPr="001A28D2">
        <w:t xml:space="preserve">.2016 г., </w:t>
      </w:r>
      <w:r w:rsidRPr="001A28D2">
        <w:rPr>
          <w:bCs/>
        </w:rPr>
        <w:t>отм.</w:t>
      </w:r>
    </w:p>
    <w:p w14:paraId="50471E09"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 xml:space="preserve">Закон за Сметната палата </w:t>
      </w:r>
      <w:proofErr w:type="spellStart"/>
      <w:r w:rsidRPr="001A28D2">
        <w:t>обн</w:t>
      </w:r>
      <w:proofErr w:type="spellEnd"/>
      <w:r w:rsidRPr="001A28D2">
        <w:t>., ДВ, бр. 12 от 13.02.2015 г., изм., бр. 98 от 9.12.2016 г., в сила от 1.01.2017 г.</w:t>
      </w:r>
    </w:p>
    <w:p w14:paraId="53580E51"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 xml:space="preserve">Закон за Фискален съвет и автоматични </w:t>
      </w:r>
      <w:proofErr w:type="spellStart"/>
      <w:r w:rsidRPr="001A28D2">
        <w:t>корективни</w:t>
      </w:r>
      <w:proofErr w:type="spellEnd"/>
      <w:r w:rsidRPr="001A28D2">
        <w:t xml:space="preserve"> механизми, </w:t>
      </w:r>
      <w:proofErr w:type="spellStart"/>
      <w:r w:rsidRPr="001A28D2">
        <w:t>обн</w:t>
      </w:r>
      <w:proofErr w:type="spellEnd"/>
      <w:r w:rsidRPr="001A28D2">
        <w:t>., ДВ, бр. 29 от 21.04.2015 г., в сила от 21.04.2015 г., изм., бр. 43 от 7.06.2016 г.</w:t>
      </w:r>
    </w:p>
    <w:p w14:paraId="742A2B77"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Закон за публичните финанси</w:t>
      </w:r>
      <w:bookmarkStart w:id="4" w:name="p30043689"/>
      <w:bookmarkEnd w:id="4"/>
      <w:r w:rsidRPr="001A28D2">
        <w:t xml:space="preserve"> </w:t>
      </w:r>
      <w:proofErr w:type="spellStart"/>
      <w:r w:rsidRPr="001A28D2">
        <w:t>обн</w:t>
      </w:r>
      <w:proofErr w:type="spellEnd"/>
      <w:r w:rsidRPr="001A28D2">
        <w:t xml:space="preserve">., ДВ, </w:t>
      </w:r>
      <w:hyperlink r:id="rId27" w:tgtFrame="_blank" w:history="1">
        <w:r w:rsidRPr="001A28D2">
          <w:t>бр. 15</w:t>
        </w:r>
      </w:hyperlink>
      <w:r w:rsidRPr="001A28D2">
        <w:t xml:space="preserve"> от 15.02.2013 г., в сила от 01.</w:t>
      </w:r>
      <w:proofErr w:type="spellStart"/>
      <w:r w:rsidRPr="001A28D2">
        <w:t>01</w:t>
      </w:r>
      <w:proofErr w:type="spellEnd"/>
      <w:r w:rsidRPr="001A28D2">
        <w:t xml:space="preserve">.2014 г., </w:t>
      </w:r>
      <w:proofErr w:type="spellStart"/>
      <w:r w:rsidRPr="001A28D2">
        <w:t>посл</w:t>
      </w:r>
      <w:proofErr w:type="spellEnd"/>
      <w:r w:rsidRPr="001A28D2">
        <w:t>. изм. и доп., бр. 43 от 07.06.2016 г.</w:t>
      </w:r>
    </w:p>
    <w:p w14:paraId="10D25F9B"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 xml:space="preserve">Закон за финансовото управление и контрол в публичния сектор, </w:t>
      </w:r>
      <w:proofErr w:type="spellStart"/>
      <w:r w:rsidRPr="001A28D2">
        <w:t>обн</w:t>
      </w:r>
      <w:proofErr w:type="spellEnd"/>
      <w:r w:rsidRPr="001A28D2">
        <w:t xml:space="preserve">., ДВ, </w:t>
      </w:r>
      <w:hyperlink r:id="rId28" w:tgtFrame="_blank" w:history="1">
        <w:r w:rsidRPr="001A28D2">
          <w:rPr>
            <w:rFonts w:cstheme="minorBidi"/>
            <w:szCs w:val="22"/>
          </w:rPr>
          <w:t>бр. 21</w:t>
        </w:r>
      </w:hyperlink>
      <w:r w:rsidRPr="001A28D2">
        <w:t xml:space="preserve"> от 10.03.2006 г., </w:t>
      </w:r>
      <w:proofErr w:type="spellStart"/>
      <w:r w:rsidRPr="001A28D2">
        <w:t>посл</w:t>
      </w:r>
      <w:proofErr w:type="spellEnd"/>
      <w:r w:rsidRPr="001A28D2">
        <w:t>. изм. бр. 95 от 29.11.2016 г.</w:t>
      </w:r>
    </w:p>
    <w:p w14:paraId="71AA7C05"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 xml:space="preserve">Закон за вътрешния одит в публичния сектор, </w:t>
      </w:r>
      <w:proofErr w:type="spellStart"/>
      <w:r w:rsidRPr="001A28D2">
        <w:t>обн</w:t>
      </w:r>
      <w:proofErr w:type="spellEnd"/>
      <w:r w:rsidRPr="001A28D2">
        <w:t xml:space="preserve">., ДВ, </w:t>
      </w:r>
      <w:hyperlink r:id="rId29" w:tgtFrame="_blank" w:history="1">
        <w:r w:rsidRPr="001A28D2">
          <w:rPr>
            <w:rFonts w:cstheme="minorBidi"/>
            <w:szCs w:val="22"/>
          </w:rPr>
          <w:t>бр. 27</w:t>
        </w:r>
      </w:hyperlink>
      <w:r w:rsidRPr="001A28D2">
        <w:t xml:space="preserve"> от 31.03.2006 г., </w:t>
      </w:r>
      <w:proofErr w:type="spellStart"/>
      <w:r w:rsidRPr="001A28D2">
        <w:t>посл</w:t>
      </w:r>
      <w:proofErr w:type="spellEnd"/>
      <w:r w:rsidRPr="001A28D2">
        <w:t>. изм. бр. 95 от 29.11.2016 г.</w:t>
      </w:r>
    </w:p>
    <w:p w14:paraId="3464CD4B"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Решение № 847 на Министерския съвет от 30.10.2015 г. за одобряване проекта на Закон за държавния бюджет на Република България за 2016 г. и актуализираната средносрочна бюджетна прогноза за периода 2016-2018 г.</w:t>
      </w:r>
    </w:p>
    <w:p w14:paraId="1A248B4B"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Средносрочна бюджетна прогноза 2016-2018 г.</w:t>
      </w:r>
    </w:p>
    <w:p w14:paraId="070075F2"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Актуализирана средносрочна бюджетна прогноза за периода 2016-2018 г., одобрена с решение № 847 на Министерския съвет от 2015 г.</w:t>
      </w:r>
    </w:p>
    <w:p w14:paraId="37B97325"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Решение № 1025 на Министерски съвет от 28.12.2015 г. за одобряване на промени в актуализираната средносрочна бюджетна прогноза за периода 2016-2018 г.</w:t>
      </w:r>
    </w:p>
    <w:p w14:paraId="60832F0D"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 xml:space="preserve">Постановление № 380 от 29.12.2015 г. за изпълнението на държавния бюджет на Република България за 2016 г., </w:t>
      </w:r>
      <w:proofErr w:type="spellStart"/>
      <w:r w:rsidRPr="001A28D2">
        <w:t>обн</w:t>
      </w:r>
      <w:proofErr w:type="spellEnd"/>
      <w:r w:rsidRPr="001A28D2">
        <w:t>. ДВ бр. 3 от 12.01.2016 г.</w:t>
      </w:r>
    </w:p>
    <w:p w14:paraId="23B0F30C"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proofErr w:type="spellStart"/>
      <w:r w:rsidRPr="001A28D2">
        <w:t>Устройствен</w:t>
      </w:r>
      <w:proofErr w:type="spellEnd"/>
      <w:r w:rsidRPr="001A28D2">
        <w:t xml:space="preserve"> правилник на Министерството на финансите, </w:t>
      </w:r>
      <w:bookmarkStart w:id="5" w:name="p32121924"/>
      <w:bookmarkEnd w:id="5"/>
      <w:r w:rsidRPr="001A28D2">
        <w:t xml:space="preserve">приет с </w:t>
      </w:r>
      <w:hyperlink r:id="rId30" w:tgtFrame="_blank" w:history="1">
        <w:r w:rsidRPr="001A28D2">
          <w:t>ПМС № 249</w:t>
        </w:r>
      </w:hyperlink>
      <w:r w:rsidRPr="001A28D2">
        <w:t xml:space="preserve"> от 19.10.2009 г., </w:t>
      </w:r>
      <w:proofErr w:type="spellStart"/>
      <w:r w:rsidRPr="001A28D2">
        <w:t>обн</w:t>
      </w:r>
      <w:proofErr w:type="spellEnd"/>
      <w:r w:rsidRPr="001A28D2">
        <w:t xml:space="preserve">., ДВ, </w:t>
      </w:r>
      <w:hyperlink r:id="rId31" w:tgtFrame="_blank" w:history="1">
        <w:r w:rsidRPr="001A28D2">
          <w:t>бр. 85</w:t>
        </w:r>
      </w:hyperlink>
      <w:r w:rsidRPr="001A28D2">
        <w:t xml:space="preserve"> от 27.10.2009 г., </w:t>
      </w:r>
      <w:proofErr w:type="spellStart"/>
      <w:r w:rsidRPr="001A28D2">
        <w:t>посл</w:t>
      </w:r>
      <w:proofErr w:type="spellEnd"/>
      <w:r w:rsidRPr="001A28D2">
        <w:t>. изм., бр. 74 от 20.09.2016 г., отм., бр. 100 от 16.12.2016 г.</w:t>
      </w:r>
    </w:p>
    <w:p w14:paraId="5668C75C"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proofErr w:type="spellStart"/>
      <w:r w:rsidRPr="001A28D2">
        <w:t>Устройствен</w:t>
      </w:r>
      <w:proofErr w:type="spellEnd"/>
      <w:r w:rsidRPr="001A28D2">
        <w:t xml:space="preserve"> правилник на Министерството на финансите приет с </w:t>
      </w:r>
      <w:hyperlink r:id="rId32" w:tgtFrame="_blank" w:history="1">
        <w:r w:rsidRPr="001A28D2">
          <w:rPr>
            <w:rFonts w:cstheme="minorBidi"/>
            <w:szCs w:val="22"/>
          </w:rPr>
          <w:t>ПМС № 353</w:t>
        </w:r>
      </w:hyperlink>
      <w:r w:rsidRPr="001A28D2">
        <w:t xml:space="preserve"> от 14.12.2016 г., </w:t>
      </w:r>
      <w:proofErr w:type="spellStart"/>
      <w:r w:rsidRPr="001A28D2">
        <w:t>обн</w:t>
      </w:r>
      <w:proofErr w:type="spellEnd"/>
      <w:r w:rsidRPr="001A28D2">
        <w:t xml:space="preserve">., ДВ, </w:t>
      </w:r>
      <w:hyperlink r:id="rId33" w:tgtFrame="_blank" w:history="1">
        <w:r w:rsidRPr="001A28D2">
          <w:rPr>
            <w:rFonts w:cstheme="minorBidi"/>
            <w:szCs w:val="22"/>
          </w:rPr>
          <w:t>бр. 100</w:t>
        </w:r>
      </w:hyperlink>
      <w:r w:rsidRPr="001A28D2">
        <w:t xml:space="preserve"> от 16.12.2016 г., изм., бр. 18 от 24.02.2017 г.</w:t>
      </w:r>
    </w:p>
    <w:p w14:paraId="0CB4F083"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Единна бюджетна класификации за 2016 г., утвърдена съгласно чл. 14, ал. 2 от Закона за публичните финанси</w:t>
      </w:r>
    </w:p>
    <w:p w14:paraId="147B8E23"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lastRenderedPageBreak/>
        <w:t xml:space="preserve">Вътрешни правила за организацията на хартиения и електронния </w:t>
      </w:r>
      <w:proofErr w:type="spellStart"/>
      <w:r w:rsidRPr="001A28D2">
        <w:t>документооборот</w:t>
      </w:r>
      <w:proofErr w:type="spellEnd"/>
      <w:r w:rsidRPr="001A28D2">
        <w:t xml:space="preserve"> и контрола по изпълнение на задачите в Министерство на финансите, </w:t>
      </w:r>
      <w:proofErr w:type="spellStart"/>
      <w:r w:rsidRPr="001A28D2">
        <w:t>утв</w:t>
      </w:r>
      <w:proofErr w:type="spellEnd"/>
      <w:r w:rsidRPr="001A28D2">
        <w:t>. със Заповед № ЗМФ-145 от 22.02.2016 г.</w:t>
      </w:r>
    </w:p>
    <w:p w14:paraId="63087F33" w14:textId="77777777"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 xml:space="preserve">Вътрешни правила за организацията на документооборота и общи изисквания и процедури за касовото изпълнение на централния бюджет, </w:t>
      </w:r>
      <w:proofErr w:type="spellStart"/>
      <w:r w:rsidRPr="001A28D2">
        <w:t>утв</w:t>
      </w:r>
      <w:proofErr w:type="spellEnd"/>
      <w:r w:rsidRPr="001A28D2">
        <w:t>. със Заповед № ЗМФ-175 от 25.02.2014 г.</w:t>
      </w:r>
    </w:p>
    <w:p w14:paraId="5804A0FE" w14:textId="38E498F2" w:rsidR="00D83AB9" w:rsidRPr="001A28D2" w:rsidRDefault="00D83AB9" w:rsidP="00D83AB9">
      <w:pPr>
        <w:numPr>
          <w:ilvl w:val="0"/>
          <w:numId w:val="28"/>
        </w:numPr>
        <w:tabs>
          <w:tab w:val="left" w:pos="1134"/>
        </w:tabs>
        <w:spacing w:before="120" w:after="120" w:line="259" w:lineRule="auto"/>
        <w:ind w:left="0" w:firstLine="851"/>
        <w:jc w:val="both"/>
        <w:outlineLvl w:val="2"/>
      </w:pPr>
      <w:r w:rsidRPr="001A28D2">
        <w:t xml:space="preserve">Вътрешни правила за финансовото управление и контрол при изпълнението на централния и държавния бюджет, </w:t>
      </w:r>
      <w:proofErr w:type="spellStart"/>
      <w:r w:rsidRPr="001A28D2">
        <w:t>утв</w:t>
      </w:r>
      <w:proofErr w:type="spellEnd"/>
      <w:r w:rsidRPr="001A28D2">
        <w:t>. със Заповед № ЗМФ-820 от 25.08.2015 г.</w:t>
      </w:r>
    </w:p>
    <w:p w14:paraId="34CC548E" w14:textId="47437981" w:rsidR="001A28D2" w:rsidRPr="001A28D2" w:rsidRDefault="001A28D2">
      <w:pPr>
        <w:spacing w:after="200" w:line="276" w:lineRule="auto"/>
      </w:pPr>
      <w:r w:rsidRPr="001A28D2">
        <w:br w:type="page"/>
      </w:r>
    </w:p>
    <w:p w14:paraId="7E18A6AF" w14:textId="6638173F" w:rsidR="00331B26" w:rsidRPr="001A28D2" w:rsidRDefault="00331B26" w:rsidP="00331B26">
      <w:pPr>
        <w:tabs>
          <w:tab w:val="left" w:pos="1134"/>
        </w:tabs>
        <w:spacing w:before="120" w:after="120" w:line="259" w:lineRule="auto"/>
        <w:jc w:val="right"/>
        <w:outlineLvl w:val="2"/>
        <w:rPr>
          <w:i/>
        </w:rPr>
      </w:pPr>
      <w:r w:rsidRPr="001A28D2">
        <w:rPr>
          <w:i/>
        </w:rPr>
        <w:lastRenderedPageBreak/>
        <w:t>Приложение 2</w:t>
      </w:r>
    </w:p>
    <w:tbl>
      <w:tblPr>
        <w:tblW w:w="9811" w:type="dxa"/>
        <w:tblInd w:w="40" w:type="dxa"/>
        <w:tblLayout w:type="fixed"/>
        <w:tblCellMar>
          <w:left w:w="70" w:type="dxa"/>
          <w:right w:w="70" w:type="dxa"/>
        </w:tblCellMar>
        <w:tblLook w:val="0000" w:firstRow="0" w:lastRow="0" w:firstColumn="0" w:lastColumn="0" w:noHBand="0" w:noVBand="0"/>
      </w:tblPr>
      <w:tblGrid>
        <w:gridCol w:w="1023"/>
        <w:gridCol w:w="3199"/>
        <w:gridCol w:w="1762"/>
        <w:gridCol w:w="1417"/>
        <w:gridCol w:w="1276"/>
        <w:gridCol w:w="1134"/>
      </w:tblGrid>
      <w:tr w:rsidR="00331B26" w:rsidRPr="001A28D2" w14:paraId="21A10ACD" w14:textId="77777777" w:rsidTr="00331B26">
        <w:trPr>
          <w:trHeight w:val="1049"/>
        </w:trPr>
        <w:tc>
          <w:tcPr>
            <w:tcW w:w="1023"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3B260EC" w14:textId="77777777" w:rsidR="00331B26" w:rsidRPr="001A28D2" w:rsidRDefault="00331B26">
            <w:pPr>
              <w:autoSpaceDE w:val="0"/>
              <w:autoSpaceDN w:val="0"/>
              <w:adjustRightInd w:val="0"/>
              <w:jc w:val="center"/>
              <w:rPr>
                <w:rFonts w:eastAsiaTheme="minorHAnsi"/>
                <w:b/>
                <w:bCs/>
                <w:color w:val="000000"/>
                <w:lang w:eastAsia="en-US"/>
              </w:rPr>
            </w:pPr>
            <w:r w:rsidRPr="001A28D2">
              <w:rPr>
                <w:rFonts w:eastAsiaTheme="minorHAnsi"/>
                <w:b/>
                <w:bCs/>
                <w:color w:val="000000"/>
                <w:lang w:eastAsia="en-US"/>
              </w:rPr>
              <w:t>№</w:t>
            </w:r>
          </w:p>
        </w:tc>
        <w:tc>
          <w:tcPr>
            <w:tcW w:w="319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3D3924" w14:textId="77777777" w:rsidR="00331B26" w:rsidRPr="001A28D2" w:rsidRDefault="00331B26">
            <w:pPr>
              <w:autoSpaceDE w:val="0"/>
              <w:autoSpaceDN w:val="0"/>
              <w:adjustRightInd w:val="0"/>
              <w:jc w:val="center"/>
              <w:rPr>
                <w:rFonts w:eastAsiaTheme="minorHAnsi"/>
                <w:b/>
                <w:bCs/>
                <w:color w:val="000000"/>
                <w:lang w:eastAsia="en-US"/>
              </w:rPr>
            </w:pPr>
            <w:r w:rsidRPr="001A28D2">
              <w:rPr>
                <w:rFonts w:eastAsiaTheme="minorHAnsi"/>
                <w:b/>
                <w:bCs/>
                <w:color w:val="000000"/>
                <w:lang w:eastAsia="en-US"/>
              </w:rPr>
              <w:t>Показатели</w:t>
            </w:r>
          </w:p>
        </w:tc>
        <w:tc>
          <w:tcPr>
            <w:tcW w:w="1762"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0C5FA23" w14:textId="77777777" w:rsidR="00331B26" w:rsidRPr="001A28D2" w:rsidRDefault="00331B26">
            <w:pPr>
              <w:autoSpaceDE w:val="0"/>
              <w:autoSpaceDN w:val="0"/>
              <w:adjustRightInd w:val="0"/>
              <w:jc w:val="center"/>
              <w:rPr>
                <w:rFonts w:eastAsiaTheme="minorHAnsi"/>
                <w:b/>
                <w:bCs/>
                <w:color w:val="000000"/>
                <w:lang w:eastAsia="en-US"/>
              </w:rPr>
            </w:pPr>
            <w:r w:rsidRPr="001A28D2">
              <w:rPr>
                <w:rFonts w:eastAsiaTheme="minorHAnsi"/>
                <w:b/>
                <w:bCs/>
                <w:color w:val="000000"/>
                <w:lang w:eastAsia="en-US"/>
              </w:rPr>
              <w:t xml:space="preserve">ЗБДБР 2016 г. (хил. лв.) </w:t>
            </w:r>
          </w:p>
        </w:tc>
        <w:tc>
          <w:tcPr>
            <w:tcW w:w="141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619E550" w14:textId="77777777" w:rsidR="00331B26" w:rsidRPr="001A28D2" w:rsidRDefault="00331B26">
            <w:pPr>
              <w:autoSpaceDE w:val="0"/>
              <w:autoSpaceDN w:val="0"/>
              <w:adjustRightInd w:val="0"/>
              <w:jc w:val="center"/>
              <w:rPr>
                <w:rFonts w:eastAsiaTheme="minorHAnsi"/>
                <w:b/>
                <w:bCs/>
                <w:color w:val="000000"/>
                <w:lang w:eastAsia="en-US"/>
              </w:rPr>
            </w:pPr>
            <w:r w:rsidRPr="001A28D2">
              <w:rPr>
                <w:rFonts w:eastAsiaTheme="minorHAnsi"/>
                <w:b/>
                <w:bCs/>
                <w:color w:val="000000"/>
                <w:lang w:eastAsia="en-US"/>
              </w:rPr>
              <w:t>Отчет ДБ 2016 г. (хил. лв.)</w:t>
            </w:r>
          </w:p>
        </w:tc>
        <w:tc>
          <w:tcPr>
            <w:tcW w:w="1276"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A7EE450" w14:textId="77777777" w:rsidR="00331B26" w:rsidRPr="001A28D2" w:rsidRDefault="00331B26">
            <w:pPr>
              <w:autoSpaceDE w:val="0"/>
              <w:autoSpaceDN w:val="0"/>
              <w:adjustRightInd w:val="0"/>
              <w:jc w:val="center"/>
              <w:rPr>
                <w:rFonts w:eastAsiaTheme="minorHAnsi"/>
                <w:b/>
                <w:bCs/>
                <w:color w:val="000000"/>
                <w:lang w:eastAsia="en-US"/>
              </w:rPr>
            </w:pPr>
            <w:r w:rsidRPr="001A28D2">
              <w:rPr>
                <w:rFonts w:eastAsiaTheme="minorHAnsi"/>
                <w:b/>
                <w:bCs/>
                <w:color w:val="000000"/>
                <w:lang w:eastAsia="en-US"/>
              </w:rPr>
              <w:t>Разлика</w:t>
            </w:r>
          </w:p>
          <w:p w14:paraId="61099805" w14:textId="77777777" w:rsidR="00331B26" w:rsidRPr="001A28D2" w:rsidRDefault="00331B26">
            <w:pPr>
              <w:autoSpaceDE w:val="0"/>
              <w:autoSpaceDN w:val="0"/>
              <w:adjustRightInd w:val="0"/>
              <w:jc w:val="center"/>
              <w:rPr>
                <w:rFonts w:eastAsiaTheme="minorHAnsi"/>
                <w:b/>
                <w:bCs/>
                <w:color w:val="000000"/>
                <w:lang w:eastAsia="en-US"/>
              </w:rPr>
            </w:pPr>
            <w:r w:rsidRPr="001A28D2">
              <w:rPr>
                <w:rFonts w:eastAsiaTheme="minorHAnsi"/>
                <w:b/>
                <w:bCs/>
                <w:color w:val="000000"/>
                <w:lang w:eastAsia="en-US"/>
              </w:rPr>
              <w:t>к.4 - к.3</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819D22E" w14:textId="77777777" w:rsidR="00331B26" w:rsidRPr="001A28D2" w:rsidRDefault="00331B26">
            <w:pPr>
              <w:autoSpaceDE w:val="0"/>
              <w:autoSpaceDN w:val="0"/>
              <w:adjustRightInd w:val="0"/>
              <w:jc w:val="center"/>
              <w:rPr>
                <w:rFonts w:eastAsiaTheme="minorHAnsi"/>
                <w:b/>
                <w:bCs/>
                <w:color w:val="000000"/>
                <w:lang w:eastAsia="en-US"/>
              </w:rPr>
            </w:pPr>
            <w:r w:rsidRPr="001A28D2">
              <w:rPr>
                <w:rFonts w:eastAsiaTheme="minorHAnsi"/>
                <w:b/>
                <w:bCs/>
                <w:color w:val="000000"/>
                <w:lang w:eastAsia="en-US"/>
              </w:rPr>
              <w:t>Изпълнение, %</w:t>
            </w:r>
          </w:p>
        </w:tc>
      </w:tr>
      <w:tr w:rsidR="00331B26" w:rsidRPr="001A28D2" w14:paraId="751FA7AA" w14:textId="77777777" w:rsidTr="00331B26">
        <w:trPr>
          <w:trHeight w:val="245"/>
        </w:trPr>
        <w:tc>
          <w:tcPr>
            <w:tcW w:w="1023" w:type="dxa"/>
            <w:tcBorders>
              <w:top w:val="single" w:sz="6" w:space="0" w:color="auto"/>
              <w:left w:val="single" w:sz="6" w:space="0" w:color="auto"/>
              <w:bottom w:val="single" w:sz="6" w:space="0" w:color="auto"/>
              <w:right w:val="single" w:sz="6" w:space="0" w:color="auto"/>
            </w:tcBorders>
          </w:tcPr>
          <w:p w14:paraId="3A281704" w14:textId="77777777" w:rsidR="00331B26" w:rsidRPr="001A28D2" w:rsidRDefault="00331B26">
            <w:pPr>
              <w:autoSpaceDE w:val="0"/>
              <w:autoSpaceDN w:val="0"/>
              <w:adjustRightInd w:val="0"/>
              <w:jc w:val="center"/>
              <w:rPr>
                <w:rFonts w:eastAsiaTheme="minorHAnsi"/>
                <w:color w:val="000000"/>
                <w:sz w:val="16"/>
                <w:szCs w:val="16"/>
                <w:lang w:eastAsia="en-US"/>
              </w:rPr>
            </w:pPr>
            <w:r w:rsidRPr="001A28D2">
              <w:rPr>
                <w:rFonts w:eastAsiaTheme="minorHAnsi"/>
                <w:color w:val="000000"/>
                <w:sz w:val="16"/>
                <w:szCs w:val="16"/>
                <w:lang w:eastAsia="en-US"/>
              </w:rPr>
              <w:t>1</w:t>
            </w:r>
          </w:p>
        </w:tc>
        <w:tc>
          <w:tcPr>
            <w:tcW w:w="3199" w:type="dxa"/>
            <w:tcBorders>
              <w:top w:val="single" w:sz="6" w:space="0" w:color="auto"/>
              <w:left w:val="single" w:sz="6" w:space="0" w:color="auto"/>
              <w:bottom w:val="single" w:sz="6" w:space="0" w:color="auto"/>
              <w:right w:val="single" w:sz="6" w:space="0" w:color="auto"/>
            </w:tcBorders>
          </w:tcPr>
          <w:p w14:paraId="2F07C54D" w14:textId="77777777" w:rsidR="00331B26" w:rsidRPr="001A28D2" w:rsidRDefault="00331B26">
            <w:pPr>
              <w:autoSpaceDE w:val="0"/>
              <w:autoSpaceDN w:val="0"/>
              <w:adjustRightInd w:val="0"/>
              <w:jc w:val="center"/>
              <w:rPr>
                <w:rFonts w:eastAsiaTheme="minorHAnsi"/>
                <w:color w:val="000000"/>
                <w:sz w:val="16"/>
                <w:szCs w:val="16"/>
                <w:lang w:eastAsia="en-US"/>
              </w:rPr>
            </w:pPr>
            <w:r w:rsidRPr="001A28D2">
              <w:rPr>
                <w:rFonts w:eastAsiaTheme="minorHAnsi"/>
                <w:color w:val="000000"/>
                <w:sz w:val="16"/>
                <w:szCs w:val="16"/>
                <w:lang w:eastAsia="en-US"/>
              </w:rPr>
              <w:t>2</w:t>
            </w:r>
          </w:p>
        </w:tc>
        <w:tc>
          <w:tcPr>
            <w:tcW w:w="1762" w:type="dxa"/>
            <w:tcBorders>
              <w:top w:val="single" w:sz="6" w:space="0" w:color="auto"/>
              <w:left w:val="single" w:sz="6" w:space="0" w:color="auto"/>
              <w:bottom w:val="single" w:sz="6" w:space="0" w:color="auto"/>
              <w:right w:val="single" w:sz="6" w:space="0" w:color="auto"/>
            </w:tcBorders>
          </w:tcPr>
          <w:p w14:paraId="5828F470" w14:textId="77777777" w:rsidR="00331B26" w:rsidRPr="001A28D2" w:rsidRDefault="00331B26">
            <w:pPr>
              <w:autoSpaceDE w:val="0"/>
              <w:autoSpaceDN w:val="0"/>
              <w:adjustRightInd w:val="0"/>
              <w:jc w:val="center"/>
              <w:rPr>
                <w:rFonts w:eastAsiaTheme="minorHAnsi"/>
                <w:color w:val="000000"/>
                <w:sz w:val="16"/>
                <w:szCs w:val="16"/>
                <w:lang w:eastAsia="en-US"/>
              </w:rPr>
            </w:pPr>
            <w:r w:rsidRPr="001A28D2">
              <w:rPr>
                <w:rFonts w:eastAsiaTheme="minorHAnsi"/>
                <w:color w:val="000000"/>
                <w:sz w:val="16"/>
                <w:szCs w:val="16"/>
                <w:lang w:eastAsia="en-US"/>
              </w:rPr>
              <w:t>3</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63641E2" w14:textId="77777777" w:rsidR="00331B26" w:rsidRPr="001A28D2" w:rsidRDefault="00331B26">
            <w:pPr>
              <w:autoSpaceDE w:val="0"/>
              <w:autoSpaceDN w:val="0"/>
              <w:adjustRightInd w:val="0"/>
              <w:jc w:val="center"/>
              <w:rPr>
                <w:rFonts w:eastAsiaTheme="minorHAnsi"/>
                <w:color w:val="000000"/>
                <w:sz w:val="16"/>
                <w:szCs w:val="16"/>
                <w:lang w:eastAsia="en-US"/>
              </w:rPr>
            </w:pPr>
            <w:r w:rsidRPr="001A28D2">
              <w:rPr>
                <w:rFonts w:eastAsiaTheme="minorHAnsi"/>
                <w:color w:val="000000"/>
                <w:sz w:val="16"/>
                <w:szCs w:val="16"/>
                <w:lang w:eastAsia="en-US"/>
              </w:rPr>
              <w:t>4</w:t>
            </w:r>
          </w:p>
        </w:tc>
        <w:tc>
          <w:tcPr>
            <w:tcW w:w="1276" w:type="dxa"/>
            <w:tcBorders>
              <w:top w:val="single" w:sz="6" w:space="0" w:color="auto"/>
              <w:left w:val="single" w:sz="6" w:space="0" w:color="auto"/>
              <w:bottom w:val="nil"/>
              <w:right w:val="single" w:sz="6" w:space="0" w:color="auto"/>
            </w:tcBorders>
            <w:shd w:val="solid" w:color="FFFFFF" w:fill="auto"/>
          </w:tcPr>
          <w:p w14:paraId="5A8A42BB" w14:textId="77777777" w:rsidR="00331B26" w:rsidRPr="001A28D2" w:rsidRDefault="00331B26">
            <w:pPr>
              <w:autoSpaceDE w:val="0"/>
              <w:autoSpaceDN w:val="0"/>
              <w:adjustRightInd w:val="0"/>
              <w:jc w:val="center"/>
              <w:rPr>
                <w:rFonts w:eastAsiaTheme="minorHAnsi"/>
                <w:color w:val="000000"/>
                <w:sz w:val="16"/>
                <w:szCs w:val="16"/>
                <w:lang w:eastAsia="en-US"/>
              </w:rPr>
            </w:pPr>
            <w:r w:rsidRPr="001A28D2">
              <w:rPr>
                <w:rFonts w:eastAsiaTheme="minorHAnsi"/>
                <w:color w:val="000000"/>
                <w:sz w:val="16"/>
                <w:szCs w:val="16"/>
                <w:lang w:eastAsia="en-US"/>
              </w:rPr>
              <w:t>5</w:t>
            </w:r>
          </w:p>
        </w:tc>
        <w:tc>
          <w:tcPr>
            <w:tcW w:w="1134" w:type="dxa"/>
            <w:tcBorders>
              <w:top w:val="single" w:sz="6" w:space="0" w:color="auto"/>
              <w:left w:val="single" w:sz="6" w:space="0" w:color="auto"/>
              <w:bottom w:val="nil"/>
              <w:right w:val="single" w:sz="6" w:space="0" w:color="auto"/>
            </w:tcBorders>
            <w:shd w:val="solid" w:color="FFFFFF" w:fill="auto"/>
          </w:tcPr>
          <w:p w14:paraId="052EF2A7" w14:textId="77777777" w:rsidR="00331B26" w:rsidRPr="001A28D2" w:rsidRDefault="00331B26">
            <w:pPr>
              <w:autoSpaceDE w:val="0"/>
              <w:autoSpaceDN w:val="0"/>
              <w:adjustRightInd w:val="0"/>
              <w:jc w:val="center"/>
              <w:rPr>
                <w:rFonts w:eastAsiaTheme="minorHAnsi"/>
                <w:color w:val="000000"/>
                <w:sz w:val="16"/>
                <w:szCs w:val="16"/>
                <w:lang w:eastAsia="en-US"/>
              </w:rPr>
            </w:pPr>
            <w:r w:rsidRPr="001A28D2">
              <w:rPr>
                <w:rFonts w:eastAsiaTheme="minorHAnsi"/>
                <w:color w:val="000000"/>
                <w:sz w:val="16"/>
                <w:szCs w:val="16"/>
                <w:lang w:eastAsia="en-US"/>
              </w:rPr>
              <w:t>6</w:t>
            </w:r>
          </w:p>
        </w:tc>
      </w:tr>
      <w:tr w:rsidR="00331B26" w:rsidRPr="001A28D2" w14:paraId="373D7BA0"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shd w:val="solid" w:color="CCCCFF" w:fill="auto"/>
          </w:tcPr>
          <w:p w14:paraId="5A700B09"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IІ.</w:t>
            </w:r>
          </w:p>
        </w:tc>
        <w:tc>
          <w:tcPr>
            <w:tcW w:w="3199" w:type="dxa"/>
            <w:tcBorders>
              <w:top w:val="single" w:sz="6" w:space="0" w:color="auto"/>
              <w:left w:val="single" w:sz="6" w:space="0" w:color="auto"/>
              <w:bottom w:val="single" w:sz="6" w:space="0" w:color="auto"/>
              <w:right w:val="single" w:sz="6" w:space="0" w:color="auto"/>
            </w:tcBorders>
            <w:shd w:val="solid" w:color="CCCCFF" w:fill="auto"/>
          </w:tcPr>
          <w:p w14:paraId="17642FDD"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РАЗХОДИ</w:t>
            </w:r>
          </w:p>
        </w:tc>
        <w:tc>
          <w:tcPr>
            <w:tcW w:w="1762" w:type="dxa"/>
            <w:tcBorders>
              <w:top w:val="single" w:sz="6" w:space="0" w:color="auto"/>
              <w:left w:val="single" w:sz="6" w:space="0" w:color="auto"/>
              <w:bottom w:val="single" w:sz="6" w:space="0" w:color="auto"/>
              <w:right w:val="single" w:sz="6" w:space="0" w:color="auto"/>
            </w:tcBorders>
            <w:shd w:val="solid" w:color="CCCCFF" w:fill="auto"/>
          </w:tcPr>
          <w:p w14:paraId="798CF1B8"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10 946 208,6</w:t>
            </w:r>
          </w:p>
        </w:tc>
        <w:tc>
          <w:tcPr>
            <w:tcW w:w="1417" w:type="dxa"/>
            <w:tcBorders>
              <w:top w:val="single" w:sz="6" w:space="0" w:color="auto"/>
              <w:left w:val="single" w:sz="6" w:space="0" w:color="auto"/>
              <w:bottom w:val="single" w:sz="6" w:space="0" w:color="auto"/>
              <w:right w:val="single" w:sz="6" w:space="0" w:color="auto"/>
            </w:tcBorders>
            <w:shd w:val="solid" w:color="CCCCFF" w:fill="auto"/>
          </w:tcPr>
          <w:p w14:paraId="2F222824"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10 106 046,5</w:t>
            </w:r>
          </w:p>
        </w:tc>
        <w:tc>
          <w:tcPr>
            <w:tcW w:w="1276" w:type="dxa"/>
            <w:tcBorders>
              <w:top w:val="single" w:sz="6" w:space="0" w:color="auto"/>
              <w:left w:val="single" w:sz="6" w:space="0" w:color="auto"/>
              <w:bottom w:val="single" w:sz="6" w:space="0" w:color="auto"/>
              <w:right w:val="single" w:sz="6" w:space="0" w:color="auto"/>
            </w:tcBorders>
            <w:shd w:val="solid" w:color="CCCCFF" w:fill="auto"/>
          </w:tcPr>
          <w:p w14:paraId="4C6AB023"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-840 162,1</w:t>
            </w:r>
          </w:p>
        </w:tc>
        <w:tc>
          <w:tcPr>
            <w:tcW w:w="1134" w:type="dxa"/>
            <w:tcBorders>
              <w:top w:val="single" w:sz="6" w:space="0" w:color="auto"/>
              <w:left w:val="single" w:sz="6" w:space="0" w:color="auto"/>
              <w:bottom w:val="single" w:sz="6" w:space="0" w:color="auto"/>
              <w:right w:val="single" w:sz="6" w:space="0" w:color="auto"/>
            </w:tcBorders>
            <w:shd w:val="solid" w:color="CCCCFF" w:fill="auto"/>
          </w:tcPr>
          <w:p w14:paraId="33F41E5C"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92,3%</w:t>
            </w:r>
          </w:p>
        </w:tc>
      </w:tr>
      <w:tr w:rsidR="00331B26" w:rsidRPr="001A28D2" w14:paraId="53923731"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4CBC788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w:t>
            </w:r>
          </w:p>
        </w:tc>
        <w:tc>
          <w:tcPr>
            <w:tcW w:w="3199" w:type="dxa"/>
            <w:tcBorders>
              <w:top w:val="single" w:sz="6" w:space="0" w:color="auto"/>
              <w:left w:val="single" w:sz="6" w:space="0" w:color="auto"/>
              <w:bottom w:val="single" w:sz="6" w:space="0" w:color="auto"/>
              <w:right w:val="single" w:sz="6" w:space="0" w:color="auto"/>
            </w:tcBorders>
          </w:tcPr>
          <w:p w14:paraId="75698160"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Текущи разходи</w:t>
            </w:r>
          </w:p>
        </w:tc>
        <w:tc>
          <w:tcPr>
            <w:tcW w:w="1762" w:type="dxa"/>
            <w:tcBorders>
              <w:top w:val="single" w:sz="6" w:space="0" w:color="auto"/>
              <w:left w:val="single" w:sz="6" w:space="0" w:color="auto"/>
              <w:bottom w:val="single" w:sz="6" w:space="0" w:color="auto"/>
              <w:right w:val="nil"/>
            </w:tcBorders>
          </w:tcPr>
          <w:p w14:paraId="6B953D0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8 332 042,6</w:t>
            </w:r>
          </w:p>
        </w:tc>
        <w:tc>
          <w:tcPr>
            <w:tcW w:w="1417" w:type="dxa"/>
            <w:tcBorders>
              <w:top w:val="single" w:sz="6" w:space="0" w:color="auto"/>
              <w:left w:val="single" w:sz="6" w:space="0" w:color="auto"/>
              <w:bottom w:val="single" w:sz="6" w:space="0" w:color="auto"/>
              <w:right w:val="single" w:sz="6" w:space="0" w:color="auto"/>
            </w:tcBorders>
          </w:tcPr>
          <w:p w14:paraId="5752366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8 095 969,4</w:t>
            </w:r>
          </w:p>
        </w:tc>
        <w:tc>
          <w:tcPr>
            <w:tcW w:w="1276" w:type="dxa"/>
            <w:tcBorders>
              <w:top w:val="single" w:sz="6" w:space="0" w:color="auto"/>
              <w:left w:val="single" w:sz="6" w:space="0" w:color="auto"/>
              <w:bottom w:val="single" w:sz="6" w:space="0" w:color="auto"/>
              <w:right w:val="single" w:sz="6" w:space="0" w:color="auto"/>
            </w:tcBorders>
          </w:tcPr>
          <w:p w14:paraId="07FD6AE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-236 073,2</w:t>
            </w:r>
          </w:p>
        </w:tc>
        <w:tc>
          <w:tcPr>
            <w:tcW w:w="1134" w:type="dxa"/>
            <w:tcBorders>
              <w:top w:val="single" w:sz="6" w:space="0" w:color="auto"/>
              <w:left w:val="single" w:sz="6" w:space="0" w:color="auto"/>
              <w:bottom w:val="single" w:sz="6" w:space="0" w:color="auto"/>
              <w:right w:val="single" w:sz="6" w:space="0" w:color="auto"/>
            </w:tcBorders>
          </w:tcPr>
          <w:p w14:paraId="1FF9F75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97,2%</w:t>
            </w:r>
          </w:p>
        </w:tc>
      </w:tr>
      <w:tr w:rsidR="00331B26" w:rsidRPr="001A28D2" w14:paraId="647B8AB8" w14:textId="77777777" w:rsidTr="00331B26">
        <w:trPr>
          <w:trHeight w:val="257"/>
        </w:trPr>
        <w:tc>
          <w:tcPr>
            <w:tcW w:w="1023" w:type="dxa"/>
            <w:tcBorders>
              <w:top w:val="single" w:sz="6" w:space="0" w:color="auto"/>
              <w:left w:val="single" w:sz="6" w:space="0" w:color="auto"/>
              <w:bottom w:val="single" w:sz="6" w:space="0" w:color="auto"/>
              <w:right w:val="nil"/>
            </w:tcBorders>
          </w:tcPr>
          <w:p w14:paraId="2B5C3F4C" w14:textId="77777777" w:rsidR="00331B26" w:rsidRPr="001A28D2" w:rsidRDefault="00331B26">
            <w:pPr>
              <w:autoSpaceDE w:val="0"/>
              <w:autoSpaceDN w:val="0"/>
              <w:adjustRightInd w:val="0"/>
              <w:rPr>
                <w:rFonts w:eastAsiaTheme="minorHAnsi"/>
                <w:color w:val="000000"/>
                <w:lang w:eastAsia="en-US"/>
              </w:rPr>
            </w:pPr>
          </w:p>
        </w:tc>
        <w:tc>
          <w:tcPr>
            <w:tcW w:w="3199" w:type="dxa"/>
            <w:tcBorders>
              <w:top w:val="single" w:sz="6" w:space="0" w:color="auto"/>
              <w:left w:val="nil"/>
              <w:bottom w:val="single" w:sz="6" w:space="0" w:color="auto"/>
              <w:right w:val="nil"/>
            </w:tcBorders>
          </w:tcPr>
          <w:p w14:paraId="0CF5210D"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в т.ч.:</w:t>
            </w:r>
          </w:p>
        </w:tc>
        <w:tc>
          <w:tcPr>
            <w:tcW w:w="1762" w:type="dxa"/>
            <w:tcBorders>
              <w:top w:val="single" w:sz="6" w:space="0" w:color="auto"/>
              <w:left w:val="nil"/>
              <w:bottom w:val="single" w:sz="6" w:space="0" w:color="auto"/>
              <w:right w:val="nil"/>
            </w:tcBorders>
          </w:tcPr>
          <w:p w14:paraId="3301AC6A" w14:textId="77777777" w:rsidR="00331B26" w:rsidRPr="001A28D2" w:rsidRDefault="00331B26">
            <w:pPr>
              <w:autoSpaceDE w:val="0"/>
              <w:autoSpaceDN w:val="0"/>
              <w:adjustRightInd w:val="0"/>
              <w:jc w:val="right"/>
              <w:rPr>
                <w:rFonts w:eastAsiaTheme="minorHAnsi"/>
                <w:color w:val="000000"/>
                <w:lang w:eastAsia="en-US"/>
              </w:rPr>
            </w:pPr>
          </w:p>
        </w:tc>
        <w:tc>
          <w:tcPr>
            <w:tcW w:w="1417" w:type="dxa"/>
            <w:tcBorders>
              <w:top w:val="single" w:sz="6" w:space="0" w:color="auto"/>
              <w:left w:val="nil"/>
              <w:bottom w:val="single" w:sz="6" w:space="0" w:color="auto"/>
              <w:right w:val="nil"/>
            </w:tcBorders>
          </w:tcPr>
          <w:p w14:paraId="62403D4A" w14:textId="77777777" w:rsidR="00331B26" w:rsidRPr="001A28D2" w:rsidRDefault="00331B26">
            <w:pPr>
              <w:autoSpaceDE w:val="0"/>
              <w:autoSpaceDN w:val="0"/>
              <w:adjustRightInd w:val="0"/>
              <w:jc w:val="right"/>
              <w:rPr>
                <w:rFonts w:eastAsiaTheme="minorHAnsi"/>
                <w:color w:val="000000"/>
                <w:lang w:eastAsia="en-US"/>
              </w:rPr>
            </w:pPr>
          </w:p>
        </w:tc>
        <w:tc>
          <w:tcPr>
            <w:tcW w:w="1276" w:type="dxa"/>
            <w:tcBorders>
              <w:top w:val="single" w:sz="6" w:space="0" w:color="auto"/>
              <w:left w:val="nil"/>
              <w:bottom w:val="single" w:sz="6" w:space="0" w:color="auto"/>
              <w:right w:val="nil"/>
            </w:tcBorders>
          </w:tcPr>
          <w:p w14:paraId="557C3778" w14:textId="77777777" w:rsidR="00331B26" w:rsidRPr="001A28D2" w:rsidRDefault="00331B26">
            <w:pPr>
              <w:autoSpaceDE w:val="0"/>
              <w:autoSpaceDN w:val="0"/>
              <w:adjustRightInd w:val="0"/>
              <w:jc w:val="right"/>
              <w:rPr>
                <w:rFonts w:eastAsiaTheme="minorHAnsi"/>
                <w:color w:val="000000"/>
                <w:lang w:eastAsia="en-US"/>
              </w:rPr>
            </w:pPr>
          </w:p>
        </w:tc>
        <w:tc>
          <w:tcPr>
            <w:tcW w:w="1134" w:type="dxa"/>
            <w:tcBorders>
              <w:top w:val="single" w:sz="6" w:space="0" w:color="auto"/>
              <w:left w:val="nil"/>
              <w:bottom w:val="single" w:sz="6" w:space="0" w:color="auto"/>
              <w:right w:val="single" w:sz="6" w:space="0" w:color="auto"/>
            </w:tcBorders>
          </w:tcPr>
          <w:p w14:paraId="1968CC8A" w14:textId="77777777" w:rsidR="00331B26" w:rsidRPr="001A28D2" w:rsidRDefault="00331B26">
            <w:pPr>
              <w:autoSpaceDE w:val="0"/>
              <w:autoSpaceDN w:val="0"/>
              <w:adjustRightInd w:val="0"/>
              <w:jc w:val="right"/>
              <w:rPr>
                <w:rFonts w:eastAsiaTheme="minorHAnsi"/>
                <w:color w:val="000000"/>
                <w:lang w:eastAsia="en-US"/>
              </w:rPr>
            </w:pPr>
          </w:p>
        </w:tc>
      </w:tr>
      <w:tr w:rsidR="00331B26" w:rsidRPr="001A28D2" w14:paraId="4D8BEBC0"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7285A4B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w:t>
            </w:r>
            <w:proofErr w:type="spellStart"/>
            <w:r w:rsidRPr="001A28D2">
              <w:rPr>
                <w:rFonts w:eastAsiaTheme="minorHAnsi"/>
                <w:color w:val="000000"/>
                <w:lang w:eastAsia="en-US"/>
              </w:rPr>
              <w:t>1</w:t>
            </w:r>
            <w:proofErr w:type="spellEnd"/>
            <w:r w:rsidRPr="001A28D2">
              <w:rPr>
                <w:rFonts w:eastAsiaTheme="minorHAnsi"/>
                <w:color w:val="000000"/>
                <w:lang w:eastAsia="en-US"/>
              </w:rPr>
              <w:t>.</w:t>
            </w:r>
          </w:p>
        </w:tc>
        <w:tc>
          <w:tcPr>
            <w:tcW w:w="3199" w:type="dxa"/>
            <w:tcBorders>
              <w:top w:val="single" w:sz="6" w:space="0" w:color="auto"/>
              <w:left w:val="single" w:sz="6" w:space="0" w:color="auto"/>
              <w:bottom w:val="single" w:sz="6" w:space="0" w:color="auto"/>
              <w:right w:val="single" w:sz="6" w:space="0" w:color="auto"/>
            </w:tcBorders>
          </w:tcPr>
          <w:p w14:paraId="0C0CBB3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Персонал</w:t>
            </w:r>
          </w:p>
        </w:tc>
        <w:tc>
          <w:tcPr>
            <w:tcW w:w="1762" w:type="dxa"/>
            <w:tcBorders>
              <w:top w:val="single" w:sz="6" w:space="0" w:color="auto"/>
              <w:left w:val="single" w:sz="6" w:space="0" w:color="auto"/>
              <w:bottom w:val="single" w:sz="6" w:space="0" w:color="auto"/>
              <w:right w:val="nil"/>
            </w:tcBorders>
          </w:tcPr>
          <w:p w14:paraId="5F77632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3 784 699,6</w:t>
            </w:r>
          </w:p>
        </w:tc>
        <w:tc>
          <w:tcPr>
            <w:tcW w:w="1417" w:type="dxa"/>
            <w:tcBorders>
              <w:top w:val="single" w:sz="6" w:space="0" w:color="auto"/>
              <w:left w:val="single" w:sz="6" w:space="0" w:color="auto"/>
              <w:bottom w:val="single" w:sz="6" w:space="0" w:color="auto"/>
              <w:right w:val="single" w:sz="6" w:space="0" w:color="auto"/>
            </w:tcBorders>
          </w:tcPr>
          <w:p w14:paraId="0222D8A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3 791 512,4</w:t>
            </w:r>
          </w:p>
        </w:tc>
        <w:tc>
          <w:tcPr>
            <w:tcW w:w="1276" w:type="dxa"/>
            <w:tcBorders>
              <w:top w:val="single" w:sz="6" w:space="0" w:color="auto"/>
              <w:left w:val="single" w:sz="6" w:space="0" w:color="auto"/>
              <w:bottom w:val="single" w:sz="6" w:space="0" w:color="auto"/>
              <w:right w:val="single" w:sz="6" w:space="0" w:color="auto"/>
            </w:tcBorders>
          </w:tcPr>
          <w:p w14:paraId="0DDD8B0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6 812,8</w:t>
            </w:r>
          </w:p>
        </w:tc>
        <w:tc>
          <w:tcPr>
            <w:tcW w:w="1134" w:type="dxa"/>
            <w:tcBorders>
              <w:top w:val="single" w:sz="6" w:space="0" w:color="auto"/>
              <w:left w:val="single" w:sz="6" w:space="0" w:color="auto"/>
              <w:bottom w:val="single" w:sz="6" w:space="0" w:color="auto"/>
              <w:right w:val="single" w:sz="6" w:space="0" w:color="auto"/>
            </w:tcBorders>
          </w:tcPr>
          <w:p w14:paraId="072C678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100,2%</w:t>
            </w:r>
          </w:p>
        </w:tc>
      </w:tr>
      <w:tr w:rsidR="00331B26" w:rsidRPr="001A28D2" w14:paraId="08DEFBF9"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0BDFF27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1.2.</w:t>
            </w:r>
          </w:p>
        </w:tc>
        <w:tc>
          <w:tcPr>
            <w:tcW w:w="3199" w:type="dxa"/>
            <w:tcBorders>
              <w:top w:val="single" w:sz="6" w:space="0" w:color="auto"/>
              <w:left w:val="single" w:sz="6" w:space="0" w:color="auto"/>
              <w:bottom w:val="single" w:sz="6" w:space="0" w:color="auto"/>
              <w:right w:val="single" w:sz="6" w:space="0" w:color="auto"/>
            </w:tcBorders>
          </w:tcPr>
          <w:p w14:paraId="29650D7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Субсидии</w:t>
            </w:r>
          </w:p>
        </w:tc>
        <w:tc>
          <w:tcPr>
            <w:tcW w:w="1762" w:type="dxa"/>
            <w:tcBorders>
              <w:top w:val="single" w:sz="6" w:space="0" w:color="auto"/>
              <w:left w:val="single" w:sz="6" w:space="0" w:color="auto"/>
              <w:bottom w:val="single" w:sz="6" w:space="0" w:color="auto"/>
              <w:right w:val="nil"/>
            </w:tcBorders>
          </w:tcPr>
          <w:p w14:paraId="24C2EA2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871 694,6</w:t>
            </w:r>
          </w:p>
        </w:tc>
        <w:tc>
          <w:tcPr>
            <w:tcW w:w="1417" w:type="dxa"/>
            <w:tcBorders>
              <w:top w:val="single" w:sz="6" w:space="0" w:color="auto"/>
              <w:left w:val="single" w:sz="6" w:space="0" w:color="auto"/>
              <w:bottom w:val="single" w:sz="6" w:space="0" w:color="auto"/>
              <w:right w:val="single" w:sz="6" w:space="0" w:color="auto"/>
            </w:tcBorders>
          </w:tcPr>
          <w:p w14:paraId="649D6BB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894 719,5</w:t>
            </w:r>
          </w:p>
        </w:tc>
        <w:tc>
          <w:tcPr>
            <w:tcW w:w="1276" w:type="dxa"/>
            <w:tcBorders>
              <w:top w:val="single" w:sz="6" w:space="0" w:color="auto"/>
              <w:left w:val="single" w:sz="6" w:space="0" w:color="auto"/>
              <w:bottom w:val="single" w:sz="6" w:space="0" w:color="auto"/>
              <w:right w:val="single" w:sz="6" w:space="0" w:color="auto"/>
            </w:tcBorders>
          </w:tcPr>
          <w:p w14:paraId="06399F3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23 024,9</w:t>
            </w:r>
          </w:p>
        </w:tc>
        <w:tc>
          <w:tcPr>
            <w:tcW w:w="1134" w:type="dxa"/>
            <w:tcBorders>
              <w:top w:val="single" w:sz="6" w:space="0" w:color="auto"/>
              <w:left w:val="single" w:sz="6" w:space="0" w:color="auto"/>
              <w:bottom w:val="single" w:sz="6" w:space="0" w:color="auto"/>
              <w:right w:val="single" w:sz="6" w:space="0" w:color="auto"/>
            </w:tcBorders>
          </w:tcPr>
          <w:p w14:paraId="6B9D33F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102,6%</w:t>
            </w:r>
          </w:p>
        </w:tc>
      </w:tr>
      <w:tr w:rsidR="00331B26" w:rsidRPr="001A28D2" w14:paraId="6627F19F" w14:textId="77777777" w:rsidTr="00331B26">
        <w:trPr>
          <w:trHeight w:val="413"/>
        </w:trPr>
        <w:tc>
          <w:tcPr>
            <w:tcW w:w="1023" w:type="dxa"/>
            <w:tcBorders>
              <w:top w:val="single" w:sz="6" w:space="0" w:color="auto"/>
              <w:left w:val="single" w:sz="6" w:space="0" w:color="auto"/>
              <w:bottom w:val="single" w:sz="6" w:space="0" w:color="auto"/>
              <w:right w:val="single" w:sz="6" w:space="0" w:color="auto"/>
            </w:tcBorders>
          </w:tcPr>
          <w:p w14:paraId="6D753B5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1.2.1.</w:t>
            </w:r>
          </w:p>
        </w:tc>
        <w:tc>
          <w:tcPr>
            <w:tcW w:w="3199" w:type="dxa"/>
            <w:tcBorders>
              <w:top w:val="single" w:sz="6" w:space="0" w:color="auto"/>
              <w:left w:val="single" w:sz="6" w:space="0" w:color="auto"/>
              <w:bottom w:val="single" w:sz="6" w:space="0" w:color="auto"/>
              <w:right w:val="single" w:sz="6" w:space="0" w:color="auto"/>
            </w:tcBorders>
          </w:tcPr>
          <w:p w14:paraId="4571BE0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Субсидии за нефинансови предприятия</w:t>
            </w:r>
          </w:p>
        </w:tc>
        <w:tc>
          <w:tcPr>
            <w:tcW w:w="1762" w:type="dxa"/>
            <w:tcBorders>
              <w:top w:val="single" w:sz="6" w:space="0" w:color="auto"/>
              <w:left w:val="single" w:sz="6" w:space="0" w:color="auto"/>
              <w:bottom w:val="single" w:sz="6" w:space="0" w:color="auto"/>
              <w:right w:val="nil"/>
            </w:tcBorders>
          </w:tcPr>
          <w:p w14:paraId="3793516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806 076,7</w:t>
            </w:r>
          </w:p>
        </w:tc>
        <w:tc>
          <w:tcPr>
            <w:tcW w:w="1417" w:type="dxa"/>
            <w:tcBorders>
              <w:top w:val="single" w:sz="6" w:space="0" w:color="auto"/>
              <w:left w:val="single" w:sz="6" w:space="0" w:color="auto"/>
              <w:bottom w:val="single" w:sz="6" w:space="0" w:color="auto"/>
              <w:right w:val="single" w:sz="6" w:space="0" w:color="auto"/>
            </w:tcBorders>
          </w:tcPr>
          <w:p w14:paraId="29A7C8B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816 586,8</w:t>
            </w:r>
          </w:p>
        </w:tc>
        <w:tc>
          <w:tcPr>
            <w:tcW w:w="1276" w:type="dxa"/>
            <w:tcBorders>
              <w:top w:val="single" w:sz="6" w:space="0" w:color="auto"/>
              <w:left w:val="single" w:sz="6" w:space="0" w:color="auto"/>
              <w:bottom w:val="single" w:sz="6" w:space="0" w:color="auto"/>
              <w:right w:val="single" w:sz="6" w:space="0" w:color="auto"/>
            </w:tcBorders>
          </w:tcPr>
          <w:p w14:paraId="24CC19E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10 510,1</w:t>
            </w:r>
          </w:p>
        </w:tc>
        <w:tc>
          <w:tcPr>
            <w:tcW w:w="1134" w:type="dxa"/>
            <w:tcBorders>
              <w:top w:val="single" w:sz="6" w:space="0" w:color="auto"/>
              <w:left w:val="single" w:sz="6" w:space="0" w:color="auto"/>
              <w:bottom w:val="single" w:sz="6" w:space="0" w:color="auto"/>
              <w:right w:val="single" w:sz="6" w:space="0" w:color="auto"/>
            </w:tcBorders>
          </w:tcPr>
          <w:p w14:paraId="450B863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101,3%</w:t>
            </w:r>
          </w:p>
        </w:tc>
      </w:tr>
      <w:tr w:rsidR="00331B26" w:rsidRPr="001A28D2" w14:paraId="7DF0FF24"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256D493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1.2.</w:t>
            </w:r>
            <w:proofErr w:type="spellStart"/>
            <w:r w:rsidRPr="001A28D2">
              <w:rPr>
                <w:rFonts w:eastAsiaTheme="minorHAnsi"/>
                <w:color w:val="000000"/>
                <w:lang w:eastAsia="en-US"/>
              </w:rPr>
              <w:t>2</w:t>
            </w:r>
            <w:proofErr w:type="spellEnd"/>
            <w:r w:rsidRPr="001A28D2">
              <w:rPr>
                <w:rFonts w:eastAsiaTheme="minorHAnsi"/>
                <w:color w:val="000000"/>
                <w:lang w:eastAsia="en-US"/>
              </w:rPr>
              <w:t>.</w:t>
            </w:r>
          </w:p>
        </w:tc>
        <w:tc>
          <w:tcPr>
            <w:tcW w:w="3199" w:type="dxa"/>
            <w:tcBorders>
              <w:top w:val="single" w:sz="6" w:space="0" w:color="auto"/>
              <w:left w:val="single" w:sz="6" w:space="0" w:color="auto"/>
              <w:bottom w:val="single" w:sz="6" w:space="0" w:color="auto"/>
              <w:right w:val="single" w:sz="6" w:space="0" w:color="auto"/>
            </w:tcBorders>
          </w:tcPr>
          <w:p w14:paraId="6C9E7E6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Субсидии за юридически лица с нестопанска цел</w:t>
            </w:r>
          </w:p>
        </w:tc>
        <w:tc>
          <w:tcPr>
            <w:tcW w:w="1762" w:type="dxa"/>
            <w:tcBorders>
              <w:top w:val="single" w:sz="6" w:space="0" w:color="auto"/>
              <w:left w:val="single" w:sz="6" w:space="0" w:color="auto"/>
              <w:bottom w:val="single" w:sz="6" w:space="0" w:color="auto"/>
              <w:right w:val="nil"/>
            </w:tcBorders>
          </w:tcPr>
          <w:p w14:paraId="1763EA78"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65 617,9</w:t>
            </w:r>
          </w:p>
        </w:tc>
        <w:tc>
          <w:tcPr>
            <w:tcW w:w="1417" w:type="dxa"/>
            <w:tcBorders>
              <w:top w:val="single" w:sz="6" w:space="0" w:color="auto"/>
              <w:left w:val="single" w:sz="6" w:space="0" w:color="auto"/>
              <w:bottom w:val="single" w:sz="6" w:space="0" w:color="auto"/>
              <w:right w:val="single" w:sz="6" w:space="0" w:color="auto"/>
            </w:tcBorders>
          </w:tcPr>
          <w:p w14:paraId="6F26C82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78 132,7</w:t>
            </w:r>
          </w:p>
        </w:tc>
        <w:tc>
          <w:tcPr>
            <w:tcW w:w="1276" w:type="dxa"/>
            <w:tcBorders>
              <w:top w:val="single" w:sz="6" w:space="0" w:color="auto"/>
              <w:left w:val="single" w:sz="6" w:space="0" w:color="auto"/>
              <w:bottom w:val="single" w:sz="6" w:space="0" w:color="auto"/>
              <w:right w:val="single" w:sz="6" w:space="0" w:color="auto"/>
            </w:tcBorders>
          </w:tcPr>
          <w:p w14:paraId="3DD9296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12 514,8</w:t>
            </w:r>
          </w:p>
        </w:tc>
        <w:tc>
          <w:tcPr>
            <w:tcW w:w="1134" w:type="dxa"/>
            <w:tcBorders>
              <w:top w:val="single" w:sz="6" w:space="0" w:color="auto"/>
              <w:left w:val="single" w:sz="6" w:space="0" w:color="auto"/>
              <w:bottom w:val="single" w:sz="6" w:space="0" w:color="auto"/>
              <w:right w:val="single" w:sz="6" w:space="0" w:color="auto"/>
            </w:tcBorders>
          </w:tcPr>
          <w:p w14:paraId="4F15447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119,1%</w:t>
            </w:r>
          </w:p>
        </w:tc>
      </w:tr>
      <w:tr w:rsidR="00331B26" w:rsidRPr="001A28D2" w14:paraId="3F738F81"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21790DD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1.3.</w:t>
            </w:r>
          </w:p>
        </w:tc>
        <w:tc>
          <w:tcPr>
            <w:tcW w:w="3199" w:type="dxa"/>
            <w:tcBorders>
              <w:top w:val="single" w:sz="6" w:space="0" w:color="auto"/>
              <w:left w:val="single" w:sz="6" w:space="0" w:color="auto"/>
              <w:bottom w:val="single" w:sz="6" w:space="0" w:color="auto"/>
              <w:right w:val="single" w:sz="6" w:space="0" w:color="auto"/>
            </w:tcBorders>
          </w:tcPr>
          <w:p w14:paraId="3C143A5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Лихви</w:t>
            </w:r>
          </w:p>
        </w:tc>
        <w:tc>
          <w:tcPr>
            <w:tcW w:w="1762" w:type="dxa"/>
            <w:tcBorders>
              <w:top w:val="single" w:sz="6" w:space="0" w:color="auto"/>
              <w:left w:val="single" w:sz="6" w:space="0" w:color="auto"/>
              <w:bottom w:val="single" w:sz="6" w:space="0" w:color="auto"/>
              <w:right w:val="nil"/>
            </w:tcBorders>
          </w:tcPr>
          <w:p w14:paraId="6F0EB12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773 943,3</w:t>
            </w:r>
          </w:p>
        </w:tc>
        <w:tc>
          <w:tcPr>
            <w:tcW w:w="1417" w:type="dxa"/>
            <w:tcBorders>
              <w:top w:val="single" w:sz="6" w:space="0" w:color="auto"/>
              <w:left w:val="single" w:sz="6" w:space="0" w:color="auto"/>
              <w:bottom w:val="single" w:sz="6" w:space="0" w:color="auto"/>
              <w:right w:val="single" w:sz="6" w:space="0" w:color="auto"/>
            </w:tcBorders>
          </w:tcPr>
          <w:p w14:paraId="21B03DE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692 700,8</w:t>
            </w:r>
          </w:p>
        </w:tc>
        <w:tc>
          <w:tcPr>
            <w:tcW w:w="1276" w:type="dxa"/>
            <w:tcBorders>
              <w:top w:val="single" w:sz="6" w:space="0" w:color="auto"/>
              <w:left w:val="single" w:sz="6" w:space="0" w:color="auto"/>
              <w:bottom w:val="single" w:sz="6" w:space="0" w:color="auto"/>
              <w:right w:val="single" w:sz="6" w:space="0" w:color="auto"/>
            </w:tcBorders>
          </w:tcPr>
          <w:p w14:paraId="01439B1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-81 242,5</w:t>
            </w:r>
          </w:p>
        </w:tc>
        <w:tc>
          <w:tcPr>
            <w:tcW w:w="1134" w:type="dxa"/>
            <w:tcBorders>
              <w:top w:val="single" w:sz="6" w:space="0" w:color="auto"/>
              <w:left w:val="single" w:sz="6" w:space="0" w:color="auto"/>
              <w:bottom w:val="single" w:sz="6" w:space="0" w:color="auto"/>
              <w:right w:val="single" w:sz="6" w:space="0" w:color="auto"/>
            </w:tcBorders>
          </w:tcPr>
          <w:p w14:paraId="19A08DF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89,5%</w:t>
            </w:r>
          </w:p>
        </w:tc>
      </w:tr>
      <w:tr w:rsidR="00331B26" w:rsidRPr="001A28D2" w14:paraId="22EA6587"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4F552B7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1.4.</w:t>
            </w:r>
          </w:p>
        </w:tc>
        <w:tc>
          <w:tcPr>
            <w:tcW w:w="3199" w:type="dxa"/>
            <w:tcBorders>
              <w:top w:val="single" w:sz="6" w:space="0" w:color="auto"/>
              <w:left w:val="single" w:sz="6" w:space="0" w:color="auto"/>
              <w:bottom w:val="single" w:sz="6" w:space="0" w:color="auto"/>
              <w:right w:val="single" w:sz="6" w:space="0" w:color="auto"/>
            </w:tcBorders>
          </w:tcPr>
          <w:p w14:paraId="1171E72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Текущи трансфери, обезщетения и помощи за домакинствата</w:t>
            </w:r>
          </w:p>
        </w:tc>
        <w:tc>
          <w:tcPr>
            <w:tcW w:w="1762" w:type="dxa"/>
            <w:tcBorders>
              <w:top w:val="single" w:sz="6" w:space="0" w:color="auto"/>
              <w:left w:val="single" w:sz="6" w:space="0" w:color="auto"/>
              <w:bottom w:val="single" w:sz="6" w:space="0" w:color="auto"/>
              <w:right w:val="nil"/>
            </w:tcBorders>
          </w:tcPr>
          <w:p w14:paraId="59BD71F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1 058 603,7</w:t>
            </w:r>
          </w:p>
        </w:tc>
        <w:tc>
          <w:tcPr>
            <w:tcW w:w="1417" w:type="dxa"/>
            <w:tcBorders>
              <w:top w:val="single" w:sz="6" w:space="0" w:color="auto"/>
              <w:left w:val="single" w:sz="6" w:space="0" w:color="auto"/>
              <w:bottom w:val="single" w:sz="6" w:space="0" w:color="auto"/>
              <w:right w:val="single" w:sz="6" w:space="0" w:color="auto"/>
            </w:tcBorders>
          </w:tcPr>
          <w:p w14:paraId="53CB31A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943 304,5</w:t>
            </w:r>
          </w:p>
        </w:tc>
        <w:tc>
          <w:tcPr>
            <w:tcW w:w="1276" w:type="dxa"/>
            <w:tcBorders>
              <w:top w:val="single" w:sz="6" w:space="0" w:color="auto"/>
              <w:left w:val="single" w:sz="6" w:space="0" w:color="auto"/>
              <w:bottom w:val="single" w:sz="6" w:space="0" w:color="auto"/>
              <w:right w:val="single" w:sz="6" w:space="0" w:color="auto"/>
            </w:tcBorders>
          </w:tcPr>
          <w:p w14:paraId="353BE03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-115 299,2</w:t>
            </w:r>
          </w:p>
        </w:tc>
        <w:tc>
          <w:tcPr>
            <w:tcW w:w="1134" w:type="dxa"/>
            <w:tcBorders>
              <w:top w:val="single" w:sz="6" w:space="0" w:color="auto"/>
              <w:left w:val="single" w:sz="6" w:space="0" w:color="auto"/>
              <w:bottom w:val="single" w:sz="6" w:space="0" w:color="auto"/>
              <w:right w:val="single" w:sz="6" w:space="0" w:color="auto"/>
            </w:tcBorders>
          </w:tcPr>
          <w:p w14:paraId="5515084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89,1%</w:t>
            </w:r>
          </w:p>
        </w:tc>
      </w:tr>
      <w:tr w:rsidR="00331B26" w:rsidRPr="001A28D2" w14:paraId="6F51B686"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1545C39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
        </w:tc>
        <w:tc>
          <w:tcPr>
            <w:tcW w:w="3199" w:type="dxa"/>
            <w:tcBorders>
              <w:top w:val="single" w:sz="6" w:space="0" w:color="auto"/>
              <w:left w:val="single" w:sz="6" w:space="0" w:color="auto"/>
              <w:bottom w:val="single" w:sz="6" w:space="0" w:color="auto"/>
              <w:right w:val="single" w:sz="6" w:space="0" w:color="auto"/>
            </w:tcBorders>
          </w:tcPr>
          <w:p w14:paraId="306C24C9"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Капиталови разходи</w:t>
            </w:r>
          </w:p>
        </w:tc>
        <w:tc>
          <w:tcPr>
            <w:tcW w:w="1762" w:type="dxa"/>
            <w:tcBorders>
              <w:top w:val="single" w:sz="6" w:space="0" w:color="auto"/>
              <w:left w:val="single" w:sz="6" w:space="0" w:color="auto"/>
              <w:bottom w:val="single" w:sz="6" w:space="0" w:color="auto"/>
              <w:right w:val="nil"/>
            </w:tcBorders>
          </w:tcPr>
          <w:p w14:paraId="3FCBF2B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2 511 887,9</w:t>
            </w:r>
          </w:p>
        </w:tc>
        <w:tc>
          <w:tcPr>
            <w:tcW w:w="1417" w:type="dxa"/>
            <w:tcBorders>
              <w:top w:val="single" w:sz="6" w:space="0" w:color="auto"/>
              <w:left w:val="single" w:sz="6" w:space="0" w:color="auto"/>
              <w:bottom w:val="single" w:sz="6" w:space="0" w:color="auto"/>
              <w:right w:val="single" w:sz="6" w:space="0" w:color="auto"/>
            </w:tcBorders>
          </w:tcPr>
          <w:p w14:paraId="0E2AF2B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1 974 946,3</w:t>
            </w:r>
          </w:p>
        </w:tc>
        <w:tc>
          <w:tcPr>
            <w:tcW w:w="1276" w:type="dxa"/>
            <w:tcBorders>
              <w:top w:val="single" w:sz="6" w:space="0" w:color="auto"/>
              <w:left w:val="single" w:sz="6" w:space="0" w:color="auto"/>
              <w:bottom w:val="single" w:sz="6" w:space="0" w:color="auto"/>
              <w:right w:val="single" w:sz="6" w:space="0" w:color="auto"/>
            </w:tcBorders>
          </w:tcPr>
          <w:p w14:paraId="20AEB5C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-536 941,6</w:t>
            </w:r>
          </w:p>
        </w:tc>
        <w:tc>
          <w:tcPr>
            <w:tcW w:w="1134" w:type="dxa"/>
            <w:tcBorders>
              <w:top w:val="single" w:sz="6" w:space="0" w:color="auto"/>
              <w:left w:val="single" w:sz="6" w:space="0" w:color="auto"/>
              <w:bottom w:val="single" w:sz="6" w:space="0" w:color="auto"/>
              <w:right w:val="single" w:sz="6" w:space="0" w:color="auto"/>
            </w:tcBorders>
          </w:tcPr>
          <w:p w14:paraId="6980052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78,6%</w:t>
            </w:r>
          </w:p>
        </w:tc>
      </w:tr>
      <w:tr w:rsidR="00331B26" w:rsidRPr="001A28D2" w14:paraId="636E6A53"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2CD4365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2.1.</w:t>
            </w:r>
          </w:p>
        </w:tc>
        <w:tc>
          <w:tcPr>
            <w:tcW w:w="3199" w:type="dxa"/>
            <w:tcBorders>
              <w:top w:val="single" w:sz="6" w:space="0" w:color="auto"/>
              <w:left w:val="single" w:sz="6" w:space="0" w:color="auto"/>
              <w:bottom w:val="single" w:sz="6" w:space="0" w:color="auto"/>
              <w:right w:val="single" w:sz="6" w:space="0" w:color="auto"/>
            </w:tcBorders>
          </w:tcPr>
          <w:p w14:paraId="643513E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Придобиване на дълготрайни активи и основен ремонт </w:t>
            </w:r>
          </w:p>
        </w:tc>
        <w:tc>
          <w:tcPr>
            <w:tcW w:w="1762" w:type="dxa"/>
            <w:tcBorders>
              <w:top w:val="single" w:sz="6" w:space="0" w:color="auto"/>
              <w:left w:val="single" w:sz="6" w:space="0" w:color="auto"/>
              <w:bottom w:val="single" w:sz="6" w:space="0" w:color="auto"/>
              <w:right w:val="nil"/>
            </w:tcBorders>
          </w:tcPr>
          <w:p w14:paraId="6349412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2 268 627,1</w:t>
            </w:r>
          </w:p>
        </w:tc>
        <w:tc>
          <w:tcPr>
            <w:tcW w:w="1417" w:type="dxa"/>
            <w:tcBorders>
              <w:top w:val="single" w:sz="6" w:space="0" w:color="auto"/>
              <w:left w:val="single" w:sz="6" w:space="0" w:color="auto"/>
              <w:bottom w:val="single" w:sz="6" w:space="0" w:color="auto"/>
              <w:right w:val="single" w:sz="6" w:space="0" w:color="auto"/>
            </w:tcBorders>
          </w:tcPr>
          <w:p w14:paraId="0C559D3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734 045,2</w:t>
            </w:r>
          </w:p>
        </w:tc>
        <w:tc>
          <w:tcPr>
            <w:tcW w:w="1276" w:type="dxa"/>
            <w:tcBorders>
              <w:top w:val="single" w:sz="6" w:space="0" w:color="auto"/>
              <w:left w:val="single" w:sz="6" w:space="0" w:color="auto"/>
              <w:bottom w:val="single" w:sz="6" w:space="0" w:color="auto"/>
              <w:right w:val="single" w:sz="6" w:space="0" w:color="auto"/>
            </w:tcBorders>
          </w:tcPr>
          <w:p w14:paraId="4B7DCA6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-1 534 581,9</w:t>
            </w:r>
          </w:p>
        </w:tc>
        <w:tc>
          <w:tcPr>
            <w:tcW w:w="1134" w:type="dxa"/>
            <w:tcBorders>
              <w:top w:val="single" w:sz="6" w:space="0" w:color="auto"/>
              <w:left w:val="single" w:sz="6" w:space="0" w:color="auto"/>
              <w:bottom w:val="single" w:sz="6" w:space="0" w:color="auto"/>
              <w:right w:val="single" w:sz="6" w:space="0" w:color="auto"/>
            </w:tcBorders>
          </w:tcPr>
          <w:p w14:paraId="33C9E54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32,4%</w:t>
            </w:r>
          </w:p>
        </w:tc>
      </w:tr>
      <w:tr w:rsidR="00331B26" w:rsidRPr="001A28D2" w14:paraId="1A369312"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1DF1EA9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roofErr w:type="spellStart"/>
            <w:r w:rsidRPr="001A28D2">
              <w:rPr>
                <w:rFonts w:eastAsiaTheme="minorHAnsi"/>
                <w:color w:val="000000"/>
                <w:lang w:eastAsia="en-US"/>
              </w:rPr>
              <w:t>2</w:t>
            </w:r>
            <w:proofErr w:type="spellEnd"/>
            <w:r w:rsidRPr="001A28D2">
              <w:rPr>
                <w:rFonts w:eastAsiaTheme="minorHAnsi"/>
                <w:color w:val="000000"/>
                <w:lang w:eastAsia="en-US"/>
              </w:rPr>
              <w:t>.</w:t>
            </w:r>
          </w:p>
        </w:tc>
        <w:tc>
          <w:tcPr>
            <w:tcW w:w="3199" w:type="dxa"/>
            <w:tcBorders>
              <w:top w:val="single" w:sz="6" w:space="0" w:color="auto"/>
              <w:left w:val="single" w:sz="6" w:space="0" w:color="auto"/>
              <w:bottom w:val="single" w:sz="6" w:space="0" w:color="auto"/>
              <w:right w:val="single" w:sz="6" w:space="0" w:color="auto"/>
            </w:tcBorders>
          </w:tcPr>
          <w:p w14:paraId="64C06C2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Капиталови трансфери </w:t>
            </w:r>
          </w:p>
        </w:tc>
        <w:tc>
          <w:tcPr>
            <w:tcW w:w="1762" w:type="dxa"/>
            <w:tcBorders>
              <w:top w:val="single" w:sz="6" w:space="0" w:color="auto"/>
              <w:left w:val="single" w:sz="6" w:space="0" w:color="auto"/>
              <w:bottom w:val="single" w:sz="6" w:space="0" w:color="auto"/>
              <w:right w:val="nil"/>
            </w:tcBorders>
          </w:tcPr>
          <w:p w14:paraId="450300B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243 260,8</w:t>
            </w:r>
          </w:p>
        </w:tc>
        <w:tc>
          <w:tcPr>
            <w:tcW w:w="1417" w:type="dxa"/>
            <w:tcBorders>
              <w:top w:val="single" w:sz="6" w:space="0" w:color="auto"/>
              <w:left w:val="single" w:sz="6" w:space="0" w:color="auto"/>
              <w:bottom w:val="single" w:sz="6" w:space="0" w:color="auto"/>
              <w:right w:val="single" w:sz="6" w:space="0" w:color="auto"/>
            </w:tcBorders>
          </w:tcPr>
          <w:p w14:paraId="1F3E7A4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1 240 901,1</w:t>
            </w:r>
          </w:p>
        </w:tc>
        <w:tc>
          <w:tcPr>
            <w:tcW w:w="1276" w:type="dxa"/>
            <w:tcBorders>
              <w:top w:val="single" w:sz="6" w:space="0" w:color="auto"/>
              <w:left w:val="single" w:sz="6" w:space="0" w:color="auto"/>
              <w:bottom w:val="single" w:sz="6" w:space="0" w:color="auto"/>
              <w:right w:val="single" w:sz="6" w:space="0" w:color="auto"/>
            </w:tcBorders>
          </w:tcPr>
          <w:p w14:paraId="3AE6499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997 640,3</w:t>
            </w:r>
          </w:p>
        </w:tc>
        <w:tc>
          <w:tcPr>
            <w:tcW w:w="1134" w:type="dxa"/>
            <w:tcBorders>
              <w:top w:val="single" w:sz="6" w:space="0" w:color="auto"/>
              <w:left w:val="single" w:sz="6" w:space="0" w:color="auto"/>
              <w:bottom w:val="single" w:sz="6" w:space="0" w:color="auto"/>
              <w:right w:val="single" w:sz="6" w:space="0" w:color="auto"/>
            </w:tcBorders>
          </w:tcPr>
          <w:p w14:paraId="2FA2F8F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510,1%</w:t>
            </w:r>
          </w:p>
        </w:tc>
      </w:tr>
      <w:tr w:rsidR="00331B26" w:rsidRPr="001A28D2" w14:paraId="24DB3CBF"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3AB4E3D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3.</w:t>
            </w:r>
          </w:p>
        </w:tc>
        <w:tc>
          <w:tcPr>
            <w:tcW w:w="3199" w:type="dxa"/>
            <w:tcBorders>
              <w:top w:val="single" w:sz="6" w:space="0" w:color="auto"/>
              <w:left w:val="single" w:sz="6" w:space="0" w:color="auto"/>
              <w:bottom w:val="single" w:sz="6" w:space="0" w:color="auto"/>
              <w:right w:val="single" w:sz="6" w:space="0" w:color="auto"/>
            </w:tcBorders>
          </w:tcPr>
          <w:p w14:paraId="48969CAE"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Прираст на държавния резерв (нето)</w:t>
            </w:r>
          </w:p>
        </w:tc>
        <w:tc>
          <w:tcPr>
            <w:tcW w:w="1762" w:type="dxa"/>
            <w:tcBorders>
              <w:top w:val="single" w:sz="6" w:space="0" w:color="auto"/>
              <w:left w:val="single" w:sz="6" w:space="0" w:color="auto"/>
              <w:bottom w:val="single" w:sz="6" w:space="0" w:color="auto"/>
              <w:right w:val="nil"/>
            </w:tcBorders>
          </w:tcPr>
          <w:p w14:paraId="5505A1A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19 233,1</w:t>
            </w:r>
          </w:p>
        </w:tc>
        <w:tc>
          <w:tcPr>
            <w:tcW w:w="1417" w:type="dxa"/>
            <w:tcBorders>
              <w:top w:val="single" w:sz="6" w:space="0" w:color="auto"/>
              <w:left w:val="single" w:sz="6" w:space="0" w:color="auto"/>
              <w:bottom w:val="single" w:sz="6" w:space="0" w:color="auto"/>
              <w:right w:val="single" w:sz="6" w:space="0" w:color="auto"/>
            </w:tcBorders>
          </w:tcPr>
          <w:p w14:paraId="5417EA8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21 048,1</w:t>
            </w:r>
          </w:p>
        </w:tc>
        <w:tc>
          <w:tcPr>
            <w:tcW w:w="1276" w:type="dxa"/>
            <w:tcBorders>
              <w:top w:val="single" w:sz="6" w:space="0" w:color="auto"/>
              <w:left w:val="single" w:sz="6" w:space="0" w:color="auto"/>
              <w:bottom w:val="single" w:sz="6" w:space="0" w:color="auto"/>
              <w:right w:val="single" w:sz="6" w:space="0" w:color="auto"/>
            </w:tcBorders>
          </w:tcPr>
          <w:p w14:paraId="348CE28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1 815,0</w:t>
            </w:r>
          </w:p>
        </w:tc>
        <w:tc>
          <w:tcPr>
            <w:tcW w:w="1134" w:type="dxa"/>
            <w:tcBorders>
              <w:top w:val="single" w:sz="6" w:space="0" w:color="auto"/>
              <w:left w:val="single" w:sz="6" w:space="0" w:color="auto"/>
              <w:bottom w:val="single" w:sz="6" w:space="0" w:color="auto"/>
              <w:right w:val="single" w:sz="6" w:space="0" w:color="auto"/>
            </w:tcBorders>
          </w:tcPr>
          <w:p w14:paraId="1BDA682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109,4%</w:t>
            </w:r>
          </w:p>
        </w:tc>
      </w:tr>
      <w:tr w:rsidR="00331B26" w:rsidRPr="001A28D2" w14:paraId="2AA760B8" w14:textId="77777777" w:rsidTr="00331B26">
        <w:trPr>
          <w:trHeight w:val="768"/>
        </w:trPr>
        <w:tc>
          <w:tcPr>
            <w:tcW w:w="1023" w:type="dxa"/>
            <w:tcBorders>
              <w:top w:val="single" w:sz="6" w:space="0" w:color="auto"/>
              <w:left w:val="single" w:sz="6" w:space="0" w:color="auto"/>
              <w:bottom w:val="single" w:sz="6" w:space="0" w:color="auto"/>
              <w:right w:val="single" w:sz="6" w:space="0" w:color="auto"/>
            </w:tcBorders>
          </w:tcPr>
          <w:p w14:paraId="09B64049"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4.</w:t>
            </w:r>
          </w:p>
        </w:tc>
        <w:tc>
          <w:tcPr>
            <w:tcW w:w="3199" w:type="dxa"/>
            <w:tcBorders>
              <w:top w:val="single" w:sz="6" w:space="0" w:color="auto"/>
              <w:left w:val="single" w:sz="6" w:space="0" w:color="auto"/>
              <w:bottom w:val="single" w:sz="6" w:space="0" w:color="auto"/>
              <w:right w:val="single" w:sz="6" w:space="0" w:color="auto"/>
            </w:tcBorders>
          </w:tcPr>
          <w:p w14:paraId="2FCCDC47"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Предоставени текущи и капиталови трансфери за чужбина</w:t>
            </w:r>
          </w:p>
        </w:tc>
        <w:tc>
          <w:tcPr>
            <w:tcW w:w="1762" w:type="dxa"/>
            <w:tcBorders>
              <w:top w:val="single" w:sz="6" w:space="0" w:color="auto"/>
              <w:left w:val="nil"/>
              <w:bottom w:val="single" w:sz="6" w:space="0" w:color="auto"/>
              <w:right w:val="nil"/>
            </w:tcBorders>
          </w:tcPr>
          <w:p w14:paraId="612B6CA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11 945,0</w:t>
            </w:r>
          </w:p>
        </w:tc>
        <w:tc>
          <w:tcPr>
            <w:tcW w:w="1417" w:type="dxa"/>
            <w:tcBorders>
              <w:top w:val="single" w:sz="6" w:space="0" w:color="auto"/>
              <w:left w:val="single" w:sz="6" w:space="0" w:color="auto"/>
              <w:bottom w:val="single" w:sz="6" w:space="0" w:color="auto"/>
              <w:right w:val="single" w:sz="6" w:space="0" w:color="auto"/>
            </w:tcBorders>
          </w:tcPr>
          <w:p w14:paraId="59F3385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14 082,7</w:t>
            </w:r>
          </w:p>
        </w:tc>
        <w:tc>
          <w:tcPr>
            <w:tcW w:w="1276" w:type="dxa"/>
            <w:tcBorders>
              <w:top w:val="single" w:sz="6" w:space="0" w:color="auto"/>
              <w:left w:val="single" w:sz="6" w:space="0" w:color="auto"/>
              <w:bottom w:val="single" w:sz="6" w:space="0" w:color="auto"/>
              <w:right w:val="single" w:sz="6" w:space="0" w:color="auto"/>
            </w:tcBorders>
          </w:tcPr>
          <w:p w14:paraId="62C5A2B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2 137,7</w:t>
            </w:r>
          </w:p>
        </w:tc>
        <w:tc>
          <w:tcPr>
            <w:tcW w:w="1134" w:type="dxa"/>
            <w:tcBorders>
              <w:top w:val="single" w:sz="6" w:space="0" w:color="auto"/>
              <w:left w:val="single" w:sz="6" w:space="0" w:color="auto"/>
              <w:bottom w:val="single" w:sz="6" w:space="0" w:color="auto"/>
              <w:right w:val="single" w:sz="6" w:space="0" w:color="auto"/>
            </w:tcBorders>
          </w:tcPr>
          <w:p w14:paraId="52FF63E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117,9%</w:t>
            </w:r>
          </w:p>
        </w:tc>
      </w:tr>
      <w:tr w:rsidR="00331B26" w:rsidRPr="001A28D2" w14:paraId="14E189D4" w14:textId="77777777" w:rsidTr="00331B26">
        <w:trPr>
          <w:trHeight w:val="586"/>
        </w:trPr>
        <w:tc>
          <w:tcPr>
            <w:tcW w:w="1023" w:type="dxa"/>
            <w:tcBorders>
              <w:top w:val="single" w:sz="6" w:space="0" w:color="auto"/>
              <w:left w:val="single" w:sz="6" w:space="0" w:color="auto"/>
              <w:bottom w:val="single" w:sz="6" w:space="0" w:color="auto"/>
              <w:right w:val="single" w:sz="6" w:space="0" w:color="auto"/>
            </w:tcBorders>
          </w:tcPr>
          <w:p w14:paraId="72362C3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5.</w:t>
            </w:r>
          </w:p>
        </w:tc>
        <w:tc>
          <w:tcPr>
            <w:tcW w:w="3199" w:type="dxa"/>
            <w:tcBorders>
              <w:top w:val="single" w:sz="6" w:space="0" w:color="auto"/>
              <w:left w:val="single" w:sz="6" w:space="0" w:color="auto"/>
              <w:bottom w:val="single" w:sz="6" w:space="0" w:color="auto"/>
              <w:right w:val="single" w:sz="6" w:space="0" w:color="auto"/>
            </w:tcBorders>
            <w:shd w:val="solid" w:color="FFFFFF" w:fill="auto"/>
          </w:tcPr>
          <w:p w14:paraId="234BFF3F"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Резерв за непредвидени и/или неотложни разходи</w:t>
            </w:r>
          </w:p>
        </w:tc>
        <w:tc>
          <w:tcPr>
            <w:tcW w:w="1762" w:type="dxa"/>
            <w:tcBorders>
              <w:top w:val="single" w:sz="6" w:space="0" w:color="auto"/>
              <w:left w:val="nil"/>
              <w:bottom w:val="single" w:sz="6" w:space="0" w:color="auto"/>
              <w:right w:val="single" w:sz="6" w:space="0" w:color="auto"/>
            </w:tcBorders>
          </w:tcPr>
          <w:p w14:paraId="358BDAB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71 100,0</w:t>
            </w:r>
          </w:p>
        </w:tc>
        <w:tc>
          <w:tcPr>
            <w:tcW w:w="1417" w:type="dxa"/>
            <w:tcBorders>
              <w:top w:val="single" w:sz="6" w:space="0" w:color="auto"/>
              <w:left w:val="single" w:sz="6" w:space="0" w:color="auto"/>
              <w:bottom w:val="nil"/>
              <w:right w:val="nil"/>
            </w:tcBorders>
            <w:shd w:val="solid" w:color="FFFFFF" w:fill="auto"/>
          </w:tcPr>
          <w:p w14:paraId="5151AB17" w14:textId="77777777" w:rsidR="00331B26" w:rsidRPr="001A28D2" w:rsidRDefault="00331B26">
            <w:pPr>
              <w:autoSpaceDE w:val="0"/>
              <w:autoSpaceDN w:val="0"/>
              <w:adjustRightInd w:val="0"/>
              <w:jc w:val="right"/>
              <w:rPr>
                <w:rFonts w:eastAsiaTheme="minorHAnsi"/>
                <w:color w:val="000000"/>
                <w:lang w:eastAsia="en-US"/>
              </w:rPr>
            </w:pPr>
          </w:p>
        </w:tc>
        <w:tc>
          <w:tcPr>
            <w:tcW w:w="1276" w:type="dxa"/>
            <w:tcBorders>
              <w:top w:val="single" w:sz="6" w:space="0" w:color="auto"/>
              <w:left w:val="nil"/>
              <w:bottom w:val="nil"/>
              <w:right w:val="nil"/>
            </w:tcBorders>
            <w:shd w:val="solid" w:color="FFFFFF" w:fill="auto"/>
          </w:tcPr>
          <w:p w14:paraId="451D75AF" w14:textId="77777777" w:rsidR="00331B26" w:rsidRPr="001A28D2" w:rsidRDefault="00331B26">
            <w:pPr>
              <w:autoSpaceDE w:val="0"/>
              <w:autoSpaceDN w:val="0"/>
              <w:adjustRightInd w:val="0"/>
              <w:jc w:val="right"/>
              <w:rPr>
                <w:rFonts w:eastAsiaTheme="minorHAnsi"/>
                <w:color w:val="000000"/>
                <w:lang w:eastAsia="en-US"/>
              </w:rPr>
            </w:pPr>
          </w:p>
        </w:tc>
        <w:tc>
          <w:tcPr>
            <w:tcW w:w="1134" w:type="dxa"/>
            <w:tcBorders>
              <w:top w:val="single" w:sz="6" w:space="0" w:color="auto"/>
              <w:left w:val="nil"/>
              <w:bottom w:val="nil"/>
              <w:right w:val="single" w:sz="6" w:space="0" w:color="auto"/>
            </w:tcBorders>
            <w:shd w:val="solid" w:color="FFFFFF" w:fill="auto"/>
          </w:tcPr>
          <w:p w14:paraId="16389CBC" w14:textId="77777777" w:rsidR="00331B26" w:rsidRPr="001A28D2" w:rsidRDefault="00331B26">
            <w:pPr>
              <w:autoSpaceDE w:val="0"/>
              <w:autoSpaceDN w:val="0"/>
              <w:adjustRightInd w:val="0"/>
              <w:jc w:val="right"/>
              <w:rPr>
                <w:rFonts w:eastAsiaTheme="minorHAnsi"/>
                <w:color w:val="000000"/>
                <w:lang w:eastAsia="en-US"/>
              </w:rPr>
            </w:pPr>
          </w:p>
        </w:tc>
      </w:tr>
      <w:tr w:rsidR="00331B26" w:rsidRPr="001A28D2" w14:paraId="23FB2EA6" w14:textId="77777777" w:rsidTr="00331B26">
        <w:trPr>
          <w:trHeight w:val="3170"/>
        </w:trPr>
        <w:tc>
          <w:tcPr>
            <w:tcW w:w="1023" w:type="dxa"/>
            <w:tcBorders>
              <w:top w:val="single" w:sz="6" w:space="0" w:color="auto"/>
              <w:left w:val="single" w:sz="6" w:space="0" w:color="auto"/>
              <w:bottom w:val="single" w:sz="6" w:space="0" w:color="auto"/>
              <w:right w:val="single" w:sz="6" w:space="0" w:color="auto"/>
            </w:tcBorders>
          </w:tcPr>
          <w:p w14:paraId="2B713FF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5.1.</w:t>
            </w:r>
          </w:p>
        </w:tc>
        <w:tc>
          <w:tcPr>
            <w:tcW w:w="3199" w:type="dxa"/>
            <w:tcBorders>
              <w:top w:val="single" w:sz="6" w:space="0" w:color="auto"/>
              <w:left w:val="single" w:sz="6" w:space="0" w:color="auto"/>
              <w:bottom w:val="single" w:sz="6" w:space="0" w:color="auto"/>
              <w:right w:val="single" w:sz="6" w:space="0" w:color="auto"/>
            </w:tcBorders>
            <w:shd w:val="solid" w:color="FFFFFF" w:fill="auto"/>
          </w:tcPr>
          <w:p w14:paraId="32AFB82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По централния бюджет за предотвратяване, овладяване и преодоляване на последиците от бедствия</w:t>
            </w:r>
          </w:p>
        </w:tc>
        <w:tc>
          <w:tcPr>
            <w:tcW w:w="1762" w:type="dxa"/>
            <w:tcBorders>
              <w:top w:val="single" w:sz="6" w:space="0" w:color="auto"/>
              <w:left w:val="single" w:sz="6" w:space="0" w:color="auto"/>
              <w:bottom w:val="single" w:sz="6" w:space="0" w:color="auto"/>
              <w:right w:val="nil"/>
            </w:tcBorders>
          </w:tcPr>
          <w:p w14:paraId="1A39813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70 000,0</w:t>
            </w:r>
          </w:p>
        </w:tc>
        <w:tc>
          <w:tcPr>
            <w:tcW w:w="3827" w:type="dxa"/>
            <w:gridSpan w:val="3"/>
            <w:tcBorders>
              <w:top w:val="single" w:sz="6" w:space="0" w:color="auto"/>
              <w:left w:val="single" w:sz="6" w:space="0" w:color="auto"/>
              <w:bottom w:val="single" w:sz="6" w:space="0" w:color="auto"/>
              <w:right w:val="single" w:sz="6" w:space="0" w:color="auto"/>
            </w:tcBorders>
            <w:shd w:val="solid" w:color="FFFFFF" w:fill="auto"/>
          </w:tcPr>
          <w:p w14:paraId="2B1E35C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Одобрените разходи по държавния бюджет за 2016 г. за сметка на резерва за предотвратяване, овладяване и преодоляване на последиците от бедствия са в размер на 56 940,9 хил. лв. и изразходваните средства са отчетени по съответните разходни параграфи от ЕБК по бюджетите на министерствата и ведомствата. По бюджетите на общините като целеви трансфери са предоставени средства в размер на 13 055,8 хил. лв.</w:t>
            </w:r>
          </w:p>
        </w:tc>
      </w:tr>
      <w:tr w:rsidR="00331B26" w:rsidRPr="001A28D2" w14:paraId="6FF0754E" w14:textId="77777777" w:rsidTr="00331B26">
        <w:trPr>
          <w:trHeight w:val="2110"/>
        </w:trPr>
        <w:tc>
          <w:tcPr>
            <w:tcW w:w="1023" w:type="dxa"/>
            <w:tcBorders>
              <w:top w:val="single" w:sz="6" w:space="0" w:color="auto"/>
              <w:left w:val="single" w:sz="6" w:space="0" w:color="auto"/>
              <w:bottom w:val="single" w:sz="6" w:space="0" w:color="auto"/>
              <w:right w:val="single" w:sz="6" w:space="0" w:color="auto"/>
            </w:tcBorders>
          </w:tcPr>
          <w:p w14:paraId="7639653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lastRenderedPageBreak/>
              <w:t>5.2.</w:t>
            </w:r>
          </w:p>
        </w:tc>
        <w:tc>
          <w:tcPr>
            <w:tcW w:w="3199" w:type="dxa"/>
            <w:tcBorders>
              <w:top w:val="single" w:sz="6" w:space="0" w:color="auto"/>
              <w:left w:val="single" w:sz="6" w:space="0" w:color="auto"/>
              <w:bottom w:val="single" w:sz="6" w:space="0" w:color="auto"/>
              <w:right w:val="single" w:sz="6" w:space="0" w:color="auto"/>
            </w:tcBorders>
            <w:shd w:val="solid" w:color="FFFFFF" w:fill="auto"/>
          </w:tcPr>
          <w:p w14:paraId="12EC5FF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По бюджета на съдебната власт</w:t>
            </w:r>
          </w:p>
        </w:tc>
        <w:tc>
          <w:tcPr>
            <w:tcW w:w="1762" w:type="dxa"/>
            <w:tcBorders>
              <w:top w:val="single" w:sz="6" w:space="0" w:color="auto"/>
              <w:left w:val="single" w:sz="6" w:space="0" w:color="auto"/>
              <w:bottom w:val="single" w:sz="6" w:space="0" w:color="auto"/>
              <w:right w:val="single" w:sz="6" w:space="0" w:color="auto"/>
            </w:tcBorders>
          </w:tcPr>
          <w:p w14:paraId="112B86E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600,0</w:t>
            </w:r>
          </w:p>
        </w:tc>
        <w:tc>
          <w:tcPr>
            <w:tcW w:w="3827" w:type="dxa"/>
            <w:gridSpan w:val="3"/>
            <w:tcBorders>
              <w:top w:val="nil"/>
              <w:left w:val="single" w:sz="6" w:space="0" w:color="auto"/>
              <w:bottom w:val="single" w:sz="6" w:space="0" w:color="auto"/>
              <w:right w:val="single" w:sz="6" w:space="0" w:color="auto"/>
            </w:tcBorders>
            <w:shd w:val="solid" w:color="FFFFFF" w:fill="auto"/>
          </w:tcPr>
          <w:p w14:paraId="4DE296B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По бюджета на съдебната власт за сметка на резерва за непредвидени и/или неотложни разходи в размер на 600,0 хил. лв. са одобрени разходи по бюджета на съдебната власт и изразходваните средства са отчетени по съответните разходни параграфи от ЕБК по бюджета на съдебната власт.</w:t>
            </w:r>
          </w:p>
        </w:tc>
      </w:tr>
      <w:tr w:rsidR="00331B26" w:rsidRPr="001A28D2" w14:paraId="4A5B91DD"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76D12CA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5.3.</w:t>
            </w:r>
          </w:p>
        </w:tc>
        <w:tc>
          <w:tcPr>
            <w:tcW w:w="3199" w:type="dxa"/>
            <w:tcBorders>
              <w:top w:val="single" w:sz="6" w:space="0" w:color="auto"/>
              <w:left w:val="single" w:sz="6" w:space="0" w:color="auto"/>
              <w:bottom w:val="single" w:sz="6" w:space="0" w:color="auto"/>
              <w:right w:val="single" w:sz="6" w:space="0" w:color="auto"/>
            </w:tcBorders>
            <w:shd w:val="solid" w:color="FFFFFF" w:fill="auto"/>
          </w:tcPr>
          <w:p w14:paraId="51AB755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По бюджета на Народното събрание</w:t>
            </w:r>
          </w:p>
        </w:tc>
        <w:tc>
          <w:tcPr>
            <w:tcW w:w="1762" w:type="dxa"/>
            <w:tcBorders>
              <w:top w:val="single" w:sz="6" w:space="0" w:color="auto"/>
              <w:left w:val="single" w:sz="6" w:space="0" w:color="auto"/>
              <w:bottom w:val="single" w:sz="6" w:space="0" w:color="auto"/>
              <w:right w:val="single" w:sz="6" w:space="0" w:color="auto"/>
            </w:tcBorders>
          </w:tcPr>
          <w:p w14:paraId="39C2312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9E459C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7854A1A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CB2BC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6C6A7CAD" w14:textId="77777777" w:rsidTr="00331B26">
        <w:trPr>
          <w:trHeight w:val="1279"/>
        </w:trPr>
        <w:tc>
          <w:tcPr>
            <w:tcW w:w="1023" w:type="dxa"/>
            <w:tcBorders>
              <w:top w:val="single" w:sz="6" w:space="0" w:color="auto"/>
              <w:left w:val="single" w:sz="6" w:space="0" w:color="auto"/>
              <w:bottom w:val="single" w:sz="6" w:space="0" w:color="auto"/>
              <w:right w:val="single" w:sz="6" w:space="0" w:color="auto"/>
            </w:tcBorders>
            <w:shd w:val="solid" w:color="CCCCFF" w:fill="auto"/>
          </w:tcPr>
          <w:p w14:paraId="35F7AEF1"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IІI.</w:t>
            </w:r>
          </w:p>
        </w:tc>
        <w:tc>
          <w:tcPr>
            <w:tcW w:w="3199" w:type="dxa"/>
            <w:tcBorders>
              <w:top w:val="single" w:sz="6" w:space="0" w:color="auto"/>
              <w:left w:val="single" w:sz="6" w:space="0" w:color="auto"/>
              <w:bottom w:val="single" w:sz="6" w:space="0" w:color="auto"/>
              <w:right w:val="single" w:sz="6" w:space="0" w:color="auto"/>
            </w:tcBorders>
            <w:shd w:val="solid" w:color="CCCCFF" w:fill="auto"/>
          </w:tcPr>
          <w:p w14:paraId="79FF1D5A"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БЮДЖЕТНИ ВЗАИМООТНОШЕНИЯ (ТРАНСФЕРИ, ВРЕМЕННИ БЕЗЛИХВЕНИ ЗАЕМИ), НЕТО (т. 1 -2+3)</w:t>
            </w:r>
          </w:p>
        </w:tc>
        <w:tc>
          <w:tcPr>
            <w:tcW w:w="1762" w:type="dxa"/>
            <w:tcBorders>
              <w:top w:val="single" w:sz="6" w:space="0" w:color="auto"/>
              <w:left w:val="single" w:sz="6" w:space="0" w:color="auto"/>
              <w:bottom w:val="single" w:sz="6" w:space="0" w:color="auto"/>
              <w:right w:val="single" w:sz="6" w:space="0" w:color="auto"/>
            </w:tcBorders>
            <w:shd w:val="solid" w:color="CCCCFF" w:fill="auto"/>
          </w:tcPr>
          <w:p w14:paraId="4B1602AD"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10 455 193,2</w:t>
            </w:r>
          </w:p>
        </w:tc>
        <w:tc>
          <w:tcPr>
            <w:tcW w:w="1417" w:type="dxa"/>
            <w:tcBorders>
              <w:top w:val="single" w:sz="6" w:space="0" w:color="auto"/>
              <w:left w:val="single" w:sz="6" w:space="0" w:color="auto"/>
              <w:bottom w:val="single" w:sz="6" w:space="0" w:color="auto"/>
              <w:right w:val="single" w:sz="6" w:space="0" w:color="auto"/>
            </w:tcBorders>
            <w:shd w:val="solid" w:color="CCCCFF" w:fill="auto"/>
          </w:tcPr>
          <w:p w14:paraId="26717FCA"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10 822 498,4</w:t>
            </w:r>
          </w:p>
        </w:tc>
        <w:tc>
          <w:tcPr>
            <w:tcW w:w="1276" w:type="dxa"/>
            <w:tcBorders>
              <w:top w:val="single" w:sz="6" w:space="0" w:color="auto"/>
              <w:left w:val="single" w:sz="6" w:space="0" w:color="auto"/>
              <w:bottom w:val="single" w:sz="6" w:space="0" w:color="auto"/>
              <w:right w:val="single" w:sz="6" w:space="0" w:color="auto"/>
            </w:tcBorders>
            <w:shd w:val="solid" w:color="CCCCFF" w:fill="auto"/>
          </w:tcPr>
          <w:p w14:paraId="6B403329"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367 305,2</w:t>
            </w:r>
          </w:p>
        </w:tc>
        <w:tc>
          <w:tcPr>
            <w:tcW w:w="1134" w:type="dxa"/>
            <w:tcBorders>
              <w:top w:val="single" w:sz="6" w:space="0" w:color="auto"/>
              <w:left w:val="single" w:sz="6" w:space="0" w:color="auto"/>
              <w:bottom w:val="single" w:sz="6" w:space="0" w:color="auto"/>
              <w:right w:val="single" w:sz="6" w:space="0" w:color="auto"/>
            </w:tcBorders>
            <w:shd w:val="solid" w:color="CCCCFF" w:fill="auto"/>
          </w:tcPr>
          <w:p w14:paraId="18F79060"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103,5%</w:t>
            </w:r>
          </w:p>
        </w:tc>
      </w:tr>
      <w:tr w:rsidR="00331B26" w:rsidRPr="001A28D2" w14:paraId="5FD555DD"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4C3DF5D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w:t>
            </w:r>
          </w:p>
        </w:tc>
        <w:tc>
          <w:tcPr>
            <w:tcW w:w="3199" w:type="dxa"/>
            <w:tcBorders>
              <w:top w:val="single" w:sz="6" w:space="0" w:color="auto"/>
              <w:left w:val="single" w:sz="6" w:space="0" w:color="auto"/>
              <w:bottom w:val="single" w:sz="6" w:space="0" w:color="auto"/>
              <w:right w:val="single" w:sz="6" w:space="0" w:color="auto"/>
            </w:tcBorders>
          </w:tcPr>
          <w:p w14:paraId="000C9EF6"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 Предоставени трансфери за:</w:t>
            </w:r>
          </w:p>
        </w:tc>
        <w:tc>
          <w:tcPr>
            <w:tcW w:w="1762" w:type="dxa"/>
            <w:tcBorders>
              <w:top w:val="single" w:sz="6" w:space="0" w:color="auto"/>
              <w:left w:val="single" w:sz="6" w:space="0" w:color="auto"/>
              <w:bottom w:val="single" w:sz="6" w:space="0" w:color="auto"/>
              <w:right w:val="single" w:sz="6" w:space="0" w:color="auto"/>
            </w:tcBorders>
          </w:tcPr>
          <w:p w14:paraId="7F3AE7C7"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10 526 027,2</w:t>
            </w:r>
          </w:p>
        </w:tc>
        <w:tc>
          <w:tcPr>
            <w:tcW w:w="1417" w:type="dxa"/>
            <w:tcBorders>
              <w:top w:val="single" w:sz="6" w:space="0" w:color="auto"/>
              <w:left w:val="single" w:sz="6" w:space="0" w:color="auto"/>
              <w:bottom w:val="single" w:sz="6" w:space="0" w:color="auto"/>
              <w:right w:val="single" w:sz="6" w:space="0" w:color="auto"/>
            </w:tcBorders>
          </w:tcPr>
          <w:p w14:paraId="11DAC824"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11 222 266,0</w:t>
            </w:r>
          </w:p>
        </w:tc>
        <w:tc>
          <w:tcPr>
            <w:tcW w:w="1276" w:type="dxa"/>
            <w:tcBorders>
              <w:top w:val="single" w:sz="6" w:space="0" w:color="auto"/>
              <w:left w:val="single" w:sz="6" w:space="0" w:color="auto"/>
              <w:bottom w:val="single" w:sz="6" w:space="0" w:color="auto"/>
              <w:right w:val="single" w:sz="6" w:space="0" w:color="auto"/>
            </w:tcBorders>
          </w:tcPr>
          <w:p w14:paraId="113CBE29"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696 238,8</w:t>
            </w:r>
          </w:p>
        </w:tc>
        <w:tc>
          <w:tcPr>
            <w:tcW w:w="1134" w:type="dxa"/>
            <w:tcBorders>
              <w:top w:val="single" w:sz="6" w:space="0" w:color="auto"/>
              <w:left w:val="single" w:sz="6" w:space="0" w:color="auto"/>
              <w:bottom w:val="single" w:sz="6" w:space="0" w:color="auto"/>
              <w:right w:val="single" w:sz="6" w:space="0" w:color="auto"/>
            </w:tcBorders>
          </w:tcPr>
          <w:p w14:paraId="6257DD65"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106,6%</w:t>
            </w:r>
          </w:p>
        </w:tc>
      </w:tr>
      <w:tr w:rsidR="00331B26" w:rsidRPr="001A28D2" w14:paraId="04D5BB35"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164BE7E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w:t>
            </w:r>
            <w:proofErr w:type="spellStart"/>
            <w:r w:rsidRPr="001A28D2">
              <w:rPr>
                <w:rFonts w:eastAsiaTheme="minorHAnsi"/>
                <w:color w:val="000000"/>
                <w:lang w:eastAsia="en-US"/>
              </w:rPr>
              <w:t>1</w:t>
            </w:r>
            <w:proofErr w:type="spellEnd"/>
            <w:r w:rsidRPr="001A28D2">
              <w:rPr>
                <w:rFonts w:eastAsiaTheme="minorHAnsi"/>
                <w:color w:val="000000"/>
                <w:lang w:eastAsia="en-US"/>
              </w:rPr>
              <w:t>.</w:t>
            </w:r>
          </w:p>
        </w:tc>
        <w:tc>
          <w:tcPr>
            <w:tcW w:w="3199" w:type="dxa"/>
            <w:tcBorders>
              <w:top w:val="single" w:sz="6" w:space="0" w:color="auto"/>
              <w:left w:val="nil"/>
              <w:bottom w:val="single" w:sz="6" w:space="0" w:color="auto"/>
              <w:right w:val="nil"/>
            </w:tcBorders>
          </w:tcPr>
          <w:p w14:paraId="790BB8D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Общините</w:t>
            </w:r>
          </w:p>
        </w:tc>
        <w:tc>
          <w:tcPr>
            <w:tcW w:w="1762" w:type="dxa"/>
            <w:tcBorders>
              <w:top w:val="single" w:sz="6" w:space="0" w:color="auto"/>
              <w:left w:val="single" w:sz="6" w:space="0" w:color="auto"/>
              <w:bottom w:val="single" w:sz="6" w:space="0" w:color="auto"/>
              <w:right w:val="single" w:sz="6" w:space="0" w:color="auto"/>
            </w:tcBorders>
          </w:tcPr>
          <w:p w14:paraId="51BE237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2 662 137,0</w:t>
            </w:r>
          </w:p>
        </w:tc>
        <w:tc>
          <w:tcPr>
            <w:tcW w:w="1417" w:type="dxa"/>
            <w:tcBorders>
              <w:top w:val="single" w:sz="6" w:space="0" w:color="auto"/>
              <w:left w:val="single" w:sz="6" w:space="0" w:color="auto"/>
              <w:bottom w:val="single" w:sz="6" w:space="0" w:color="auto"/>
              <w:right w:val="single" w:sz="6" w:space="0" w:color="auto"/>
            </w:tcBorders>
          </w:tcPr>
          <w:p w14:paraId="0663315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3 219 844,2</w:t>
            </w:r>
          </w:p>
        </w:tc>
        <w:tc>
          <w:tcPr>
            <w:tcW w:w="1276" w:type="dxa"/>
            <w:tcBorders>
              <w:top w:val="single" w:sz="6" w:space="0" w:color="auto"/>
              <w:left w:val="single" w:sz="6" w:space="0" w:color="auto"/>
              <w:bottom w:val="single" w:sz="6" w:space="0" w:color="auto"/>
              <w:right w:val="single" w:sz="6" w:space="0" w:color="auto"/>
            </w:tcBorders>
          </w:tcPr>
          <w:p w14:paraId="2667ED4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557 707,2</w:t>
            </w:r>
          </w:p>
        </w:tc>
        <w:tc>
          <w:tcPr>
            <w:tcW w:w="1134" w:type="dxa"/>
            <w:tcBorders>
              <w:top w:val="single" w:sz="6" w:space="0" w:color="auto"/>
              <w:left w:val="single" w:sz="6" w:space="0" w:color="auto"/>
              <w:bottom w:val="single" w:sz="6" w:space="0" w:color="auto"/>
              <w:right w:val="single" w:sz="6" w:space="0" w:color="auto"/>
            </w:tcBorders>
          </w:tcPr>
          <w:p w14:paraId="7C05C7F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120,9%</w:t>
            </w:r>
          </w:p>
        </w:tc>
      </w:tr>
      <w:tr w:rsidR="00331B26" w:rsidRPr="001A28D2" w14:paraId="00C67A0D"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167B9D9F" w14:textId="77777777" w:rsidR="00331B26" w:rsidRPr="001A28D2" w:rsidRDefault="00331B26">
            <w:pPr>
              <w:autoSpaceDE w:val="0"/>
              <w:autoSpaceDN w:val="0"/>
              <w:adjustRightInd w:val="0"/>
              <w:rPr>
                <w:rFonts w:eastAsiaTheme="minorHAnsi"/>
                <w:color w:val="000000"/>
                <w:lang w:eastAsia="en-US"/>
              </w:rPr>
            </w:pPr>
          </w:p>
        </w:tc>
        <w:tc>
          <w:tcPr>
            <w:tcW w:w="3199" w:type="dxa"/>
            <w:tcBorders>
              <w:top w:val="single" w:sz="6" w:space="0" w:color="auto"/>
              <w:left w:val="nil"/>
              <w:bottom w:val="single" w:sz="6" w:space="0" w:color="auto"/>
              <w:right w:val="nil"/>
            </w:tcBorders>
          </w:tcPr>
          <w:p w14:paraId="1F5AAD89"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от тях:</w:t>
            </w:r>
          </w:p>
        </w:tc>
        <w:tc>
          <w:tcPr>
            <w:tcW w:w="1762" w:type="dxa"/>
            <w:tcBorders>
              <w:top w:val="single" w:sz="6" w:space="0" w:color="auto"/>
              <w:left w:val="single" w:sz="6" w:space="0" w:color="auto"/>
              <w:bottom w:val="single" w:sz="6" w:space="0" w:color="auto"/>
              <w:right w:val="single" w:sz="6" w:space="0" w:color="auto"/>
            </w:tcBorders>
          </w:tcPr>
          <w:p w14:paraId="74C03343" w14:textId="77777777" w:rsidR="00331B26" w:rsidRPr="001A28D2" w:rsidRDefault="00331B26">
            <w:pPr>
              <w:autoSpaceDE w:val="0"/>
              <w:autoSpaceDN w:val="0"/>
              <w:adjustRightInd w:val="0"/>
              <w:jc w:val="right"/>
              <w:rPr>
                <w:rFonts w:eastAsiaTheme="minorHAnsi"/>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0C7B9105" w14:textId="77777777" w:rsidR="00331B26" w:rsidRPr="001A28D2" w:rsidRDefault="00331B26">
            <w:pPr>
              <w:autoSpaceDE w:val="0"/>
              <w:autoSpaceDN w:val="0"/>
              <w:adjustRightInd w:val="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14:paraId="7B773412" w14:textId="77777777" w:rsidR="00331B26" w:rsidRPr="001A28D2" w:rsidRDefault="00331B26">
            <w:pPr>
              <w:autoSpaceDE w:val="0"/>
              <w:autoSpaceDN w:val="0"/>
              <w:adjustRightInd w:val="0"/>
              <w:jc w:val="right"/>
              <w:rPr>
                <w:rFonts w:eastAsiaTheme="minorHAnsi"/>
                <w:color w:val="000000"/>
                <w:lang w:eastAsia="en-US"/>
              </w:rPr>
            </w:pPr>
          </w:p>
        </w:tc>
        <w:tc>
          <w:tcPr>
            <w:tcW w:w="1134" w:type="dxa"/>
            <w:tcBorders>
              <w:top w:val="single" w:sz="6" w:space="0" w:color="auto"/>
              <w:left w:val="single" w:sz="6" w:space="0" w:color="auto"/>
              <w:bottom w:val="single" w:sz="6" w:space="0" w:color="auto"/>
              <w:right w:val="single" w:sz="6" w:space="0" w:color="auto"/>
            </w:tcBorders>
          </w:tcPr>
          <w:p w14:paraId="27158CC7" w14:textId="77777777" w:rsidR="00331B26" w:rsidRPr="001A28D2" w:rsidRDefault="00331B26">
            <w:pPr>
              <w:autoSpaceDE w:val="0"/>
              <w:autoSpaceDN w:val="0"/>
              <w:adjustRightInd w:val="0"/>
              <w:jc w:val="right"/>
              <w:rPr>
                <w:rFonts w:eastAsiaTheme="minorHAnsi"/>
                <w:color w:val="000000"/>
                <w:lang w:eastAsia="en-US"/>
              </w:rPr>
            </w:pPr>
          </w:p>
        </w:tc>
      </w:tr>
      <w:tr w:rsidR="00331B26" w:rsidRPr="001A28D2" w14:paraId="07D9901D"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5944EA5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w:t>
            </w:r>
            <w:proofErr w:type="spellStart"/>
            <w:r w:rsidRPr="001A28D2">
              <w:rPr>
                <w:rFonts w:eastAsiaTheme="minorHAnsi"/>
                <w:color w:val="000000"/>
                <w:lang w:eastAsia="en-US"/>
              </w:rPr>
              <w:t>1</w:t>
            </w:r>
            <w:proofErr w:type="spellEnd"/>
            <w:r w:rsidRPr="001A28D2">
              <w:rPr>
                <w:rFonts w:eastAsiaTheme="minorHAnsi"/>
                <w:color w:val="000000"/>
                <w:lang w:eastAsia="en-US"/>
              </w:rPr>
              <w:t>.1.</w:t>
            </w:r>
          </w:p>
        </w:tc>
        <w:tc>
          <w:tcPr>
            <w:tcW w:w="3199" w:type="dxa"/>
            <w:tcBorders>
              <w:top w:val="single" w:sz="6" w:space="0" w:color="auto"/>
              <w:left w:val="nil"/>
              <w:bottom w:val="single" w:sz="6" w:space="0" w:color="auto"/>
              <w:right w:val="nil"/>
            </w:tcBorders>
          </w:tcPr>
          <w:p w14:paraId="43DEC62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централния бюджет</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5463999B"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0C08C34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3 065 461,1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7391B57"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DAC58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0964D4B9"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407A4C93" w14:textId="77777777" w:rsidR="00331B26" w:rsidRPr="001A28D2" w:rsidRDefault="00331B26">
            <w:pPr>
              <w:autoSpaceDE w:val="0"/>
              <w:autoSpaceDN w:val="0"/>
              <w:adjustRightInd w:val="0"/>
              <w:rPr>
                <w:rFonts w:eastAsiaTheme="minorHAnsi"/>
                <w:color w:val="000000"/>
                <w:lang w:eastAsia="en-US"/>
              </w:rPr>
            </w:pPr>
          </w:p>
        </w:tc>
        <w:tc>
          <w:tcPr>
            <w:tcW w:w="3199" w:type="dxa"/>
            <w:tcBorders>
              <w:top w:val="single" w:sz="6" w:space="0" w:color="auto"/>
              <w:left w:val="nil"/>
              <w:bottom w:val="single" w:sz="6" w:space="0" w:color="auto"/>
              <w:right w:val="nil"/>
            </w:tcBorders>
          </w:tcPr>
          <w:p w14:paraId="2ED88B6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в т.ч.:</w:t>
            </w:r>
          </w:p>
        </w:tc>
        <w:tc>
          <w:tcPr>
            <w:tcW w:w="1762" w:type="dxa"/>
            <w:tcBorders>
              <w:top w:val="single" w:sz="6" w:space="0" w:color="auto"/>
              <w:left w:val="single" w:sz="6" w:space="0" w:color="auto"/>
              <w:bottom w:val="single" w:sz="6" w:space="0" w:color="auto"/>
              <w:right w:val="single" w:sz="6" w:space="0" w:color="auto"/>
            </w:tcBorders>
          </w:tcPr>
          <w:p w14:paraId="4468CCC1" w14:textId="77777777" w:rsidR="00331B26" w:rsidRPr="001A28D2" w:rsidRDefault="00331B26">
            <w:pPr>
              <w:autoSpaceDE w:val="0"/>
              <w:autoSpaceDN w:val="0"/>
              <w:adjustRightInd w:val="0"/>
              <w:jc w:val="right"/>
              <w:rPr>
                <w:rFonts w:eastAsiaTheme="minorHAnsi"/>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14:paraId="0383D5E5" w14:textId="77777777" w:rsidR="00331B26" w:rsidRPr="001A28D2" w:rsidRDefault="00331B26">
            <w:pPr>
              <w:autoSpaceDE w:val="0"/>
              <w:autoSpaceDN w:val="0"/>
              <w:adjustRightInd w:val="0"/>
              <w:jc w:val="right"/>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14:paraId="73B15422" w14:textId="77777777" w:rsidR="00331B26" w:rsidRPr="001A28D2" w:rsidRDefault="00331B26">
            <w:pPr>
              <w:autoSpaceDE w:val="0"/>
              <w:autoSpaceDN w:val="0"/>
              <w:adjustRightInd w:val="0"/>
              <w:jc w:val="right"/>
              <w:rPr>
                <w:rFonts w:eastAsiaTheme="minorHAnsi"/>
                <w:color w:val="000000"/>
                <w:lang w:eastAsia="en-US"/>
              </w:rPr>
            </w:pPr>
          </w:p>
        </w:tc>
        <w:tc>
          <w:tcPr>
            <w:tcW w:w="1134" w:type="dxa"/>
            <w:tcBorders>
              <w:top w:val="single" w:sz="6" w:space="0" w:color="auto"/>
              <w:left w:val="single" w:sz="6" w:space="0" w:color="auto"/>
              <w:bottom w:val="single" w:sz="6" w:space="0" w:color="auto"/>
              <w:right w:val="single" w:sz="6" w:space="0" w:color="auto"/>
            </w:tcBorders>
          </w:tcPr>
          <w:p w14:paraId="74F5810D" w14:textId="77777777" w:rsidR="00331B26" w:rsidRPr="001A28D2" w:rsidRDefault="00331B26">
            <w:pPr>
              <w:autoSpaceDE w:val="0"/>
              <w:autoSpaceDN w:val="0"/>
              <w:adjustRightInd w:val="0"/>
              <w:jc w:val="right"/>
              <w:rPr>
                <w:rFonts w:eastAsiaTheme="minorHAnsi"/>
                <w:color w:val="000000"/>
                <w:lang w:eastAsia="en-US"/>
              </w:rPr>
            </w:pPr>
          </w:p>
        </w:tc>
      </w:tr>
      <w:tr w:rsidR="00331B26" w:rsidRPr="001A28D2" w14:paraId="766D5905" w14:textId="77777777" w:rsidTr="00E74D84">
        <w:trPr>
          <w:trHeight w:val="269"/>
        </w:trPr>
        <w:tc>
          <w:tcPr>
            <w:tcW w:w="1023" w:type="dxa"/>
            <w:tcBorders>
              <w:top w:val="single" w:sz="6" w:space="0" w:color="auto"/>
              <w:left w:val="single" w:sz="6" w:space="0" w:color="auto"/>
              <w:bottom w:val="single" w:sz="6" w:space="0" w:color="auto"/>
              <w:right w:val="single" w:sz="6" w:space="0" w:color="auto"/>
            </w:tcBorders>
          </w:tcPr>
          <w:p w14:paraId="7C418090" w14:textId="77777777" w:rsidR="00331B26" w:rsidRPr="001A28D2" w:rsidRDefault="00331B26">
            <w:pPr>
              <w:autoSpaceDE w:val="0"/>
              <w:autoSpaceDN w:val="0"/>
              <w:adjustRightInd w:val="0"/>
              <w:rPr>
                <w:rFonts w:eastAsiaTheme="minorHAnsi"/>
                <w:color w:val="000000"/>
                <w:lang w:eastAsia="en-US"/>
              </w:rPr>
            </w:pPr>
          </w:p>
        </w:tc>
        <w:tc>
          <w:tcPr>
            <w:tcW w:w="3199" w:type="dxa"/>
            <w:tcBorders>
              <w:top w:val="single" w:sz="6" w:space="0" w:color="auto"/>
              <w:left w:val="nil"/>
              <w:bottom w:val="single" w:sz="6" w:space="0" w:color="auto"/>
              <w:right w:val="nil"/>
            </w:tcBorders>
          </w:tcPr>
          <w:p w14:paraId="77EE1FD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-за сметка на резерва за непредвидени и /или неотложни разходи по чл. 1, ал. 2, т. 5.1 от ЗДБРБ за 2016 г., в частта за предотвратяване, овладяване и преодоляване на последиците от бедствия</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0547EA40"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32F251D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13 055,8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539C47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4323D7A"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77533872"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5BFCFDA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w:t>
            </w:r>
            <w:proofErr w:type="spellStart"/>
            <w:r w:rsidRPr="001A28D2">
              <w:rPr>
                <w:rFonts w:eastAsiaTheme="minorHAnsi"/>
                <w:color w:val="000000"/>
                <w:lang w:eastAsia="en-US"/>
              </w:rPr>
              <w:t>1</w:t>
            </w:r>
            <w:proofErr w:type="spellEnd"/>
            <w:r w:rsidRPr="001A28D2">
              <w:rPr>
                <w:rFonts w:eastAsiaTheme="minorHAnsi"/>
                <w:color w:val="000000"/>
                <w:lang w:eastAsia="en-US"/>
              </w:rPr>
              <w:t>.2.</w:t>
            </w:r>
          </w:p>
        </w:tc>
        <w:tc>
          <w:tcPr>
            <w:tcW w:w="3199" w:type="dxa"/>
            <w:tcBorders>
              <w:top w:val="single" w:sz="6" w:space="0" w:color="auto"/>
              <w:left w:val="nil"/>
              <w:bottom w:val="single" w:sz="6" w:space="0" w:color="auto"/>
              <w:right w:val="nil"/>
            </w:tcBorders>
          </w:tcPr>
          <w:p w14:paraId="139B5AE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-от министерства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49FB90C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52EE375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154 383,1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7CD4FD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7D6332"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099EE88B"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4EA971F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1.2.</w:t>
            </w:r>
          </w:p>
        </w:tc>
        <w:tc>
          <w:tcPr>
            <w:tcW w:w="3199" w:type="dxa"/>
            <w:tcBorders>
              <w:top w:val="single" w:sz="6" w:space="0" w:color="auto"/>
              <w:left w:val="nil"/>
              <w:bottom w:val="single" w:sz="6" w:space="0" w:color="auto"/>
              <w:right w:val="nil"/>
            </w:tcBorders>
          </w:tcPr>
          <w:p w14:paraId="5585D0A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Държавното обществено осигуряване</w:t>
            </w:r>
          </w:p>
        </w:tc>
        <w:tc>
          <w:tcPr>
            <w:tcW w:w="1762" w:type="dxa"/>
            <w:tcBorders>
              <w:top w:val="single" w:sz="6" w:space="0" w:color="auto"/>
              <w:left w:val="single" w:sz="6" w:space="0" w:color="auto"/>
              <w:bottom w:val="single" w:sz="6" w:space="0" w:color="auto"/>
              <w:right w:val="single" w:sz="6" w:space="0" w:color="auto"/>
            </w:tcBorders>
          </w:tcPr>
          <w:p w14:paraId="09A2217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5 065 887,1</w:t>
            </w:r>
          </w:p>
        </w:tc>
        <w:tc>
          <w:tcPr>
            <w:tcW w:w="1417" w:type="dxa"/>
            <w:tcBorders>
              <w:top w:val="single" w:sz="6" w:space="0" w:color="auto"/>
              <w:left w:val="single" w:sz="6" w:space="0" w:color="auto"/>
              <w:bottom w:val="single" w:sz="6" w:space="0" w:color="auto"/>
              <w:right w:val="single" w:sz="6" w:space="0" w:color="auto"/>
            </w:tcBorders>
          </w:tcPr>
          <w:p w14:paraId="2BEA655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4 953 632,2</w:t>
            </w:r>
          </w:p>
        </w:tc>
        <w:tc>
          <w:tcPr>
            <w:tcW w:w="1276" w:type="dxa"/>
            <w:tcBorders>
              <w:top w:val="single" w:sz="6" w:space="0" w:color="auto"/>
              <w:left w:val="single" w:sz="6" w:space="0" w:color="auto"/>
              <w:bottom w:val="single" w:sz="6" w:space="0" w:color="auto"/>
              <w:right w:val="single" w:sz="6" w:space="0" w:color="auto"/>
            </w:tcBorders>
          </w:tcPr>
          <w:p w14:paraId="5A3E7A4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-112 254,9</w:t>
            </w:r>
          </w:p>
        </w:tc>
        <w:tc>
          <w:tcPr>
            <w:tcW w:w="1134" w:type="dxa"/>
            <w:tcBorders>
              <w:top w:val="single" w:sz="6" w:space="0" w:color="auto"/>
              <w:left w:val="single" w:sz="6" w:space="0" w:color="auto"/>
              <w:bottom w:val="single" w:sz="6" w:space="0" w:color="auto"/>
              <w:right w:val="single" w:sz="6" w:space="0" w:color="auto"/>
            </w:tcBorders>
          </w:tcPr>
          <w:p w14:paraId="29E6783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97,8%</w:t>
            </w:r>
          </w:p>
        </w:tc>
      </w:tr>
      <w:tr w:rsidR="00331B26" w:rsidRPr="001A28D2" w14:paraId="2002FD40"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304BDB1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1.3.</w:t>
            </w:r>
          </w:p>
        </w:tc>
        <w:tc>
          <w:tcPr>
            <w:tcW w:w="3199" w:type="dxa"/>
            <w:tcBorders>
              <w:top w:val="single" w:sz="6" w:space="0" w:color="auto"/>
              <w:left w:val="nil"/>
              <w:bottom w:val="single" w:sz="6" w:space="0" w:color="auto"/>
              <w:right w:val="nil"/>
            </w:tcBorders>
          </w:tcPr>
          <w:p w14:paraId="691FC1FD"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Националната здравноосигурителна каса</w:t>
            </w:r>
          </w:p>
        </w:tc>
        <w:tc>
          <w:tcPr>
            <w:tcW w:w="1762" w:type="dxa"/>
            <w:tcBorders>
              <w:top w:val="single" w:sz="6" w:space="0" w:color="auto"/>
              <w:left w:val="single" w:sz="6" w:space="0" w:color="auto"/>
              <w:bottom w:val="single" w:sz="6" w:space="0" w:color="auto"/>
              <w:right w:val="single" w:sz="6" w:space="0" w:color="auto"/>
            </w:tcBorders>
          </w:tcPr>
          <w:p w14:paraId="0261E43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1 069 199,0</w:t>
            </w:r>
          </w:p>
        </w:tc>
        <w:tc>
          <w:tcPr>
            <w:tcW w:w="1417" w:type="dxa"/>
            <w:tcBorders>
              <w:top w:val="single" w:sz="6" w:space="0" w:color="auto"/>
              <w:left w:val="single" w:sz="6" w:space="0" w:color="auto"/>
              <w:bottom w:val="single" w:sz="6" w:space="0" w:color="auto"/>
              <w:right w:val="single" w:sz="6" w:space="0" w:color="auto"/>
            </w:tcBorders>
          </w:tcPr>
          <w:p w14:paraId="007C317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1 069 732,1</w:t>
            </w:r>
          </w:p>
        </w:tc>
        <w:tc>
          <w:tcPr>
            <w:tcW w:w="1276" w:type="dxa"/>
            <w:tcBorders>
              <w:top w:val="single" w:sz="6" w:space="0" w:color="auto"/>
              <w:left w:val="single" w:sz="6" w:space="0" w:color="auto"/>
              <w:bottom w:val="single" w:sz="6" w:space="0" w:color="auto"/>
              <w:right w:val="single" w:sz="6" w:space="0" w:color="auto"/>
            </w:tcBorders>
          </w:tcPr>
          <w:p w14:paraId="3782CA9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533,1</w:t>
            </w:r>
          </w:p>
        </w:tc>
        <w:tc>
          <w:tcPr>
            <w:tcW w:w="1134" w:type="dxa"/>
            <w:tcBorders>
              <w:top w:val="single" w:sz="6" w:space="0" w:color="auto"/>
              <w:left w:val="single" w:sz="6" w:space="0" w:color="auto"/>
              <w:bottom w:val="single" w:sz="6" w:space="0" w:color="auto"/>
              <w:right w:val="single" w:sz="6" w:space="0" w:color="auto"/>
            </w:tcBorders>
          </w:tcPr>
          <w:p w14:paraId="2FA31FA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100,0%</w:t>
            </w:r>
          </w:p>
        </w:tc>
      </w:tr>
      <w:tr w:rsidR="00331B26" w:rsidRPr="001A28D2" w14:paraId="34499180" w14:textId="77777777" w:rsidTr="00331B26">
        <w:trPr>
          <w:trHeight w:val="257"/>
        </w:trPr>
        <w:tc>
          <w:tcPr>
            <w:tcW w:w="1023" w:type="dxa"/>
            <w:tcBorders>
              <w:top w:val="single" w:sz="6" w:space="0" w:color="auto"/>
              <w:left w:val="single" w:sz="6" w:space="0" w:color="auto"/>
              <w:bottom w:val="single" w:sz="6" w:space="0" w:color="auto"/>
              <w:right w:val="nil"/>
            </w:tcBorders>
          </w:tcPr>
          <w:p w14:paraId="2DBA4C14" w14:textId="77777777" w:rsidR="00331B26" w:rsidRPr="001A28D2" w:rsidRDefault="00331B26">
            <w:pPr>
              <w:autoSpaceDE w:val="0"/>
              <w:autoSpaceDN w:val="0"/>
              <w:adjustRightInd w:val="0"/>
              <w:rPr>
                <w:rFonts w:eastAsiaTheme="minorHAnsi"/>
                <w:color w:val="000000"/>
                <w:lang w:eastAsia="en-US"/>
              </w:rPr>
            </w:pPr>
          </w:p>
        </w:tc>
        <w:tc>
          <w:tcPr>
            <w:tcW w:w="3199" w:type="dxa"/>
            <w:tcBorders>
              <w:top w:val="single" w:sz="6" w:space="0" w:color="auto"/>
              <w:left w:val="nil"/>
              <w:bottom w:val="single" w:sz="6" w:space="0" w:color="auto"/>
              <w:right w:val="nil"/>
            </w:tcBorders>
          </w:tcPr>
          <w:p w14:paraId="5F056E3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в т.ч.</w:t>
            </w:r>
          </w:p>
        </w:tc>
        <w:tc>
          <w:tcPr>
            <w:tcW w:w="1762" w:type="dxa"/>
            <w:tcBorders>
              <w:top w:val="single" w:sz="6" w:space="0" w:color="auto"/>
              <w:left w:val="nil"/>
              <w:bottom w:val="single" w:sz="6" w:space="0" w:color="auto"/>
              <w:right w:val="nil"/>
            </w:tcBorders>
          </w:tcPr>
          <w:p w14:paraId="6E61EA60" w14:textId="77777777" w:rsidR="00331B26" w:rsidRPr="001A28D2" w:rsidRDefault="00331B26">
            <w:pPr>
              <w:autoSpaceDE w:val="0"/>
              <w:autoSpaceDN w:val="0"/>
              <w:adjustRightInd w:val="0"/>
              <w:jc w:val="right"/>
              <w:rPr>
                <w:rFonts w:eastAsiaTheme="minorHAnsi"/>
                <w:i/>
                <w:iCs/>
                <w:color w:val="000000"/>
                <w:lang w:eastAsia="en-US"/>
              </w:rPr>
            </w:pPr>
          </w:p>
        </w:tc>
        <w:tc>
          <w:tcPr>
            <w:tcW w:w="1417" w:type="dxa"/>
            <w:tcBorders>
              <w:top w:val="single" w:sz="6" w:space="0" w:color="auto"/>
              <w:left w:val="nil"/>
              <w:bottom w:val="single" w:sz="6" w:space="0" w:color="auto"/>
              <w:right w:val="nil"/>
            </w:tcBorders>
          </w:tcPr>
          <w:p w14:paraId="3D696022" w14:textId="77777777" w:rsidR="00331B26" w:rsidRPr="001A28D2" w:rsidRDefault="00331B26">
            <w:pPr>
              <w:autoSpaceDE w:val="0"/>
              <w:autoSpaceDN w:val="0"/>
              <w:adjustRightInd w:val="0"/>
              <w:jc w:val="right"/>
              <w:rPr>
                <w:rFonts w:ascii="Calibri" w:eastAsiaTheme="minorHAnsi" w:hAnsi="Calibri" w:cs="Calibri"/>
                <w:color w:val="000000"/>
                <w:lang w:eastAsia="en-US"/>
              </w:rPr>
            </w:pPr>
          </w:p>
        </w:tc>
        <w:tc>
          <w:tcPr>
            <w:tcW w:w="1276" w:type="dxa"/>
            <w:tcBorders>
              <w:top w:val="single" w:sz="6" w:space="0" w:color="auto"/>
              <w:left w:val="nil"/>
              <w:bottom w:val="single" w:sz="6" w:space="0" w:color="auto"/>
              <w:right w:val="nil"/>
            </w:tcBorders>
          </w:tcPr>
          <w:p w14:paraId="0E99CA8D" w14:textId="77777777" w:rsidR="00331B26" w:rsidRPr="001A28D2" w:rsidRDefault="00331B26">
            <w:pPr>
              <w:autoSpaceDE w:val="0"/>
              <w:autoSpaceDN w:val="0"/>
              <w:adjustRightInd w:val="0"/>
              <w:jc w:val="right"/>
              <w:rPr>
                <w:rFonts w:ascii="Calibri" w:eastAsiaTheme="minorHAnsi" w:hAnsi="Calibri" w:cs="Calibri"/>
                <w:color w:val="000000"/>
                <w:lang w:eastAsia="en-US"/>
              </w:rPr>
            </w:pPr>
          </w:p>
        </w:tc>
        <w:tc>
          <w:tcPr>
            <w:tcW w:w="1134" w:type="dxa"/>
            <w:tcBorders>
              <w:top w:val="single" w:sz="6" w:space="0" w:color="auto"/>
              <w:left w:val="nil"/>
              <w:bottom w:val="single" w:sz="6" w:space="0" w:color="auto"/>
              <w:right w:val="single" w:sz="6" w:space="0" w:color="auto"/>
            </w:tcBorders>
          </w:tcPr>
          <w:p w14:paraId="3CFC40AA" w14:textId="77777777" w:rsidR="00331B26" w:rsidRPr="001A28D2" w:rsidRDefault="00331B26">
            <w:pPr>
              <w:autoSpaceDE w:val="0"/>
              <w:autoSpaceDN w:val="0"/>
              <w:adjustRightInd w:val="0"/>
              <w:jc w:val="right"/>
              <w:rPr>
                <w:rFonts w:ascii="Calibri" w:eastAsiaTheme="minorHAnsi" w:hAnsi="Calibri" w:cs="Calibri"/>
                <w:color w:val="000000"/>
                <w:lang w:eastAsia="en-US"/>
              </w:rPr>
            </w:pPr>
          </w:p>
        </w:tc>
      </w:tr>
      <w:tr w:rsidR="00331B26" w:rsidRPr="001A28D2" w14:paraId="704E961B"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055FA9E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1.3.1.</w:t>
            </w:r>
          </w:p>
        </w:tc>
        <w:tc>
          <w:tcPr>
            <w:tcW w:w="3199" w:type="dxa"/>
            <w:tcBorders>
              <w:top w:val="single" w:sz="6" w:space="0" w:color="auto"/>
              <w:left w:val="nil"/>
              <w:bottom w:val="single" w:sz="6" w:space="0" w:color="auto"/>
              <w:right w:val="nil"/>
            </w:tcBorders>
          </w:tcPr>
          <w:p w14:paraId="4204D01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от Министерството на здравеопазването</w:t>
            </w:r>
          </w:p>
        </w:tc>
        <w:tc>
          <w:tcPr>
            <w:tcW w:w="1762" w:type="dxa"/>
            <w:tcBorders>
              <w:top w:val="single" w:sz="6" w:space="0" w:color="auto"/>
              <w:left w:val="single" w:sz="6" w:space="0" w:color="auto"/>
              <w:bottom w:val="single" w:sz="6" w:space="0" w:color="auto"/>
              <w:right w:val="single" w:sz="6" w:space="0" w:color="auto"/>
            </w:tcBorders>
          </w:tcPr>
          <w:p w14:paraId="4DAEDFE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24 000,0</w:t>
            </w:r>
          </w:p>
        </w:tc>
        <w:tc>
          <w:tcPr>
            <w:tcW w:w="1417" w:type="dxa"/>
            <w:tcBorders>
              <w:top w:val="single" w:sz="6" w:space="0" w:color="auto"/>
              <w:left w:val="single" w:sz="6" w:space="0" w:color="auto"/>
              <w:bottom w:val="single" w:sz="6" w:space="0" w:color="auto"/>
              <w:right w:val="single" w:sz="6" w:space="0" w:color="auto"/>
            </w:tcBorders>
          </w:tcPr>
          <w:p w14:paraId="48D0CF4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24 533,1</w:t>
            </w:r>
          </w:p>
        </w:tc>
        <w:tc>
          <w:tcPr>
            <w:tcW w:w="1276" w:type="dxa"/>
            <w:tcBorders>
              <w:top w:val="single" w:sz="6" w:space="0" w:color="auto"/>
              <w:left w:val="single" w:sz="6" w:space="0" w:color="auto"/>
              <w:bottom w:val="single" w:sz="6" w:space="0" w:color="auto"/>
              <w:right w:val="single" w:sz="6" w:space="0" w:color="auto"/>
            </w:tcBorders>
          </w:tcPr>
          <w:p w14:paraId="0DACA44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533,1</w:t>
            </w:r>
          </w:p>
        </w:tc>
        <w:tc>
          <w:tcPr>
            <w:tcW w:w="1134" w:type="dxa"/>
            <w:tcBorders>
              <w:top w:val="single" w:sz="6" w:space="0" w:color="auto"/>
              <w:left w:val="single" w:sz="6" w:space="0" w:color="auto"/>
              <w:bottom w:val="single" w:sz="6" w:space="0" w:color="auto"/>
              <w:right w:val="single" w:sz="6" w:space="0" w:color="auto"/>
            </w:tcBorders>
          </w:tcPr>
          <w:p w14:paraId="3326BDD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102,22%</w:t>
            </w:r>
          </w:p>
        </w:tc>
      </w:tr>
      <w:tr w:rsidR="00331B26" w:rsidRPr="001A28D2" w14:paraId="32823C3E"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11E18D5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1.4.</w:t>
            </w:r>
          </w:p>
        </w:tc>
        <w:tc>
          <w:tcPr>
            <w:tcW w:w="3199" w:type="dxa"/>
            <w:tcBorders>
              <w:top w:val="single" w:sz="6" w:space="0" w:color="auto"/>
              <w:left w:val="nil"/>
              <w:bottom w:val="single" w:sz="6" w:space="0" w:color="auto"/>
              <w:right w:val="nil"/>
            </w:tcBorders>
          </w:tcPr>
          <w:p w14:paraId="14F6E12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Българското национално радио</w:t>
            </w:r>
          </w:p>
        </w:tc>
        <w:tc>
          <w:tcPr>
            <w:tcW w:w="1762" w:type="dxa"/>
            <w:tcBorders>
              <w:top w:val="single" w:sz="6" w:space="0" w:color="auto"/>
              <w:left w:val="single" w:sz="6" w:space="0" w:color="auto"/>
              <w:bottom w:val="single" w:sz="6" w:space="0" w:color="auto"/>
              <w:right w:val="single" w:sz="6" w:space="0" w:color="auto"/>
            </w:tcBorders>
          </w:tcPr>
          <w:p w14:paraId="5E28334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42 112,0</w:t>
            </w:r>
          </w:p>
        </w:tc>
        <w:tc>
          <w:tcPr>
            <w:tcW w:w="1417" w:type="dxa"/>
            <w:tcBorders>
              <w:top w:val="single" w:sz="6" w:space="0" w:color="auto"/>
              <w:left w:val="single" w:sz="6" w:space="0" w:color="auto"/>
              <w:bottom w:val="single" w:sz="6" w:space="0" w:color="auto"/>
              <w:right w:val="single" w:sz="6" w:space="0" w:color="auto"/>
            </w:tcBorders>
          </w:tcPr>
          <w:p w14:paraId="4744787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42 309,5</w:t>
            </w:r>
          </w:p>
        </w:tc>
        <w:tc>
          <w:tcPr>
            <w:tcW w:w="1276" w:type="dxa"/>
            <w:tcBorders>
              <w:top w:val="single" w:sz="6" w:space="0" w:color="auto"/>
              <w:left w:val="single" w:sz="6" w:space="0" w:color="auto"/>
              <w:bottom w:val="single" w:sz="6" w:space="0" w:color="auto"/>
              <w:right w:val="single" w:sz="6" w:space="0" w:color="auto"/>
            </w:tcBorders>
          </w:tcPr>
          <w:p w14:paraId="28CE849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197,5</w:t>
            </w:r>
          </w:p>
        </w:tc>
        <w:tc>
          <w:tcPr>
            <w:tcW w:w="1134" w:type="dxa"/>
            <w:tcBorders>
              <w:top w:val="single" w:sz="6" w:space="0" w:color="auto"/>
              <w:left w:val="single" w:sz="6" w:space="0" w:color="auto"/>
              <w:bottom w:val="single" w:sz="6" w:space="0" w:color="auto"/>
              <w:right w:val="single" w:sz="6" w:space="0" w:color="auto"/>
            </w:tcBorders>
          </w:tcPr>
          <w:p w14:paraId="15C1450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100,5%</w:t>
            </w:r>
          </w:p>
        </w:tc>
      </w:tr>
      <w:tr w:rsidR="00331B26" w:rsidRPr="001A28D2" w14:paraId="72367AC6"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494DE56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1.5.</w:t>
            </w:r>
          </w:p>
        </w:tc>
        <w:tc>
          <w:tcPr>
            <w:tcW w:w="3199" w:type="dxa"/>
            <w:tcBorders>
              <w:top w:val="single" w:sz="6" w:space="0" w:color="auto"/>
              <w:left w:val="nil"/>
              <w:bottom w:val="single" w:sz="6" w:space="0" w:color="auto"/>
              <w:right w:val="nil"/>
            </w:tcBorders>
          </w:tcPr>
          <w:p w14:paraId="4C67445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Българската национална телевизия</w:t>
            </w:r>
          </w:p>
        </w:tc>
        <w:tc>
          <w:tcPr>
            <w:tcW w:w="1762" w:type="dxa"/>
            <w:tcBorders>
              <w:top w:val="single" w:sz="6" w:space="0" w:color="auto"/>
              <w:left w:val="single" w:sz="6" w:space="0" w:color="auto"/>
              <w:bottom w:val="single" w:sz="6" w:space="0" w:color="auto"/>
              <w:right w:val="single" w:sz="6" w:space="0" w:color="auto"/>
            </w:tcBorders>
          </w:tcPr>
          <w:p w14:paraId="30B58AD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65 147,0</w:t>
            </w:r>
          </w:p>
        </w:tc>
        <w:tc>
          <w:tcPr>
            <w:tcW w:w="1417" w:type="dxa"/>
            <w:tcBorders>
              <w:top w:val="single" w:sz="6" w:space="0" w:color="auto"/>
              <w:left w:val="single" w:sz="6" w:space="0" w:color="auto"/>
              <w:bottom w:val="single" w:sz="6" w:space="0" w:color="auto"/>
              <w:right w:val="single" w:sz="6" w:space="0" w:color="auto"/>
            </w:tcBorders>
          </w:tcPr>
          <w:p w14:paraId="3F9CD7D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65 647,0</w:t>
            </w:r>
          </w:p>
        </w:tc>
        <w:tc>
          <w:tcPr>
            <w:tcW w:w="1276" w:type="dxa"/>
            <w:tcBorders>
              <w:top w:val="single" w:sz="6" w:space="0" w:color="auto"/>
              <w:left w:val="single" w:sz="6" w:space="0" w:color="auto"/>
              <w:bottom w:val="single" w:sz="6" w:space="0" w:color="auto"/>
              <w:right w:val="single" w:sz="6" w:space="0" w:color="auto"/>
            </w:tcBorders>
          </w:tcPr>
          <w:p w14:paraId="7F1021B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500,0</w:t>
            </w:r>
          </w:p>
        </w:tc>
        <w:tc>
          <w:tcPr>
            <w:tcW w:w="1134" w:type="dxa"/>
            <w:tcBorders>
              <w:top w:val="single" w:sz="6" w:space="0" w:color="auto"/>
              <w:left w:val="single" w:sz="6" w:space="0" w:color="auto"/>
              <w:bottom w:val="single" w:sz="6" w:space="0" w:color="auto"/>
              <w:right w:val="single" w:sz="6" w:space="0" w:color="auto"/>
            </w:tcBorders>
          </w:tcPr>
          <w:p w14:paraId="28EB9EC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100,8%</w:t>
            </w:r>
          </w:p>
        </w:tc>
      </w:tr>
      <w:tr w:rsidR="00331B26" w:rsidRPr="001A28D2" w14:paraId="03293558" w14:textId="77777777" w:rsidTr="00331B26">
        <w:trPr>
          <w:trHeight w:val="365"/>
        </w:trPr>
        <w:tc>
          <w:tcPr>
            <w:tcW w:w="1023" w:type="dxa"/>
            <w:tcBorders>
              <w:top w:val="single" w:sz="6" w:space="0" w:color="auto"/>
              <w:left w:val="single" w:sz="6" w:space="0" w:color="auto"/>
              <w:bottom w:val="nil"/>
              <w:right w:val="single" w:sz="6" w:space="0" w:color="auto"/>
            </w:tcBorders>
          </w:tcPr>
          <w:p w14:paraId="2F10F94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1.6.</w:t>
            </w:r>
          </w:p>
        </w:tc>
        <w:tc>
          <w:tcPr>
            <w:tcW w:w="3199" w:type="dxa"/>
            <w:tcBorders>
              <w:top w:val="single" w:sz="6" w:space="0" w:color="auto"/>
              <w:left w:val="nil"/>
              <w:bottom w:val="nil"/>
              <w:right w:val="nil"/>
            </w:tcBorders>
          </w:tcPr>
          <w:p w14:paraId="3937589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Българската телеграфна агенция</w:t>
            </w:r>
          </w:p>
        </w:tc>
        <w:tc>
          <w:tcPr>
            <w:tcW w:w="1762" w:type="dxa"/>
            <w:tcBorders>
              <w:top w:val="single" w:sz="6" w:space="0" w:color="auto"/>
              <w:left w:val="single" w:sz="6" w:space="0" w:color="auto"/>
              <w:bottom w:val="single" w:sz="6" w:space="0" w:color="auto"/>
              <w:right w:val="single" w:sz="6" w:space="0" w:color="auto"/>
            </w:tcBorders>
          </w:tcPr>
          <w:p w14:paraId="1B4E0C6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4 385,0</w:t>
            </w:r>
          </w:p>
        </w:tc>
        <w:tc>
          <w:tcPr>
            <w:tcW w:w="1417" w:type="dxa"/>
            <w:tcBorders>
              <w:top w:val="single" w:sz="6" w:space="0" w:color="auto"/>
              <w:left w:val="single" w:sz="6" w:space="0" w:color="auto"/>
              <w:bottom w:val="single" w:sz="6" w:space="0" w:color="auto"/>
              <w:right w:val="single" w:sz="6" w:space="0" w:color="auto"/>
            </w:tcBorders>
          </w:tcPr>
          <w:p w14:paraId="1C3F38D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4 505,0</w:t>
            </w:r>
          </w:p>
        </w:tc>
        <w:tc>
          <w:tcPr>
            <w:tcW w:w="1276" w:type="dxa"/>
            <w:tcBorders>
              <w:top w:val="single" w:sz="6" w:space="0" w:color="auto"/>
              <w:left w:val="single" w:sz="6" w:space="0" w:color="auto"/>
              <w:bottom w:val="single" w:sz="6" w:space="0" w:color="auto"/>
              <w:right w:val="single" w:sz="6" w:space="0" w:color="auto"/>
            </w:tcBorders>
          </w:tcPr>
          <w:p w14:paraId="407567E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120,0</w:t>
            </w:r>
          </w:p>
        </w:tc>
        <w:tc>
          <w:tcPr>
            <w:tcW w:w="1134" w:type="dxa"/>
            <w:tcBorders>
              <w:top w:val="single" w:sz="6" w:space="0" w:color="auto"/>
              <w:left w:val="single" w:sz="6" w:space="0" w:color="auto"/>
              <w:bottom w:val="single" w:sz="6" w:space="0" w:color="auto"/>
              <w:right w:val="single" w:sz="6" w:space="0" w:color="auto"/>
            </w:tcBorders>
          </w:tcPr>
          <w:p w14:paraId="731EE44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102,7%</w:t>
            </w:r>
          </w:p>
        </w:tc>
      </w:tr>
      <w:tr w:rsidR="00331B26" w:rsidRPr="001A28D2" w14:paraId="48916D99"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5EF01CA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lastRenderedPageBreak/>
              <w:t>1.7.</w:t>
            </w:r>
          </w:p>
        </w:tc>
        <w:tc>
          <w:tcPr>
            <w:tcW w:w="3199" w:type="dxa"/>
            <w:tcBorders>
              <w:top w:val="single" w:sz="6" w:space="0" w:color="auto"/>
              <w:left w:val="nil"/>
              <w:bottom w:val="single" w:sz="6" w:space="0" w:color="auto"/>
              <w:right w:val="nil"/>
            </w:tcBorders>
          </w:tcPr>
          <w:p w14:paraId="3C88088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Държавните висши училища </w:t>
            </w:r>
          </w:p>
        </w:tc>
        <w:tc>
          <w:tcPr>
            <w:tcW w:w="1762" w:type="dxa"/>
            <w:tcBorders>
              <w:top w:val="single" w:sz="6" w:space="0" w:color="auto"/>
              <w:left w:val="single" w:sz="6" w:space="0" w:color="auto"/>
              <w:bottom w:val="single" w:sz="6" w:space="0" w:color="auto"/>
              <w:right w:val="single" w:sz="6" w:space="0" w:color="auto"/>
            </w:tcBorders>
          </w:tcPr>
          <w:p w14:paraId="49BC66C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407 415,3</w:t>
            </w:r>
          </w:p>
        </w:tc>
        <w:tc>
          <w:tcPr>
            <w:tcW w:w="1417" w:type="dxa"/>
            <w:tcBorders>
              <w:top w:val="single" w:sz="6" w:space="0" w:color="auto"/>
              <w:left w:val="single" w:sz="6" w:space="0" w:color="auto"/>
              <w:bottom w:val="single" w:sz="6" w:space="0" w:color="auto"/>
              <w:right w:val="single" w:sz="6" w:space="0" w:color="auto"/>
            </w:tcBorders>
          </w:tcPr>
          <w:p w14:paraId="5BBEE50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412 778,9</w:t>
            </w:r>
          </w:p>
        </w:tc>
        <w:tc>
          <w:tcPr>
            <w:tcW w:w="1276" w:type="dxa"/>
            <w:tcBorders>
              <w:top w:val="single" w:sz="6" w:space="0" w:color="auto"/>
              <w:left w:val="single" w:sz="6" w:space="0" w:color="auto"/>
              <w:bottom w:val="single" w:sz="6" w:space="0" w:color="auto"/>
              <w:right w:val="single" w:sz="6" w:space="0" w:color="auto"/>
            </w:tcBorders>
          </w:tcPr>
          <w:p w14:paraId="45656BD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5 363,6</w:t>
            </w:r>
          </w:p>
        </w:tc>
        <w:tc>
          <w:tcPr>
            <w:tcW w:w="1134" w:type="dxa"/>
            <w:tcBorders>
              <w:top w:val="single" w:sz="6" w:space="0" w:color="auto"/>
              <w:left w:val="single" w:sz="6" w:space="0" w:color="auto"/>
              <w:bottom w:val="single" w:sz="6" w:space="0" w:color="auto"/>
              <w:right w:val="single" w:sz="6" w:space="0" w:color="auto"/>
            </w:tcBorders>
          </w:tcPr>
          <w:p w14:paraId="5EE66A8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101,3%</w:t>
            </w:r>
          </w:p>
        </w:tc>
      </w:tr>
      <w:tr w:rsidR="00331B26" w:rsidRPr="001A28D2" w14:paraId="53006B84"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0E265509"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1.7.1.</w:t>
            </w:r>
          </w:p>
        </w:tc>
        <w:tc>
          <w:tcPr>
            <w:tcW w:w="3199" w:type="dxa"/>
            <w:tcBorders>
              <w:top w:val="single" w:sz="6" w:space="0" w:color="auto"/>
              <w:left w:val="nil"/>
              <w:bottom w:val="single" w:sz="6" w:space="0" w:color="auto"/>
              <w:right w:val="nil"/>
            </w:tcBorders>
          </w:tcPr>
          <w:p w14:paraId="6F98F49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от Министерството на образованието и науката</w:t>
            </w:r>
          </w:p>
        </w:tc>
        <w:tc>
          <w:tcPr>
            <w:tcW w:w="1762" w:type="dxa"/>
            <w:tcBorders>
              <w:top w:val="single" w:sz="6" w:space="0" w:color="auto"/>
              <w:left w:val="single" w:sz="6" w:space="0" w:color="auto"/>
              <w:bottom w:val="single" w:sz="6" w:space="0" w:color="auto"/>
              <w:right w:val="single" w:sz="6" w:space="0" w:color="auto"/>
            </w:tcBorders>
          </w:tcPr>
          <w:p w14:paraId="59EB1E4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383 331,3</w:t>
            </w:r>
          </w:p>
        </w:tc>
        <w:tc>
          <w:tcPr>
            <w:tcW w:w="1417" w:type="dxa"/>
            <w:tcBorders>
              <w:top w:val="single" w:sz="6" w:space="0" w:color="auto"/>
              <w:left w:val="single" w:sz="6" w:space="0" w:color="auto"/>
              <w:bottom w:val="single" w:sz="6" w:space="0" w:color="auto"/>
              <w:right w:val="single" w:sz="6" w:space="0" w:color="auto"/>
            </w:tcBorders>
          </w:tcPr>
          <w:p w14:paraId="2BF5DEF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388 668,7</w:t>
            </w:r>
          </w:p>
        </w:tc>
        <w:tc>
          <w:tcPr>
            <w:tcW w:w="1276" w:type="dxa"/>
            <w:tcBorders>
              <w:top w:val="single" w:sz="6" w:space="0" w:color="auto"/>
              <w:left w:val="single" w:sz="6" w:space="0" w:color="auto"/>
              <w:bottom w:val="single" w:sz="6" w:space="0" w:color="auto"/>
              <w:right w:val="single" w:sz="6" w:space="0" w:color="auto"/>
            </w:tcBorders>
          </w:tcPr>
          <w:p w14:paraId="12777AA8"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5 337,4</w:t>
            </w:r>
          </w:p>
        </w:tc>
        <w:tc>
          <w:tcPr>
            <w:tcW w:w="1134" w:type="dxa"/>
            <w:tcBorders>
              <w:top w:val="single" w:sz="6" w:space="0" w:color="auto"/>
              <w:left w:val="single" w:sz="6" w:space="0" w:color="auto"/>
              <w:bottom w:val="single" w:sz="6" w:space="0" w:color="auto"/>
              <w:right w:val="single" w:sz="6" w:space="0" w:color="auto"/>
            </w:tcBorders>
          </w:tcPr>
          <w:p w14:paraId="0CA9391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101,4%</w:t>
            </w:r>
          </w:p>
        </w:tc>
      </w:tr>
      <w:tr w:rsidR="00331B26" w:rsidRPr="001A28D2" w14:paraId="54323664"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52299552"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1.7.2.</w:t>
            </w:r>
          </w:p>
        </w:tc>
        <w:tc>
          <w:tcPr>
            <w:tcW w:w="3199" w:type="dxa"/>
            <w:tcBorders>
              <w:top w:val="single" w:sz="6" w:space="0" w:color="auto"/>
              <w:left w:val="nil"/>
              <w:bottom w:val="single" w:sz="6" w:space="0" w:color="auto"/>
              <w:right w:val="nil"/>
            </w:tcBorders>
          </w:tcPr>
          <w:p w14:paraId="205259F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от Министерството на отбраната</w:t>
            </w:r>
          </w:p>
        </w:tc>
        <w:tc>
          <w:tcPr>
            <w:tcW w:w="1762" w:type="dxa"/>
            <w:tcBorders>
              <w:top w:val="single" w:sz="6" w:space="0" w:color="auto"/>
              <w:left w:val="single" w:sz="6" w:space="0" w:color="auto"/>
              <w:bottom w:val="single" w:sz="6" w:space="0" w:color="auto"/>
              <w:right w:val="single" w:sz="6" w:space="0" w:color="auto"/>
            </w:tcBorders>
          </w:tcPr>
          <w:p w14:paraId="1252E14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24 084,0</w:t>
            </w:r>
          </w:p>
        </w:tc>
        <w:tc>
          <w:tcPr>
            <w:tcW w:w="1417" w:type="dxa"/>
            <w:tcBorders>
              <w:top w:val="single" w:sz="6" w:space="0" w:color="auto"/>
              <w:left w:val="single" w:sz="6" w:space="0" w:color="auto"/>
              <w:bottom w:val="single" w:sz="6" w:space="0" w:color="auto"/>
              <w:right w:val="single" w:sz="6" w:space="0" w:color="auto"/>
            </w:tcBorders>
          </w:tcPr>
          <w:p w14:paraId="109A2F2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24 110,2</w:t>
            </w:r>
          </w:p>
        </w:tc>
        <w:tc>
          <w:tcPr>
            <w:tcW w:w="1276" w:type="dxa"/>
            <w:tcBorders>
              <w:top w:val="single" w:sz="6" w:space="0" w:color="auto"/>
              <w:left w:val="single" w:sz="6" w:space="0" w:color="auto"/>
              <w:bottom w:val="single" w:sz="6" w:space="0" w:color="auto"/>
              <w:right w:val="single" w:sz="6" w:space="0" w:color="auto"/>
            </w:tcBorders>
          </w:tcPr>
          <w:p w14:paraId="060EA48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26,2</w:t>
            </w:r>
          </w:p>
        </w:tc>
        <w:tc>
          <w:tcPr>
            <w:tcW w:w="1134" w:type="dxa"/>
            <w:tcBorders>
              <w:top w:val="single" w:sz="6" w:space="0" w:color="auto"/>
              <w:left w:val="single" w:sz="6" w:space="0" w:color="auto"/>
              <w:bottom w:val="single" w:sz="6" w:space="0" w:color="auto"/>
              <w:right w:val="single" w:sz="6" w:space="0" w:color="auto"/>
            </w:tcBorders>
          </w:tcPr>
          <w:p w14:paraId="7ACAE14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100,1%</w:t>
            </w:r>
          </w:p>
        </w:tc>
      </w:tr>
      <w:tr w:rsidR="00331B26" w:rsidRPr="001A28D2" w14:paraId="5EE46F7A" w14:textId="77777777" w:rsidTr="00331B26">
        <w:trPr>
          <w:trHeight w:val="1279"/>
        </w:trPr>
        <w:tc>
          <w:tcPr>
            <w:tcW w:w="1023" w:type="dxa"/>
            <w:tcBorders>
              <w:top w:val="single" w:sz="6" w:space="0" w:color="auto"/>
              <w:left w:val="single" w:sz="6" w:space="0" w:color="auto"/>
              <w:bottom w:val="single" w:sz="6" w:space="0" w:color="auto"/>
              <w:right w:val="single" w:sz="6" w:space="0" w:color="auto"/>
            </w:tcBorders>
          </w:tcPr>
          <w:p w14:paraId="255D7811" w14:textId="77777777" w:rsidR="00331B26" w:rsidRPr="001A28D2" w:rsidRDefault="00331B26">
            <w:pPr>
              <w:autoSpaceDE w:val="0"/>
              <w:autoSpaceDN w:val="0"/>
              <w:adjustRightInd w:val="0"/>
              <w:rPr>
                <w:rFonts w:eastAsiaTheme="minorHAnsi"/>
                <w:color w:val="000000"/>
                <w:lang w:eastAsia="en-US"/>
              </w:rPr>
            </w:pPr>
          </w:p>
        </w:tc>
        <w:tc>
          <w:tcPr>
            <w:tcW w:w="3199" w:type="dxa"/>
            <w:tcBorders>
              <w:top w:val="single" w:sz="6" w:space="0" w:color="auto"/>
              <w:left w:val="nil"/>
              <w:bottom w:val="single" w:sz="6" w:space="0" w:color="auto"/>
              <w:right w:val="nil"/>
            </w:tcBorders>
          </w:tcPr>
          <w:p w14:paraId="0DD3E092"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в т.ч. предоставените чрез трансфер средства за предотвратяване, овладяване и преодоляване на последиците от бедствия</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145B03F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02B362F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w:t>
            </w:r>
            <w:proofErr w:type="spellStart"/>
            <w:r w:rsidRPr="001A28D2">
              <w:rPr>
                <w:rFonts w:eastAsiaTheme="minorHAnsi"/>
                <w:color w:val="000000"/>
                <w:lang w:eastAsia="en-US"/>
              </w:rPr>
              <w:t>1</w:t>
            </w:r>
            <w:proofErr w:type="spellEnd"/>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6E931FE"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B2FABF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689EB3EA"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7C95923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1.8.</w:t>
            </w:r>
          </w:p>
        </w:tc>
        <w:tc>
          <w:tcPr>
            <w:tcW w:w="3199" w:type="dxa"/>
            <w:tcBorders>
              <w:top w:val="single" w:sz="6" w:space="0" w:color="auto"/>
              <w:left w:val="nil"/>
              <w:bottom w:val="single" w:sz="6" w:space="0" w:color="auto"/>
              <w:right w:val="nil"/>
            </w:tcBorders>
          </w:tcPr>
          <w:p w14:paraId="1117C56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Българската академия на науките </w:t>
            </w:r>
          </w:p>
        </w:tc>
        <w:tc>
          <w:tcPr>
            <w:tcW w:w="1762" w:type="dxa"/>
            <w:tcBorders>
              <w:top w:val="single" w:sz="6" w:space="0" w:color="auto"/>
              <w:left w:val="single" w:sz="6" w:space="0" w:color="auto"/>
              <w:bottom w:val="single" w:sz="6" w:space="0" w:color="auto"/>
              <w:right w:val="single" w:sz="6" w:space="0" w:color="auto"/>
            </w:tcBorders>
          </w:tcPr>
          <w:p w14:paraId="57FC4CC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75 837,0</w:t>
            </w:r>
          </w:p>
        </w:tc>
        <w:tc>
          <w:tcPr>
            <w:tcW w:w="1417" w:type="dxa"/>
            <w:tcBorders>
              <w:top w:val="single" w:sz="6" w:space="0" w:color="auto"/>
              <w:left w:val="single" w:sz="6" w:space="0" w:color="auto"/>
              <w:bottom w:val="single" w:sz="6" w:space="0" w:color="auto"/>
              <w:right w:val="single" w:sz="6" w:space="0" w:color="auto"/>
            </w:tcBorders>
          </w:tcPr>
          <w:p w14:paraId="051ADBD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86 139,8</w:t>
            </w:r>
          </w:p>
        </w:tc>
        <w:tc>
          <w:tcPr>
            <w:tcW w:w="1276" w:type="dxa"/>
            <w:tcBorders>
              <w:top w:val="single" w:sz="6" w:space="0" w:color="auto"/>
              <w:left w:val="single" w:sz="6" w:space="0" w:color="auto"/>
              <w:bottom w:val="single" w:sz="6" w:space="0" w:color="auto"/>
              <w:right w:val="single" w:sz="6" w:space="0" w:color="auto"/>
            </w:tcBorders>
          </w:tcPr>
          <w:p w14:paraId="726FB31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10 302,8</w:t>
            </w:r>
          </w:p>
        </w:tc>
        <w:tc>
          <w:tcPr>
            <w:tcW w:w="1134" w:type="dxa"/>
            <w:tcBorders>
              <w:top w:val="single" w:sz="6" w:space="0" w:color="auto"/>
              <w:left w:val="single" w:sz="6" w:space="0" w:color="auto"/>
              <w:bottom w:val="single" w:sz="6" w:space="0" w:color="auto"/>
              <w:right w:val="single" w:sz="6" w:space="0" w:color="auto"/>
            </w:tcBorders>
          </w:tcPr>
          <w:p w14:paraId="4237901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113,6%</w:t>
            </w:r>
          </w:p>
        </w:tc>
      </w:tr>
      <w:tr w:rsidR="00331B26" w:rsidRPr="001A28D2" w14:paraId="59696DE3"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2B690CB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1.8.1.</w:t>
            </w:r>
          </w:p>
        </w:tc>
        <w:tc>
          <w:tcPr>
            <w:tcW w:w="3199" w:type="dxa"/>
            <w:tcBorders>
              <w:top w:val="single" w:sz="6" w:space="0" w:color="auto"/>
              <w:left w:val="nil"/>
              <w:bottom w:val="single" w:sz="6" w:space="0" w:color="auto"/>
              <w:right w:val="nil"/>
            </w:tcBorders>
          </w:tcPr>
          <w:p w14:paraId="781AD51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образованието и науката</w:t>
            </w:r>
          </w:p>
        </w:tc>
        <w:tc>
          <w:tcPr>
            <w:tcW w:w="1762" w:type="dxa"/>
            <w:tcBorders>
              <w:top w:val="single" w:sz="6" w:space="0" w:color="auto"/>
              <w:left w:val="single" w:sz="6" w:space="0" w:color="auto"/>
              <w:bottom w:val="single" w:sz="6" w:space="0" w:color="auto"/>
              <w:right w:val="single" w:sz="6" w:space="0" w:color="auto"/>
            </w:tcBorders>
          </w:tcPr>
          <w:p w14:paraId="386D240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73 287,0</w:t>
            </w:r>
          </w:p>
        </w:tc>
        <w:tc>
          <w:tcPr>
            <w:tcW w:w="1417" w:type="dxa"/>
            <w:tcBorders>
              <w:top w:val="single" w:sz="6" w:space="0" w:color="auto"/>
              <w:left w:val="single" w:sz="6" w:space="0" w:color="auto"/>
              <w:bottom w:val="single" w:sz="6" w:space="0" w:color="auto"/>
              <w:right w:val="single" w:sz="6" w:space="0" w:color="auto"/>
            </w:tcBorders>
          </w:tcPr>
          <w:p w14:paraId="4E0AF5A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83 590,0</w:t>
            </w:r>
          </w:p>
        </w:tc>
        <w:tc>
          <w:tcPr>
            <w:tcW w:w="1276" w:type="dxa"/>
            <w:tcBorders>
              <w:top w:val="single" w:sz="6" w:space="0" w:color="auto"/>
              <w:left w:val="single" w:sz="6" w:space="0" w:color="auto"/>
              <w:bottom w:val="single" w:sz="6" w:space="0" w:color="auto"/>
              <w:right w:val="single" w:sz="6" w:space="0" w:color="auto"/>
            </w:tcBorders>
          </w:tcPr>
          <w:p w14:paraId="157E155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10 303,0</w:t>
            </w:r>
          </w:p>
        </w:tc>
        <w:tc>
          <w:tcPr>
            <w:tcW w:w="1134" w:type="dxa"/>
            <w:tcBorders>
              <w:top w:val="single" w:sz="6" w:space="0" w:color="auto"/>
              <w:left w:val="single" w:sz="6" w:space="0" w:color="auto"/>
              <w:bottom w:val="single" w:sz="6" w:space="0" w:color="auto"/>
              <w:right w:val="single" w:sz="6" w:space="0" w:color="auto"/>
            </w:tcBorders>
          </w:tcPr>
          <w:p w14:paraId="21050A5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114,1%</w:t>
            </w:r>
          </w:p>
        </w:tc>
      </w:tr>
      <w:tr w:rsidR="00331B26" w:rsidRPr="001A28D2" w14:paraId="1468F588"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3CA97A9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1.8.2.</w:t>
            </w:r>
          </w:p>
        </w:tc>
        <w:tc>
          <w:tcPr>
            <w:tcW w:w="3199" w:type="dxa"/>
            <w:tcBorders>
              <w:top w:val="single" w:sz="6" w:space="0" w:color="auto"/>
              <w:left w:val="nil"/>
              <w:bottom w:val="single" w:sz="6" w:space="0" w:color="auto"/>
              <w:right w:val="nil"/>
            </w:tcBorders>
          </w:tcPr>
          <w:p w14:paraId="4CD1375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околната среда и водите</w:t>
            </w:r>
          </w:p>
        </w:tc>
        <w:tc>
          <w:tcPr>
            <w:tcW w:w="1762" w:type="dxa"/>
            <w:tcBorders>
              <w:top w:val="single" w:sz="6" w:space="0" w:color="auto"/>
              <w:left w:val="single" w:sz="6" w:space="0" w:color="auto"/>
              <w:bottom w:val="single" w:sz="6" w:space="0" w:color="auto"/>
              <w:right w:val="single" w:sz="6" w:space="0" w:color="auto"/>
            </w:tcBorders>
          </w:tcPr>
          <w:p w14:paraId="1144024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2 550,0</w:t>
            </w:r>
          </w:p>
        </w:tc>
        <w:tc>
          <w:tcPr>
            <w:tcW w:w="1417" w:type="dxa"/>
            <w:tcBorders>
              <w:top w:val="single" w:sz="6" w:space="0" w:color="auto"/>
              <w:left w:val="single" w:sz="6" w:space="0" w:color="auto"/>
              <w:bottom w:val="single" w:sz="6" w:space="0" w:color="auto"/>
              <w:right w:val="single" w:sz="6" w:space="0" w:color="auto"/>
            </w:tcBorders>
          </w:tcPr>
          <w:p w14:paraId="7919490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2 549,8</w:t>
            </w:r>
          </w:p>
        </w:tc>
        <w:tc>
          <w:tcPr>
            <w:tcW w:w="1276" w:type="dxa"/>
            <w:tcBorders>
              <w:top w:val="single" w:sz="6" w:space="0" w:color="auto"/>
              <w:left w:val="single" w:sz="6" w:space="0" w:color="auto"/>
              <w:bottom w:val="single" w:sz="6" w:space="0" w:color="auto"/>
              <w:right w:val="single" w:sz="6" w:space="0" w:color="auto"/>
            </w:tcBorders>
          </w:tcPr>
          <w:p w14:paraId="5A141B9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-0,2</w:t>
            </w:r>
          </w:p>
        </w:tc>
        <w:tc>
          <w:tcPr>
            <w:tcW w:w="1134" w:type="dxa"/>
            <w:tcBorders>
              <w:top w:val="single" w:sz="6" w:space="0" w:color="auto"/>
              <w:left w:val="single" w:sz="6" w:space="0" w:color="auto"/>
              <w:bottom w:val="single" w:sz="6" w:space="0" w:color="auto"/>
              <w:right w:val="single" w:sz="6" w:space="0" w:color="auto"/>
            </w:tcBorders>
          </w:tcPr>
          <w:p w14:paraId="5074302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100,0%</w:t>
            </w:r>
          </w:p>
        </w:tc>
      </w:tr>
      <w:tr w:rsidR="00331B26" w:rsidRPr="001A28D2" w14:paraId="35D5777E" w14:textId="77777777" w:rsidTr="00331B26">
        <w:trPr>
          <w:trHeight w:val="1025"/>
        </w:trPr>
        <w:tc>
          <w:tcPr>
            <w:tcW w:w="1023" w:type="dxa"/>
            <w:tcBorders>
              <w:top w:val="single" w:sz="6" w:space="0" w:color="auto"/>
              <w:left w:val="single" w:sz="6" w:space="0" w:color="auto"/>
              <w:bottom w:val="nil"/>
              <w:right w:val="single" w:sz="6" w:space="0" w:color="auto"/>
            </w:tcBorders>
          </w:tcPr>
          <w:p w14:paraId="19A02B5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1.9.</w:t>
            </w:r>
          </w:p>
        </w:tc>
        <w:tc>
          <w:tcPr>
            <w:tcW w:w="3199" w:type="dxa"/>
            <w:tcBorders>
              <w:top w:val="single" w:sz="6" w:space="0" w:color="auto"/>
              <w:left w:val="single" w:sz="6" w:space="0" w:color="auto"/>
              <w:bottom w:val="nil"/>
              <w:right w:val="nil"/>
            </w:tcBorders>
          </w:tcPr>
          <w:p w14:paraId="30AA6BC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Предприятието за управление на дейностите по опазване на околната среда от Министерството на околната среда и водите</w:t>
            </w:r>
          </w:p>
        </w:tc>
        <w:tc>
          <w:tcPr>
            <w:tcW w:w="1762" w:type="dxa"/>
            <w:tcBorders>
              <w:top w:val="single" w:sz="6" w:space="0" w:color="auto"/>
              <w:left w:val="single" w:sz="6" w:space="0" w:color="auto"/>
              <w:bottom w:val="single" w:sz="6" w:space="0" w:color="auto"/>
              <w:right w:val="single" w:sz="6" w:space="0" w:color="auto"/>
            </w:tcBorders>
          </w:tcPr>
          <w:p w14:paraId="14F5E20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95 000,0</w:t>
            </w:r>
          </w:p>
        </w:tc>
        <w:tc>
          <w:tcPr>
            <w:tcW w:w="1417" w:type="dxa"/>
            <w:tcBorders>
              <w:top w:val="single" w:sz="6" w:space="0" w:color="auto"/>
              <w:left w:val="single" w:sz="6" w:space="0" w:color="auto"/>
              <w:bottom w:val="single" w:sz="6" w:space="0" w:color="auto"/>
              <w:right w:val="single" w:sz="6" w:space="0" w:color="auto"/>
            </w:tcBorders>
          </w:tcPr>
          <w:p w14:paraId="37EDD30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107 522,4</w:t>
            </w:r>
          </w:p>
        </w:tc>
        <w:tc>
          <w:tcPr>
            <w:tcW w:w="1276" w:type="dxa"/>
            <w:tcBorders>
              <w:top w:val="single" w:sz="6" w:space="0" w:color="auto"/>
              <w:left w:val="single" w:sz="6" w:space="0" w:color="auto"/>
              <w:bottom w:val="single" w:sz="6" w:space="0" w:color="auto"/>
              <w:right w:val="single" w:sz="6" w:space="0" w:color="auto"/>
            </w:tcBorders>
          </w:tcPr>
          <w:p w14:paraId="39C4B5B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12 522,4</w:t>
            </w:r>
          </w:p>
        </w:tc>
        <w:tc>
          <w:tcPr>
            <w:tcW w:w="1134" w:type="dxa"/>
            <w:tcBorders>
              <w:top w:val="single" w:sz="6" w:space="0" w:color="auto"/>
              <w:left w:val="single" w:sz="6" w:space="0" w:color="auto"/>
              <w:bottom w:val="single" w:sz="6" w:space="0" w:color="auto"/>
              <w:right w:val="single" w:sz="6" w:space="0" w:color="auto"/>
            </w:tcBorders>
          </w:tcPr>
          <w:p w14:paraId="4A7CEE7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113,2%</w:t>
            </w:r>
          </w:p>
        </w:tc>
      </w:tr>
      <w:tr w:rsidR="00331B26" w:rsidRPr="001A28D2" w14:paraId="6B7E372F" w14:textId="77777777" w:rsidTr="00331B26">
        <w:trPr>
          <w:trHeight w:val="1279"/>
        </w:trPr>
        <w:tc>
          <w:tcPr>
            <w:tcW w:w="1023" w:type="dxa"/>
            <w:tcBorders>
              <w:top w:val="single" w:sz="6" w:space="0" w:color="auto"/>
              <w:left w:val="single" w:sz="6" w:space="0" w:color="auto"/>
              <w:bottom w:val="nil"/>
              <w:right w:val="single" w:sz="6" w:space="0" w:color="auto"/>
            </w:tcBorders>
          </w:tcPr>
          <w:p w14:paraId="5955E6F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1.10.</w:t>
            </w:r>
          </w:p>
        </w:tc>
        <w:tc>
          <w:tcPr>
            <w:tcW w:w="3199" w:type="dxa"/>
            <w:tcBorders>
              <w:top w:val="single" w:sz="6" w:space="0" w:color="auto"/>
              <w:left w:val="single" w:sz="6" w:space="0" w:color="auto"/>
              <w:bottom w:val="nil"/>
              <w:right w:val="nil"/>
            </w:tcBorders>
          </w:tcPr>
          <w:p w14:paraId="4F89F1BC" w14:textId="53DD7C0E" w:rsidR="00E74D84" w:rsidRPr="001A28D2" w:rsidRDefault="00331B26" w:rsidP="00E74D84">
            <w:pPr>
              <w:autoSpaceDE w:val="0"/>
              <w:autoSpaceDN w:val="0"/>
              <w:adjustRightInd w:val="0"/>
              <w:rPr>
                <w:rFonts w:eastAsiaTheme="minorHAnsi"/>
                <w:color w:val="000000"/>
                <w:lang w:eastAsia="en-US"/>
              </w:rPr>
            </w:pPr>
            <w:r w:rsidRPr="001A28D2">
              <w:rPr>
                <w:rFonts w:eastAsiaTheme="minorHAnsi"/>
                <w:color w:val="000000"/>
                <w:lang w:eastAsia="en-US"/>
              </w:rPr>
              <w:t xml:space="preserve"> Националната компания „Стратегически инфраструктурни проекти” от Министерството на регионалното развитие и благоустройството</w:t>
            </w:r>
          </w:p>
        </w:tc>
        <w:tc>
          <w:tcPr>
            <w:tcW w:w="1762" w:type="dxa"/>
            <w:tcBorders>
              <w:top w:val="single" w:sz="6" w:space="0" w:color="auto"/>
              <w:left w:val="single" w:sz="6" w:space="0" w:color="auto"/>
              <w:bottom w:val="single" w:sz="6" w:space="0" w:color="auto"/>
              <w:right w:val="single" w:sz="6" w:space="0" w:color="auto"/>
            </w:tcBorders>
          </w:tcPr>
          <w:p w14:paraId="7A0BA3F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1 370,0</w:t>
            </w:r>
          </w:p>
        </w:tc>
        <w:tc>
          <w:tcPr>
            <w:tcW w:w="1417" w:type="dxa"/>
            <w:tcBorders>
              <w:top w:val="single" w:sz="6" w:space="0" w:color="auto"/>
              <w:left w:val="single" w:sz="6" w:space="0" w:color="auto"/>
              <w:bottom w:val="single" w:sz="6" w:space="0" w:color="auto"/>
              <w:right w:val="single" w:sz="6" w:space="0" w:color="auto"/>
            </w:tcBorders>
          </w:tcPr>
          <w:p w14:paraId="2B9F3A4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570,5</w:t>
            </w:r>
          </w:p>
        </w:tc>
        <w:tc>
          <w:tcPr>
            <w:tcW w:w="1276" w:type="dxa"/>
            <w:tcBorders>
              <w:top w:val="single" w:sz="6" w:space="0" w:color="auto"/>
              <w:left w:val="single" w:sz="6" w:space="0" w:color="auto"/>
              <w:bottom w:val="single" w:sz="6" w:space="0" w:color="auto"/>
              <w:right w:val="single" w:sz="6" w:space="0" w:color="auto"/>
            </w:tcBorders>
          </w:tcPr>
          <w:p w14:paraId="168BFBD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-799,5</w:t>
            </w:r>
          </w:p>
        </w:tc>
        <w:tc>
          <w:tcPr>
            <w:tcW w:w="1134" w:type="dxa"/>
            <w:tcBorders>
              <w:top w:val="single" w:sz="6" w:space="0" w:color="auto"/>
              <w:left w:val="single" w:sz="6" w:space="0" w:color="auto"/>
              <w:bottom w:val="single" w:sz="6" w:space="0" w:color="auto"/>
              <w:right w:val="single" w:sz="6" w:space="0" w:color="auto"/>
            </w:tcBorders>
          </w:tcPr>
          <w:p w14:paraId="1348D0C8"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41,6%</w:t>
            </w:r>
          </w:p>
        </w:tc>
      </w:tr>
      <w:tr w:rsidR="00331B26" w:rsidRPr="001A28D2" w14:paraId="48CF0558" w14:textId="77777777" w:rsidTr="00331B26">
        <w:trPr>
          <w:trHeight w:val="1536"/>
        </w:trPr>
        <w:tc>
          <w:tcPr>
            <w:tcW w:w="1023" w:type="dxa"/>
            <w:tcBorders>
              <w:top w:val="single" w:sz="6" w:space="0" w:color="auto"/>
              <w:left w:val="single" w:sz="6" w:space="0" w:color="auto"/>
              <w:bottom w:val="nil"/>
              <w:right w:val="single" w:sz="6" w:space="0" w:color="auto"/>
            </w:tcBorders>
          </w:tcPr>
          <w:p w14:paraId="6417FE8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w:t>
            </w:r>
          </w:p>
        </w:tc>
        <w:tc>
          <w:tcPr>
            <w:tcW w:w="3199" w:type="dxa"/>
            <w:tcBorders>
              <w:top w:val="single" w:sz="6" w:space="0" w:color="auto"/>
              <w:left w:val="nil"/>
              <w:bottom w:val="single" w:sz="6" w:space="0" w:color="auto"/>
              <w:right w:val="nil"/>
            </w:tcBorders>
          </w:tcPr>
          <w:p w14:paraId="078D90C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Други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w:t>
            </w:r>
          </w:p>
        </w:tc>
        <w:tc>
          <w:tcPr>
            <w:tcW w:w="1762" w:type="dxa"/>
            <w:tcBorders>
              <w:top w:val="single" w:sz="6" w:space="0" w:color="auto"/>
              <w:left w:val="single" w:sz="6" w:space="0" w:color="auto"/>
              <w:bottom w:val="single" w:sz="6" w:space="0" w:color="auto"/>
              <w:right w:val="single" w:sz="6" w:space="0" w:color="auto"/>
            </w:tcBorders>
          </w:tcPr>
          <w:p w14:paraId="5CF84AE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68 032,0</w:t>
            </w:r>
          </w:p>
        </w:tc>
        <w:tc>
          <w:tcPr>
            <w:tcW w:w="1417" w:type="dxa"/>
            <w:tcBorders>
              <w:top w:val="single" w:sz="6" w:space="0" w:color="auto"/>
              <w:left w:val="single" w:sz="6" w:space="0" w:color="auto"/>
              <w:bottom w:val="single" w:sz="6" w:space="0" w:color="auto"/>
              <w:right w:val="single" w:sz="6" w:space="0" w:color="auto"/>
            </w:tcBorders>
          </w:tcPr>
          <w:p w14:paraId="3C5D8E1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45 801,8</w:t>
            </w:r>
          </w:p>
        </w:tc>
        <w:tc>
          <w:tcPr>
            <w:tcW w:w="1276" w:type="dxa"/>
            <w:tcBorders>
              <w:top w:val="single" w:sz="6" w:space="0" w:color="auto"/>
              <w:left w:val="single" w:sz="6" w:space="0" w:color="auto"/>
              <w:bottom w:val="single" w:sz="6" w:space="0" w:color="auto"/>
              <w:right w:val="single" w:sz="6" w:space="0" w:color="auto"/>
            </w:tcBorders>
          </w:tcPr>
          <w:p w14:paraId="6C2158A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-22 230,2</w:t>
            </w:r>
          </w:p>
        </w:tc>
        <w:tc>
          <w:tcPr>
            <w:tcW w:w="1134" w:type="dxa"/>
            <w:tcBorders>
              <w:top w:val="single" w:sz="6" w:space="0" w:color="auto"/>
              <w:left w:val="single" w:sz="6" w:space="0" w:color="auto"/>
              <w:bottom w:val="single" w:sz="6" w:space="0" w:color="auto"/>
              <w:right w:val="single" w:sz="6" w:space="0" w:color="auto"/>
            </w:tcBorders>
          </w:tcPr>
          <w:p w14:paraId="5652FD5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67,3%</w:t>
            </w:r>
          </w:p>
        </w:tc>
      </w:tr>
      <w:tr w:rsidR="00331B26" w:rsidRPr="001A28D2" w14:paraId="3FA3AF61"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490CE70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w:t>
            </w:r>
          </w:p>
        </w:tc>
        <w:tc>
          <w:tcPr>
            <w:tcW w:w="3199" w:type="dxa"/>
            <w:tcBorders>
              <w:top w:val="single" w:sz="6" w:space="0" w:color="auto"/>
              <w:left w:val="nil"/>
              <w:bottom w:val="single" w:sz="6" w:space="0" w:color="auto"/>
              <w:right w:val="nil"/>
            </w:tcBorders>
          </w:tcPr>
          <w:p w14:paraId="0F0793C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Министерския съвет</w:t>
            </w:r>
          </w:p>
        </w:tc>
        <w:tc>
          <w:tcPr>
            <w:tcW w:w="1762" w:type="dxa"/>
            <w:tcBorders>
              <w:top w:val="single" w:sz="6" w:space="0" w:color="auto"/>
              <w:left w:val="single" w:sz="6" w:space="0" w:color="auto"/>
              <w:bottom w:val="single" w:sz="6" w:space="0" w:color="auto"/>
              <w:right w:val="single" w:sz="6" w:space="0" w:color="auto"/>
            </w:tcBorders>
          </w:tcPr>
          <w:p w14:paraId="30BD989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3 036,8</w:t>
            </w:r>
          </w:p>
        </w:tc>
        <w:tc>
          <w:tcPr>
            <w:tcW w:w="1417" w:type="dxa"/>
            <w:tcBorders>
              <w:top w:val="single" w:sz="6" w:space="0" w:color="auto"/>
              <w:left w:val="single" w:sz="6" w:space="0" w:color="auto"/>
              <w:bottom w:val="single" w:sz="6" w:space="0" w:color="auto"/>
              <w:right w:val="single" w:sz="6" w:space="0" w:color="auto"/>
            </w:tcBorders>
          </w:tcPr>
          <w:p w14:paraId="74934AB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475,1</w:t>
            </w:r>
          </w:p>
        </w:tc>
        <w:tc>
          <w:tcPr>
            <w:tcW w:w="1276" w:type="dxa"/>
            <w:tcBorders>
              <w:top w:val="single" w:sz="6" w:space="0" w:color="auto"/>
              <w:left w:val="single" w:sz="6" w:space="0" w:color="auto"/>
              <w:bottom w:val="single" w:sz="6" w:space="0" w:color="auto"/>
              <w:right w:val="single" w:sz="6" w:space="0" w:color="auto"/>
            </w:tcBorders>
          </w:tcPr>
          <w:p w14:paraId="51A55BD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-2 561,7</w:t>
            </w:r>
          </w:p>
        </w:tc>
        <w:tc>
          <w:tcPr>
            <w:tcW w:w="1134" w:type="dxa"/>
            <w:tcBorders>
              <w:top w:val="single" w:sz="6" w:space="0" w:color="auto"/>
              <w:left w:val="single" w:sz="6" w:space="0" w:color="auto"/>
              <w:bottom w:val="single" w:sz="6" w:space="0" w:color="auto"/>
              <w:right w:val="single" w:sz="6" w:space="0" w:color="auto"/>
            </w:tcBorders>
          </w:tcPr>
          <w:p w14:paraId="4FC1248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15,6%</w:t>
            </w:r>
          </w:p>
        </w:tc>
      </w:tr>
      <w:tr w:rsidR="00331B26" w:rsidRPr="001A28D2" w14:paraId="3A697691"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058BEFA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1.11.2.</w:t>
            </w:r>
          </w:p>
        </w:tc>
        <w:tc>
          <w:tcPr>
            <w:tcW w:w="3199" w:type="dxa"/>
            <w:tcBorders>
              <w:top w:val="single" w:sz="6" w:space="0" w:color="auto"/>
              <w:left w:val="nil"/>
              <w:bottom w:val="single" w:sz="6" w:space="0" w:color="auto"/>
              <w:right w:val="nil"/>
            </w:tcBorders>
          </w:tcPr>
          <w:p w14:paraId="6474FA0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финансите</w:t>
            </w:r>
          </w:p>
        </w:tc>
        <w:tc>
          <w:tcPr>
            <w:tcW w:w="1762" w:type="dxa"/>
            <w:tcBorders>
              <w:top w:val="single" w:sz="6" w:space="0" w:color="auto"/>
              <w:left w:val="single" w:sz="6" w:space="0" w:color="auto"/>
              <w:bottom w:val="single" w:sz="6" w:space="0" w:color="auto"/>
              <w:right w:val="single" w:sz="6" w:space="0" w:color="auto"/>
            </w:tcBorders>
          </w:tcPr>
          <w:p w14:paraId="76A9F3F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996,0</w:t>
            </w:r>
          </w:p>
        </w:tc>
        <w:tc>
          <w:tcPr>
            <w:tcW w:w="1417" w:type="dxa"/>
            <w:tcBorders>
              <w:top w:val="nil"/>
              <w:left w:val="single" w:sz="6" w:space="0" w:color="auto"/>
              <w:bottom w:val="single" w:sz="6" w:space="0" w:color="auto"/>
              <w:right w:val="single" w:sz="6" w:space="0" w:color="auto"/>
            </w:tcBorders>
          </w:tcPr>
          <w:p w14:paraId="7101B88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730,4</w:t>
            </w:r>
          </w:p>
        </w:tc>
        <w:tc>
          <w:tcPr>
            <w:tcW w:w="1276" w:type="dxa"/>
            <w:tcBorders>
              <w:top w:val="single" w:sz="6" w:space="0" w:color="auto"/>
              <w:left w:val="single" w:sz="6" w:space="0" w:color="auto"/>
              <w:bottom w:val="single" w:sz="6" w:space="0" w:color="auto"/>
              <w:right w:val="single" w:sz="6" w:space="0" w:color="auto"/>
            </w:tcBorders>
          </w:tcPr>
          <w:p w14:paraId="6A11E77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-265,6</w:t>
            </w:r>
          </w:p>
        </w:tc>
        <w:tc>
          <w:tcPr>
            <w:tcW w:w="1134" w:type="dxa"/>
            <w:tcBorders>
              <w:top w:val="single" w:sz="6" w:space="0" w:color="auto"/>
              <w:left w:val="single" w:sz="6" w:space="0" w:color="auto"/>
              <w:bottom w:val="single" w:sz="6" w:space="0" w:color="auto"/>
              <w:right w:val="single" w:sz="6" w:space="0" w:color="auto"/>
            </w:tcBorders>
          </w:tcPr>
          <w:p w14:paraId="4BE8BB6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73,3%</w:t>
            </w:r>
          </w:p>
        </w:tc>
      </w:tr>
      <w:tr w:rsidR="00331B26" w:rsidRPr="001A28D2" w14:paraId="2DBCEA78"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7AF67BF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1.11.3.</w:t>
            </w:r>
          </w:p>
        </w:tc>
        <w:tc>
          <w:tcPr>
            <w:tcW w:w="3199" w:type="dxa"/>
            <w:tcBorders>
              <w:top w:val="single" w:sz="6" w:space="0" w:color="auto"/>
              <w:left w:val="nil"/>
              <w:bottom w:val="single" w:sz="6" w:space="0" w:color="auto"/>
              <w:right w:val="nil"/>
            </w:tcBorders>
          </w:tcPr>
          <w:p w14:paraId="5CFE335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вътрешните работи</w:t>
            </w:r>
          </w:p>
        </w:tc>
        <w:tc>
          <w:tcPr>
            <w:tcW w:w="1762" w:type="dxa"/>
            <w:tcBorders>
              <w:top w:val="single" w:sz="6" w:space="0" w:color="auto"/>
              <w:left w:val="single" w:sz="6" w:space="0" w:color="auto"/>
              <w:bottom w:val="single" w:sz="6" w:space="0" w:color="auto"/>
              <w:right w:val="single" w:sz="6" w:space="0" w:color="auto"/>
            </w:tcBorders>
          </w:tcPr>
          <w:p w14:paraId="1F0408B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20 604,0</w:t>
            </w:r>
          </w:p>
        </w:tc>
        <w:tc>
          <w:tcPr>
            <w:tcW w:w="1417" w:type="dxa"/>
            <w:tcBorders>
              <w:top w:val="nil"/>
              <w:left w:val="single" w:sz="6" w:space="0" w:color="auto"/>
              <w:bottom w:val="single" w:sz="6" w:space="0" w:color="auto"/>
              <w:right w:val="single" w:sz="6" w:space="0" w:color="auto"/>
            </w:tcBorders>
          </w:tcPr>
          <w:p w14:paraId="78D011B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20 061,2</w:t>
            </w:r>
          </w:p>
        </w:tc>
        <w:tc>
          <w:tcPr>
            <w:tcW w:w="1276" w:type="dxa"/>
            <w:tcBorders>
              <w:top w:val="single" w:sz="6" w:space="0" w:color="auto"/>
              <w:left w:val="single" w:sz="6" w:space="0" w:color="auto"/>
              <w:bottom w:val="single" w:sz="6" w:space="0" w:color="auto"/>
              <w:right w:val="single" w:sz="6" w:space="0" w:color="auto"/>
            </w:tcBorders>
          </w:tcPr>
          <w:p w14:paraId="6144E8F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-542,8</w:t>
            </w:r>
          </w:p>
        </w:tc>
        <w:tc>
          <w:tcPr>
            <w:tcW w:w="1134" w:type="dxa"/>
            <w:tcBorders>
              <w:top w:val="single" w:sz="6" w:space="0" w:color="auto"/>
              <w:left w:val="single" w:sz="6" w:space="0" w:color="auto"/>
              <w:bottom w:val="single" w:sz="6" w:space="0" w:color="auto"/>
              <w:right w:val="single" w:sz="6" w:space="0" w:color="auto"/>
            </w:tcBorders>
          </w:tcPr>
          <w:p w14:paraId="2BA9D77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97,4%</w:t>
            </w:r>
          </w:p>
        </w:tc>
      </w:tr>
      <w:tr w:rsidR="00331B26" w:rsidRPr="001A28D2" w14:paraId="5DBDEF11" w14:textId="77777777" w:rsidTr="00E74D84">
        <w:trPr>
          <w:trHeight w:val="586"/>
        </w:trPr>
        <w:tc>
          <w:tcPr>
            <w:tcW w:w="1023" w:type="dxa"/>
            <w:tcBorders>
              <w:top w:val="single" w:sz="6" w:space="0" w:color="auto"/>
              <w:left w:val="single" w:sz="6" w:space="0" w:color="auto"/>
              <w:bottom w:val="single" w:sz="6" w:space="0" w:color="auto"/>
              <w:right w:val="single" w:sz="6" w:space="0" w:color="auto"/>
            </w:tcBorders>
          </w:tcPr>
          <w:p w14:paraId="437BD47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1.11.4.</w:t>
            </w:r>
          </w:p>
        </w:tc>
        <w:tc>
          <w:tcPr>
            <w:tcW w:w="3199" w:type="dxa"/>
            <w:tcBorders>
              <w:top w:val="single" w:sz="6" w:space="0" w:color="auto"/>
              <w:left w:val="nil"/>
              <w:bottom w:val="single" w:sz="6" w:space="0" w:color="auto"/>
              <w:right w:val="nil"/>
            </w:tcBorders>
          </w:tcPr>
          <w:p w14:paraId="0091942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правосъдието</w:t>
            </w:r>
          </w:p>
        </w:tc>
        <w:tc>
          <w:tcPr>
            <w:tcW w:w="1762" w:type="dxa"/>
            <w:tcBorders>
              <w:top w:val="single" w:sz="6" w:space="0" w:color="auto"/>
              <w:left w:val="single" w:sz="6" w:space="0" w:color="auto"/>
              <w:bottom w:val="single" w:sz="6" w:space="0" w:color="auto"/>
              <w:right w:val="single" w:sz="6" w:space="0" w:color="auto"/>
            </w:tcBorders>
          </w:tcPr>
          <w:p w14:paraId="6BEE1A6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37,3</w:t>
            </w:r>
          </w:p>
        </w:tc>
        <w:tc>
          <w:tcPr>
            <w:tcW w:w="1417" w:type="dxa"/>
            <w:tcBorders>
              <w:top w:val="nil"/>
              <w:left w:val="single" w:sz="6" w:space="0" w:color="auto"/>
              <w:bottom w:val="single" w:sz="6" w:space="0" w:color="auto"/>
              <w:right w:val="single" w:sz="6" w:space="0" w:color="auto"/>
            </w:tcBorders>
          </w:tcPr>
          <w:p w14:paraId="2877A0A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17,1</w:t>
            </w:r>
          </w:p>
        </w:tc>
        <w:tc>
          <w:tcPr>
            <w:tcW w:w="1276" w:type="dxa"/>
            <w:tcBorders>
              <w:top w:val="single" w:sz="6" w:space="0" w:color="auto"/>
              <w:left w:val="single" w:sz="6" w:space="0" w:color="auto"/>
              <w:bottom w:val="single" w:sz="6" w:space="0" w:color="auto"/>
              <w:right w:val="single" w:sz="6" w:space="0" w:color="auto"/>
            </w:tcBorders>
          </w:tcPr>
          <w:p w14:paraId="105B3E1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-20,2</w:t>
            </w:r>
          </w:p>
        </w:tc>
        <w:tc>
          <w:tcPr>
            <w:tcW w:w="1134" w:type="dxa"/>
            <w:tcBorders>
              <w:top w:val="single" w:sz="6" w:space="0" w:color="auto"/>
              <w:left w:val="single" w:sz="6" w:space="0" w:color="auto"/>
              <w:bottom w:val="single" w:sz="6" w:space="0" w:color="auto"/>
              <w:right w:val="single" w:sz="6" w:space="0" w:color="auto"/>
            </w:tcBorders>
          </w:tcPr>
          <w:p w14:paraId="176A2298"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45,8%</w:t>
            </w:r>
          </w:p>
        </w:tc>
      </w:tr>
      <w:tr w:rsidR="00331B26" w:rsidRPr="001A28D2" w14:paraId="2FB352F1"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5A8954D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1.11.5.</w:t>
            </w:r>
          </w:p>
        </w:tc>
        <w:tc>
          <w:tcPr>
            <w:tcW w:w="3199" w:type="dxa"/>
            <w:tcBorders>
              <w:top w:val="single" w:sz="6" w:space="0" w:color="auto"/>
              <w:left w:val="nil"/>
              <w:bottom w:val="single" w:sz="6" w:space="0" w:color="auto"/>
              <w:right w:val="nil"/>
            </w:tcBorders>
          </w:tcPr>
          <w:p w14:paraId="6187902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икономиката</w:t>
            </w:r>
          </w:p>
        </w:tc>
        <w:tc>
          <w:tcPr>
            <w:tcW w:w="1762" w:type="dxa"/>
            <w:tcBorders>
              <w:top w:val="single" w:sz="6" w:space="0" w:color="auto"/>
              <w:left w:val="single" w:sz="6" w:space="0" w:color="auto"/>
              <w:bottom w:val="single" w:sz="6" w:space="0" w:color="auto"/>
              <w:right w:val="single" w:sz="6" w:space="0" w:color="auto"/>
            </w:tcBorders>
          </w:tcPr>
          <w:p w14:paraId="28B1BA7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71,3</w:t>
            </w:r>
          </w:p>
        </w:tc>
        <w:tc>
          <w:tcPr>
            <w:tcW w:w="1417" w:type="dxa"/>
            <w:tcBorders>
              <w:top w:val="nil"/>
              <w:left w:val="single" w:sz="6" w:space="0" w:color="auto"/>
              <w:bottom w:val="single" w:sz="6" w:space="0" w:color="auto"/>
              <w:right w:val="single" w:sz="6" w:space="0" w:color="auto"/>
            </w:tcBorders>
          </w:tcPr>
          <w:p w14:paraId="454AB3E8"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61,5</w:t>
            </w:r>
          </w:p>
        </w:tc>
        <w:tc>
          <w:tcPr>
            <w:tcW w:w="1276" w:type="dxa"/>
            <w:tcBorders>
              <w:top w:val="single" w:sz="6" w:space="0" w:color="auto"/>
              <w:left w:val="single" w:sz="6" w:space="0" w:color="auto"/>
              <w:bottom w:val="single" w:sz="6" w:space="0" w:color="auto"/>
              <w:right w:val="single" w:sz="6" w:space="0" w:color="auto"/>
            </w:tcBorders>
          </w:tcPr>
          <w:p w14:paraId="5DE494D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-9,8</w:t>
            </w:r>
          </w:p>
        </w:tc>
        <w:tc>
          <w:tcPr>
            <w:tcW w:w="1134" w:type="dxa"/>
            <w:tcBorders>
              <w:top w:val="single" w:sz="6" w:space="0" w:color="auto"/>
              <w:left w:val="single" w:sz="6" w:space="0" w:color="auto"/>
              <w:bottom w:val="single" w:sz="6" w:space="0" w:color="auto"/>
              <w:right w:val="single" w:sz="6" w:space="0" w:color="auto"/>
            </w:tcBorders>
          </w:tcPr>
          <w:p w14:paraId="252FA40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86,3%</w:t>
            </w:r>
          </w:p>
        </w:tc>
      </w:tr>
      <w:tr w:rsidR="00331B26" w:rsidRPr="001A28D2" w14:paraId="3A1209A7"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0D81B13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1.11.6.</w:t>
            </w:r>
          </w:p>
        </w:tc>
        <w:tc>
          <w:tcPr>
            <w:tcW w:w="3199" w:type="dxa"/>
            <w:tcBorders>
              <w:top w:val="single" w:sz="6" w:space="0" w:color="auto"/>
              <w:left w:val="nil"/>
              <w:bottom w:val="single" w:sz="6" w:space="0" w:color="auto"/>
              <w:right w:val="nil"/>
            </w:tcBorders>
          </w:tcPr>
          <w:p w14:paraId="437806E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образованието и науката</w:t>
            </w:r>
          </w:p>
        </w:tc>
        <w:tc>
          <w:tcPr>
            <w:tcW w:w="1762" w:type="dxa"/>
            <w:tcBorders>
              <w:top w:val="single" w:sz="6" w:space="0" w:color="auto"/>
              <w:left w:val="single" w:sz="6" w:space="0" w:color="auto"/>
              <w:bottom w:val="single" w:sz="6" w:space="0" w:color="auto"/>
              <w:right w:val="single" w:sz="6" w:space="0" w:color="auto"/>
            </w:tcBorders>
          </w:tcPr>
          <w:p w14:paraId="6EAEE00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5 000,0</w:t>
            </w:r>
          </w:p>
        </w:tc>
        <w:tc>
          <w:tcPr>
            <w:tcW w:w="1417" w:type="dxa"/>
            <w:tcBorders>
              <w:top w:val="nil"/>
              <w:left w:val="single" w:sz="6" w:space="0" w:color="auto"/>
              <w:bottom w:val="single" w:sz="6" w:space="0" w:color="auto"/>
              <w:right w:val="single" w:sz="6" w:space="0" w:color="auto"/>
            </w:tcBorders>
          </w:tcPr>
          <w:p w14:paraId="45D476C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1 281,3</w:t>
            </w:r>
          </w:p>
        </w:tc>
        <w:tc>
          <w:tcPr>
            <w:tcW w:w="1276" w:type="dxa"/>
            <w:tcBorders>
              <w:top w:val="single" w:sz="6" w:space="0" w:color="auto"/>
              <w:left w:val="single" w:sz="6" w:space="0" w:color="auto"/>
              <w:bottom w:val="single" w:sz="6" w:space="0" w:color="auto"/>
              <w:right w:val="single" w:sz="6" w:space="0" w:color="auto"/>
            </w:tcBorders>
          </w:tcPr>
          <w:p w14:paraId="02DCB5A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-3 718,7</w:t>
            </w:r>
          </w:p>
        </w:tc>
        <w:tc>
          <w:tcPr>
            <w:tcW w:w="1134" w:type="dxa"/>
            <w:tcBorders>
              <w:top w:val="single" w:sz="6" w:space="0" w:color="auto"/>
              <w:left w:val="single" w:sz="6" w:space="0" w:color="auto"/>
              <w:bottom w:val="single" w:sz="6" w:space="0" w:color="auto"/>
              <w:right w:val="single" w:sz="6" w:space="0" w:color="auto"/>
            </w:tcBorders>
          </w:tcPr>
          <w:p w14:paraId="6830FAC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25,6%</w:t>
            </w:r>
          </w:p>
        </w:tc>
      </w:tr>
      <w:tr w:rsidR="00331B26" w:rsidRPr="001A28D2" w14:paraId="1432326F" w14:textId="77777777" w:rsidTr="00331B26">
        <w:trPr>
          <w:trHeight w:val="768"/>
        </w:trPr>
        <w:tc>
          <w:tcPr>
            <w:tcW w:w="1023" w:type="dxa"/>
            <w:tcBorders>
              <w:top w:val="single" w:sz="6" w:space="0" w:color="auto"/>
              <w:left w:val="single" w:sz="6" w:space="0" w:color="auto"/>
              <w:bottom w:val="single" w:sz="6" w:space="0" w:color="auto"/>
              <w:right w:val="single" w:sz="6" w:space="0" w:color="auto"/>
            </w:tcBorders>
          </w:tcPr>
          <w:p w14:paraId="6109163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lastRenderedPageBreak/>
              <w:t>1.11.7.</w:t>
            </w:r>
          </w:p>
        </w:tc>
        <w:tc>
          <w:tcPr>
            <w:tcW w:w="3199" w:type="dxa"/>
            <w:tcBorders>
              <w:top w:val="single" w:sz="6" w:space="0" w:color="auto"/>
              <w:left w:val="nil"/>
              <w:bottom w:val="single" w:sz="6" w:space="0" w:color="auto"/>
              <w:right w:val="nil"/>
            </w:tcBorders>
          </w:tcPr>
          <w:p w14:paraId="34A6584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регионалното развитие и благоустройството</w:t>
            </w:r>
          </w:p>
        </w:tc>
        <w:tc>
          <w:tcPr>
            <w:tcW w:w="1762" w:type="dxa"/>
            <w:tcBorders>
              <w:top w:val="single" w:sz="6" w:space="0" w:color="auto"/>
              <w:left w:val="single" w:sz="6" w:space="0" w:color="auto"/>
              <w:bottom w:val="single" w:sz="6" w:space="0" w:color="auto"/>
              <w:right w:val="single" w:sz="6" w:space="0" w:color="auto"/>
            </w:tcBorders>
          </w:tcPr>
          <w:p w14:paraId="6C95983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36 257,6</w:t>
            </w:r>
          </w:p>
        </w:tc>
        <w:tc>
          <w:tcPr>
            <w:tcW w:w="1417" w:type="dxa"/>
            <w:tcBorders>
              <w:top w:val="nil"/>
              <w:left w:val="single" w:sz="6" w:space="0" w:color="auto"/>
              <w:bottom w:val="single" w:sz="6" w:space="0" w:color="auto"/>
              <w:right w:val="single" w:sz="6" w:space="0" w:color="auto"/>
            </w:tcBorders>
          </w:tcPr>
          <w:p w14:paraId="41FE9DC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6 134,0</w:t>
            </w:r>
          </w:p>
        </w:tc>
        <w:tc>
          <w:tcPr>
            <w:tcW w:w="1276" w:type="dxa"/>
            <w:tcBorders>
              <w:top w:val="single" w:sz="6" w:space="0" w:color="auto"/>
              <w:left w:val="single" w:sz="6" w:space="0" w:color="auto"/>
              <w:bottom w:val="single" w:sz="6" w:space="0" w:color="auto"/>
              <w:right w:val="single" w:sz="6" w:space="0" w:color="auto"/>
            </w:tcBorders>
          </w:tcPr>
          <w:p w14:paraId="5FF79C8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-30 123,6</w:t>
            </w:r>
          </w:p>
        </w:tc>
        <w:tc>
          <w:tcPr>
            <w:tcW w:w="1134" w:type="dxa"/>
            <w:tcBorders>
              <w:top w:val="single" w:sz="6" w:space="0" w:color="auto"/>
              <w:left w:val="single" w:sz="6" w:space="0" w:color="auto"/>
              <w:bottom w:val="single" w:sz="6" w:space="0" w:color="auto"/>
              <w:right w:val="single" w:sz="6" w:space="0" w:color="auto"/>
            </w:tcBorders>
          </w:tcPr>
          <w:p w14:paraId="393DD57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16,9%</w:t>
            </w:r>
          </w:p>
        </w:tc>
      </w:tr>
      <w:tr w:rsidR="00331B26" w:rsidRPr="001A28D2" w14:paraId="5FF5FA58" w14:textId="77777777" w:rsidTr="00331B26">
        <w:trPr>
          <w:trHeight w:val="768"/>
        </w:trPr>
        <w:tc>
          <w:tcPr>
            <w:tcW w:w="1023" w:type="dxa"/>
            <w:tcBorders>
              <w:top w:val="single" w:sz="6" w:space="0" w:color="auto"/>
              <w:left w:val="single" w:sz="6" w:space="0" w:color="auto"/>
              <w:bottom w:val="single" w:sz="6" w:space="0" w:color="auto"/>
              <w:right w:val="single" w:sz="6" w:space="0" w:color="auto"/>
            </w:tcBorders>
          </w:tcPr>
          <w:p w14:paraId="64C592C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1.11.8.</w:t>
            </w:r>
          </w:p>
        </w:tc>
        <w:tc>
          <w:tcPr>
            <w:tcW w:w="3199" w:type="dxa"/>
            <w:tcBorders>
              <w:top w:val="single" w:sz="6" w:space="0" w:color="auto"/>
              <w:left w:val="nil"/>
              <w:bottom w:val="single" w:sz="6" w:space="0" w:color="auto"/>
              <w:right w:val="nil"/>
            </w:tcBorders>
          </w:tcPr>
          <w:p w14:paraId="0A9BEC6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транспорта, информационните технологии и съобщенията</w:t>
            </w:r>
          </w:p>
        </w:tc>
        <w:tc>
          <w:tcPr>
            <w:tcW w:w="1762" w:type="dxa"/>
            <w:tcBorders>
              <w:top w:val="single" w:sz="6" w:space="0" w:color="auto"/>
              <w:left w:val="single" w:sz="6" w:space="0" w:color="auto"/>
              <w:bottom w:val="single" w:sz="6" w:space="0" w:color="auto"/>
              <w:right w:val="single" w:sz="6" w:space="0" w:color="auto"/>
            </w:tcBorders>
          </w:tcPr>
          <w:p w14:paraId="1AC9E42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401,9</w:t>
            </w:r>
          </w:p>
        </w:tc>
        <w:tc>
          <w:tcPr>
            <w:tcW w:w="1417" w:type="dxa"/>
            <w:tcBorders>
              <w:top w:val="nil"/>
              <w:left w:val="single" w:sz="6" w:space="0" w:color="auto"/>
              <w:bottom w:val="single" w:sz="6" w:space="0" w:color="auto"/>
              <w:right w:val="single" w:sz="6" w:space="0" w:color="auto"/>
            </w:tcBorders>
          </w:tcPr>
          <w:p w14:paraId="4E4325E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194,8</w:t>
            </w:r>
          </w:p>
        </w:tc>
        <w:tc>
          <w:tcPr>
            <w:tcW w:w="1276" w:type="dxa"/>
            <w:tcBorders>
              <w:top w:val="single" w:sz="6" w:space="0" w:color="auto"/>
              <w:left w:val="single" w:sz="6" w:space="0" w:color="auto"/>
              <w:bottom w:val="single" w:sz="6" w:space="0" w:color="auto"/>
              <w:right w:val="single" w:sz="6" w:space="0" w:color="auto"/>
            </w:tcBorders>
          </w:tcPr>
          <w:p w14:paraId="0111F86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-207,1</w:t>
            </w:r>
          </w:p>
        </w:tc>
        <w:tc>
          <w:tcPr>
            <w:tcW w:w="1134" w:type="dxa"/>
            <w:tcBorders>
              <w:top w:val="single" w:sz="6" w:space="0" w:color="auto"/>
              <w:left w:val="single" w:sz="6" w:space="0" w:color="auto"/>
              <w:bottom w:val="single" w:sz="6" w:space="0" w:color="auto"/>
              <w:right w:val="single" w:sz="6" w:space="0" w:color="auto"/>
            </w:tcBorders>
          </w:tcPr>
          <w:p w14:paraId="2973F11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48,5%</w:t>
            </w:r>
          </w:p>
        </w:tc>
      </w:tr>
      <w:tr w:rsidR="00331B26" w:rsidRPr="001A28D2" w14:paraId="517C73ED"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7A91DD4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1.11.9.</w:t>
            </w:r>
          </w:p>
        </w:tc>
        <w:tc>
          <w:tcPr>
            <w:tcW w:w="3199" w:type="dxa"/>
            <w:tcBorders>
              <w:top w:val="single" w:sz="6" w:space="0" w:color="auto"/>
              <w:left w:val="nil"/>
              <w:bottom w:val="single" w:sz="6" w:space="0" w:color="auto"/>
              <w:right w:val="nil"/>
            </w:tcBorders>
          </w:tcPr>
          <w:p w14:paraId="48E2736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земеделието и храните</w:t>
            </w:r>
          </w:p>
        </w:tc>
        <w:tc>
          <w:tcPr>
            <w:tcW w:w="1762" w:type="dxa"/>
            <w:tcBorders>
              <w:top w:val="single" w:sz="6" w:space="0" w:color="auto"/>
              <w:left w:val="single" w:sz="6" w:space="0" w:color="auto"/>
              <w:bottom w:val="single" w:sz="6" w:space="0" w:color="auto"/>
              <w:right w:val="single" w:sz="6" w:space="0" w:color="auto"/>
            </w:tcBorders>
          </w:tcPr>
          <w:p w14:paraId="3271763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579,7</w:t>
            </w:r>
          </w:p>
        </w:tc>
        <w:tc>
          <w:tcPr>
            <w:tcW w:w="1417" w:type="dxa"/>
            <w:tcBorders>
              <w:top w:val="nil"/>
              <w:left w:val="single" w:sz="6" w:space="0" w:color="auto"/>
              <w:bottom w:val="single" w:sz="6" w:space="0" w:color="auto"/>
              <w:right w:val="single" w:sz="6" w:space="0" w:color="auto"/>
            </w:tcBorders>
          </w:tcPr>
          <w:p w14:paraId="45D08F8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13 753,5</w:t>
            </w:r>
          </w:p>
        </w:tc>
        <w:tc>
          <w:tcPr>
            <w:tcW w:w="1276" w:type="dxa"/>
            <w:tcBorders>
              <w:top w:val="single" w:sz="6" w:space="0" w:color="auto"/>
              <w:left w:val="single" w:sz="6" w:space="0" w:color="auto"/>
              <w:bottom w:val="single" w:sz="6" w:space="0" w:color="auto"/>
              <w:right w:val="single" w:sz="6" w:space="0" w:color="auto"/>
            </w:tcBorders>
          </w:tcPr>
          <w:p w14:paraId="6D1F9B7D"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13 173,8</w:t>
            </w:r>
          </w:p>
        </w:tc>
        <w:tc>
          <w:tcPr>
            <w:tcW w:w="1134" w:type="dxa"/>
            <w:tcBorders>
              <w:top w:val="single" w:sz="6" w:space="0" w:color="auto"/>
              <w:left w:val="single" w:sz="6" w:space="0" w:color="auto"/>
              <w:bottom w:val="single" w:sz="6" w:space="0" w:color="auto"/>
              <w:right w:val="single" w:sz="6" w:space="0" w:color="auto"/>
            </w:tcBorders>
          </w:tcPr>
          <w:p w14:paraId="709CFC0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2372,5%</w:t>
            </w:r>
          </w:p>
        </w:tc>
      </w:tr>
      <w:tr w:rsidR="00331B26" w:rsidRPr="001A28D2" w14:paraId="61A99EBD" w14:textId="77777777" w:rsidTr="00E74D84">
        <w:trPr>
          <w:trHeight w:val="561"/>
        </w:trPr>
        <w:tc>
          <w:tcPr>
            <w:tcW w:w="1023" w:type="dxa"/>
            <w:tcBorders>
              <w:top w:val="single" w:sz="6" w:space="0" w:color="auto"/>
              <w:left w:val="single" w:sz="6" w:space="0" w:color="auto"/>
              <w:bottom w:val="single" w:sz="6" w:space="0" w:color="auto"/>
              <w:right w:val="single" w:sz="6" w:space="0" w:color="auto"/>
            </w:tcBorders>
          </w:tcPr>
          <w:p w14:paraId="2E78228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1.11.10.</w:t>
            </w:r>
          </w:p>
        </w:tc>
        <w:tc>
          <w:tcPr>
            <w:tcW w:w="3199" w:type="dxa"/>
            <w:tcBorders>
              <w:top w:val="single" w:sz="6" w:space="0" w:color="auto"/>
              <w:left w:val="nil"/>
              <w:bottom w:val="single" w:sz="6" w:space="0" w:color="auto"/>
              <w:right w:val="nil"/>
            </w:tcBorders>
          </w:tcPr>
          <w:p w14:paraId="51D1E0F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Министерството на енергетиката</w:t>
            </w:r>
          </w:p>
        </w:tc>
        <w:tc>
          <w:tcPr>
            <w:tcW w:w="1762" w:type="dxa"/>
            <w:tcBorders>
              <w:top w:val="single" w:sz="6" w:space="0" w:color="auto"/>
              <w:left w:val="single" w:sz="6" w:space="0" w:color="auto"/>
              <w:bottom w:val="single" w:sz="6" w:space="0" w:color="auto"/>
              <w:right w:val="single" w:sz="6" w:space="0" w:color="auto"/>
            </w:tcBorders>
          </w:tcPr>
          <w:p w14:paraId="7BB180C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717,6</w:t>
            </w:r>
          </w:p>
        </w:tc>
        <w:tc>
          <w:tcPr>
            <w:tcW w:w="1417" w:type="dxa"/>
            <w:tcBorders>
              <w:top w:val="nil"/>
              <w:left w:val="single" w:sz="6" w:space="0" w:color="auto"/>
              <w:bottom w:val="single" w:sz="6" w:space="0" w:color="auto"/>
              <w:right w:val="single" w:sz="6" w:space="0" w:color="auto"/>
            </w:tcBorders>
          </w:tcPr>
          <w:p w14:paraId="63A76DC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159,2</w:t>
            </w:r>
          </w:p>
        </w:tc>
        <w:tc>
          <w:tcPr>
            <w:tcW w:w="1276" w:type="dxa"/>
            <w:tcBorders>
              <w:top w:val="nil"/>
              <w:left w:val="single" w:sz="6" w:space="0" w:color="auto"/>
              <w:bottom w:val="single" w:sz="6" w:space="0" w:color="auto"/>
              <w:right w:val="single" w:sz="6" w:space="0" w:color="auto"/>
            </w:tcBorders>
          </w:tcPr>
          <w:p w14:paraId="292C1AD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-558,4</w:t>
            </w:r>
          </w:p>
        </w:tc>
        <w:tc>
          <w:tcPr>
            <w:tcW w:w="1134" w:type="dxa"/>
            <w:tcBorders>
              <w:top w:val="single" w:sz="6" w:space="0" w:color="auto"/>
              <w:left w:val="single" w:sz="6" w:space="0" w:color="auto"/>
              <w:bottom w:val="single" w:sz="6" w:space="0" w:color="auto"/>
              <w:right w:val="single" w:sz="6" w:space="0" w:color="auto"/>
            </w:tcBorders>
          </w:tcPr>
          <w:p w14:paraId="1C0E0A3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22,2%</w:t>
            </w:r>
          </w:p>
        </w:tc>
      </w:tr>
      <w:tr w:rsidR="00331B26" w:rsidRPr="001A28D2" w14:paraId="4839AC0A"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433BA78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w:t>
            </w:r>
            <w:proofErr w:type="spellStart"/>
            <w:r w:rsidRPr="001A28D2">
              <w:rPr>
                <w:rFonts w:eastAsiaTheme="minorHAnsi"/>
                <w:color w:val="000000"/>
                <w:lang w:eastAsia="en-US"/>
              </w:rPr>
              <w:t>11</w:t>
            </w:r>
            <w:proofErr w:type="spellEnd"/>
            <w:r w:rsidRPr="001A28D2">
              <w:rPr>
                <w:rFonts w:eastAsiaTheme="minorHAnsi"/>
                <w:color w:val="000000"/>
                <w:lang w:eastAsia="en-US"/>
              </w:rPr>
              <w:t>.</w:t>
            </w:r>
          </w:p>
        </w:tc>
        <w:tc>
          <w:tcPr>
            <w:tcW w:w="3199" w:type="dxa"/>
            <w:tcBorders>
              <w:top w:val="single" w:sz="6" w:space="0" w:color="auto"/>
              <w:left w:val="nil"/>
              <w:bottom w:val="single" w:sz="6" w:space="0" w:color="auto"/>
              <w:right w:val="nil"/>
            </w:tcBorders>
          </w:tcPr>
          <w:p w14:paraId="6297C5D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 от Националния статистически институт</w:t>
            </w:r>
          </w:p>
        </w:tc>
        <w:tc>
          <w:tcPr>
            <w:tcW w:w="1762" w:type="dxa"/>
            <w:tcBorders>
              <w:top w:val="single" w:sz="6" w:space="0" w:color="auto"/>
              <w:left w:val="single" w:sz="6" w:space="0" w:color="auto"/>
              <w:bottom w:val="single" w:sz="6" w:space="0" w:color="auto"/>
              <w:right w:val="single" w:sz="6" w:space="0" w:color="auto"/>
            </w:tcBorders>
          </w:tcPr>
          <w:p w14:paraId="738D4EA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300,0</w:t>
            </w:r>
          </w:p>
        </w:tc>
        <w:tc>
          <w:tcPr>
            <w:tcW w:w="1417" w:type="dxa"/>
            <w:tcBorders>
              <w:top w:val="nil"/>
              <w:left w:val="single" w:sz="6" w:space="0" w:color="auto"/>
              <w:bottom w:val="single" w:sz="6" w:space="0" w:color="auto"/>
              <w:right w:val="single" w:sz="6" w:space="0" w:color="auto"/>
            </w:tcBorders>
          </w:tcPr>
          <w:p w14:paraId="0F0F211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279,1</w:t>
            </w:r>
          </w:p>
        </w:tc>
        <w:tc>
          <w:tcPr>
            <w:tcW w:w="1276" w:type="dxa"/>
            <w:tcBorders>
              <w:top w:val="nil"/>
              <w:left w:val="single" w:sz="6" w:space="0" w:color="auto"/>
              <w:bottom w:val="single" w:sz="6" w:space="0" w:color="auto"/>
              <w:right w:val="single" w:sz="6" w:space="0" w:color="auto"/>
            </w:tcBorders>
          </w:tcPr>
          <w:p w14:paraId="5274CFF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-20,9</w:t>
            </w:r>
          </w:p>
        </w:tc>
        <w:tc>
          <w:tcPr>
            <w:tcW w:w="1134" w:type="dxa"/>
            <w:tcBorders>
              <w:top w:val="single" w:sz="6" w:space="0" w:color="auto"/>
              <w:left w:val="single" w:sz="6" w:space="0" w:color="auto"/>
              <w:bottom w:val="single" w:sz="6" w:space="0" w:color="auto"/>
              <w:right w:val="single" w:sz="6" w:space="0" w:color="auto"/>
            </w:tcBorders>
          </w:tcPr>
          <w:p w14:paraId="665AE615"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93,0%</w:t>
            </w:r>
          </w:p>
        </w:tc>
      </w:tr>
      <w:tr w:rsidR="00331B26" w:rsidRPr="001A28D2" w14:paraId="1E52289F"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6789D18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1.11.12.</w:t>
            </w:r>
          </w:p>
        </w:tc>
        <w:tc>
          <w:tcPr>
            <w:tcW w:w="3199" w:type="dxa"/>
            <w:tcBorders>
              <w:top w:val="single" w:sz="6" w:space="0" w:color="auto"/>
              <w:left w:val="nil"/>
              <w:bottom w:val="single" w:sz="6" w:space="0" w:color="auto"/>
              <w:right w:val="nil"/>
            </w:tcBorders>
          </w:tcPr>
          <w:p w14:paraId="2D36FB7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от Държавна агенция "Национална сигурност"</w:t>
            </w:r>
          </w:p>
        </w:tc>
        <w:tc>
          <w:tcPr>
            <w:tcW w:w="1762" w:type="dxa"/>
            <w:tcBorders>
              <w:top w:val="single" w:sz="6" w:space="0" w:color="auto"/>
              <w:left w:val="single" w:sz="6" w:space="0" w:color="auto"/>
              <w:bottom w:val="single" w:sz="6" w:space="0" w:color="auto"/>
              <w:right w:val="single" w:sz="6" w:space="0" w:color="auto"/>
            </w:tcBorders>
          </w:tcPr>
          <w:p w14:paraId="315A91A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29,9</w:t>
            </w:r>
          </w:p>
        </w:tc>
        <w:tc>
          <w:tcPr>
            <w:tcW w:w="1417" w:type="dxa"/>
            <w:tcBorders>
              <w:top w:val="nil"/>
              <w:left w:val="single" w:sz="6" w:space="0" w:color="auto"/>
              <w:bottom w:val="single" w:sz="6" w:space="0" w:color="auto"/>
              <w:right w:val="single" w:sz="6" w:space="0" w:color="auto"/>
            </w:tcBorders>
          </w:tcPr>
          <w:p w14:paraId="7A93543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9,3</w:t>
            </w:r>
          </w:p>
        </w:tc>
        <w:tc>
          <w:tcPr>
            <w:tcW w:w="1276" w:type="dxa"/>
            <w:tcBorders>
              <w:top w:val="nil"/>
              <w:left w:val="single" w:sz="6" w:space="0" w:color="auto"/>
              <w:bottom w:val="single" w:sz="6" w:space="0" w:color="auto"/>
              <w:right w:val="single" w:sz="6" w:space="0" w:color="auto"/>
            </w:tcBorders>
          </w:tcPr>
          <w:p w14:paraId="0112AEE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-20,6</w:t>
            </w:r>
          </w:p>
        </w:tc>
        <w:tc>
          <w:tcPr>
            <w:tcW w:w="1134" w:type="dxa"/>
            <w:tcBorders>
              <w:top w:val="single" w:sz="6" w:space="0" w:color="auto"/>
              <w:left w:val="single" w:sz="6" w:space="0" w:color="auto"/>
              <w:bottom w:val="single" w:sz="6" w:space="0" w:color="auto"/>
              <w:right w:val="single" w:sz="6" w:space="0" w:color="auto"/>
            </w:tcBorders>
          </w:tcPr>
          <w:p w14:paraId="44CD982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31,1%</w:t>
            </w:r>
          </w:p>
        </w:tc>
      </w:tr>
      <w:tr w:rsidR="00331B26" w:rsidRPr="001A28D2" w14:paraId="0A506AAD"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50ED19A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1.11.13.</w:t>
            </w:r>
          </w:p>
        </w:tc>
        <w:tc>
          <w:tcPr>
            <w:tcW w:w="3199" w:type="dxa"/>
            <w:tcBorders>
              <w:top w:val="single" w:sz="6" w:space="0" w:color="auto"/>
              <w:left w:val="nil"/>
              <w:bottom w:val="single" w:sz="6" w:space="0" w:color="auto"/>
              <w:right w:val="nil"/>
            </w:tcBorders>
          </w:tcPr>
          <w:p w14:paraId="32FDF6D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от Висшия съдебен съвет</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53F40B92"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546CBBF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-94,4</w:t>
            </w:r>
          </w:p>
        </w:tc>
        <w:tc>
          <w:tcPr>
            <w:tcW w:w="1276" w:type="dxa"/>
            <w:tcBorders>
              <w:top w:val="nil"/>
              <w:left w:val="single" w:sz="6" w:space="0" w:color="auto"/>
              <w:bottom w:val="single" w:sz="6" w:space="0" w:color="auto"/>
              <w:right w:val="single" w:sz="6" w:space="0" w:color="auto"/>
            </w:tcBorders>
          </w:tcPr>
          <w:p w14:paraId="6A743AC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-94,4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800307A"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2FE1D74C"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4A1924B9"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1.11.14.</w:t>
            </w:r>
          </w:p>
        </w:tc>
        <w:tc>
          <w:tcPr>
            <w:tcW w:w="3199" w:type="dxa"/>
            <w:tcBorders>
              <w:top w:val="single" w:sz="6" w:space="0" w:color="auto"/>
              <w:left w:val="nil"/>
              <w:bottom w:val="single" w:sz="6" w:space="0" w:color="auto"/>
              <w:right w:val="nil"/>
            </w:tcBorders>
          </w:tcPr>
          <w:p w14:paraId="41A297B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Министерството на външните работи</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15A2038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036EC5B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2,3</w:t>
            </w:r>
          </w:p>
        </w:tc>
        <w:tc>
          <w:tcPr>
            <w:tcW w:w="1276" w:type="dxa"/>
            <w:tcBorders>
              <w:top w:val="nil"/>
              <w:left w:val="single" w:sz="6" w:space="0" w:color="auto"/>
              <w:bottom w:val="single" w:sz="6" w:space="0" w:color="auto"/>
              <w:right w:val="single" w:sz="6" w:space="0" w:color="auto"/>
            </w:tcBorders>
          </w:tcPr>
          <w:p w14:paraId="4BA3A54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080CD9"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41BA0408"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060D38C2"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1.11.15.</w:t>
            </w:r>
          </w:p>
        </w:tc>
        <w:tc>
          <w:tcPr>
            <w:tcW w:w="3199" w:type="dxa"/>
            <w:tcBorders>
              <w:top w:val="single" w:sz="6" w:space="0" w:color="auto"/>
              <w:left w:val="nil"/>
              <w:bottom w:val="single" w:sz="6" w:space="0" w:color="auto"/>
              <w:right w:val="nil"/>
            </w:tcBorders>
          </w:tcPr>
          <w:p w14:paraId="44471C2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Министерството на отбраната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770FEE6A"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393A481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1 509,1</w:t>
            </w:r>
          </w:p>
        </w:tc>
        <w:tc>
          <w:tcPr>
            <w:tcW w:w="1276" w:type="dxa"/>
            <w:tcBorders>
              <w:top w:val="nil"/>
              <w:left w:val="single" w:sz="6" w:space="0" w:color="auto"/>
              <w:bottom w:val="single" w:sz="6" w:space="0" w:color="auto"/>
              <w:right w:val="single" w:sz="6" w:space="0" w:color="auto"/>
            </w:tcBorders>
          </w:tcPr>
          <w:p w14:paraId="0BEBEC9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1 509,1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DF9DEA"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218C1CF5"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183981A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1.11.16.</w:t>
            </w:r>
          </w:p>
        </w:tc>
        <w:tc>
          <w:tcPr>
            <w:tcW w:w="3199" w:type="dxa"/>
            <w:tcBorders>
              <w:top w:val="single" w:sz="6" w:space="0" w:color="auto"/>
              <w:left w:val="nil"/>
              <w:bottom w:val="single" w:sz="6" w:space="0" w:color="auto"/>
              <w:right w:val="nil"/>
            </w:tcBorders>
          </w:tcPr>
          <w:p w14:paraId="712F6F8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Министерство на труда и социалната политика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43D59C87"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74E2B9D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-2,9</w:t>
            </w:r>
          </w:p>
        </w:tc>
        <w:tc>
          <w:tcPr>
            <w:tcW w:w="1276" w:type="dxa"/>
            <w:tcBorders>
              <w:top w:val="nil"/>
              <w:left w:val="single" w:sz="6" w:space="0" w:color="auto"/>
              <w:bottom w:val="single" w:sz="6" w:space="0" w:color="auto"/>
              <w:right w:val="single" w:sz="6" w:space="0" w:color="auto"/>
            </w:tcBorders>
          </w:tcPr>
          <w:p w14:paraId="39003BE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907F69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2BA5D8EC"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173FA08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1.11.17.</w:t>
            </w:r>
          </w:p>
        </w:tc>
        <w:tc>
          <w:tcPr>
            <w:tcW w:w="3199" w:type="dxa"/>
            <w:tcBorders>
              <w:top w:val="single" w:sz="6" w:space="0" w:color="auto"/>
              <w:left w:val="nil"/>
              <w:bottom w:val="single" w:sz="6" w:space="0" w:color="auto"/>
              <w:right w:val="nil"/>
            </w:tcBorders>
          </w:tcPr>
          <w:p w14:paraId="7EFDED0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Министерството на здравеопазването</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6E7AEFCB"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7D4E3F3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305,6</w:t>
            </w:r>
          </w:p>
        </w:tc>
        <w:tc>
          <w:tcPr>
            <w:tcW w:w="1276" w:type="dxa"/>
            <w:tcBorders>
              <w:top w:val="nil"/>
              <w:left w:val="single" w:sz="6" w:space="0" w:color="auto"/>
              <w:bottom w:val="single" w:sz="6" w:space="0" w:color="auto"/>
              <w:right w:val="single" w:sz="6" w:space="0" w:color="auto"/>
            </w:tcBorders>
          </w:tcPr>
          <w:p w14:paraId="3DDD418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305,6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C26E82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5D861634"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147F8FC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1.11.18.</w:t>
            </w:r>
          </w:p>
        </w:tc>
        <w:tc>
          <w:tcPr>
            <w:tcW w:w="3199" w:type="dxa"/>
            <w:tcBorders>
              <w:top w:val="single" w:sz="6" w:space="0" w:color="auto"/>
              <w:left w:val="nil"/>
              <w:bottom w:val="single" w:sz="6" w:space="0" w:color="auto"/>
              <w:right w:val="nil"/>
            </w:tcBorders>
          </w:tcPr>
          <w:p w14:paraId="7CBCA2E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Министерството на културата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6BC28CA6"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219AAB9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625,4</w:t>
            </w:r>
          </w:p>
        </w:tc>
        <w:tc>
          <w:tcPr>
            <w:tcW w:w="1276" w:type="dxa"/>
            <w:tcBorders>
              <w:top w:val="nil"/>
              <w:left w:val="single" w:sz="6" w:space="0" w:color="auto"/>
              <w:bottom w:val="single" w:sz="6" w:space="0" w:color="auto"/>
              <w:right w:val="single" w:sz="6" w:space="0" w:color="auto"/>
            </w:tcBorders>
          </w:tcPr>
          <w:p w14:paraId="45B4F63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625,4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A55ED86"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7062129C"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7C0EB1A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1.11.19.</w:t>
            </w:r>
          </w:p>
        </w:tc>
        <w:tc>
          <w:tcPr>
            <w:tcW w:w="3199" w:type="dxa"/>
            <w:tcBorders>
              <w:top w:val="single" w:sz="6" w:space="0" w:color="auto"/>
              <w:left w:val="nil"/>
              <w:bottom w:val="single" w:sz="6" w:space="0" w:color="auto"/>
              <w:right w:val="nil"/>
            </w:tcBorders>
          </w:tcPr>
          <w:p w14:paraId="5AC1B7D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Министерството на околната среда и водите</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54B7B10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260EB97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-41,5</w:t>
            </w:r>
          </w:p>
        </w:tc>
        <w:tc>
          <w:tcPr>
            <w:tcW w:w="1276" w:type="dxa"/>
            <w:tcBorders>
              <w:top w:val="nil"/>
              <w:left w:val="single" w:sz="6" w:space="0" w:color="auto"/>
              <w:bottom w:val="single" w:sz="6" w:space="0" w:color="auto"/>
              <w:right w:val="single" w:sz="6" w:space="0" w:color="auto"/>
            </w:tcBorders>
          </w:tcPr>
          <w:p w14:paraId="1DEE3AB0"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4E42B6"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5D6BEA1B"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7D70EA59"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1.11.20.</w:t>
            </w:r>
          </w:p>
        </w:tc>
        <w:tc>
          <w:tcPr>
            <w:tcW w:w="3199" w:type="dxa"/>
            <w:tcBorders>
              <w:top w:val="single" w:sz="6" w:space="0" w:color="auto"/>
              <w:left w:val="nil"/>
              <w:bottom w:val="single" w:sz="6" w:space="0" w:color="auto"/>
              <w:right w:val="nil"/>
            </w:tcBorders>
          </w:tcPr>
          <w:p w14:paraId="6FDB45F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от Министерството на </w:t>
            </w:r>
            <w:proofErr w:type="spellStart"/>
            <w:r w:rsidRPr="001A28D2">
              <w:rPr>
                <w:rFonts w:eastAsiaTheme="minorHAnsi"/>
                <w:color w:val="000000"/>
                <w:lang w:eastAsia="en-US"/>
              </w:rPr>
              <w:t>младежта</w:t>
            </w:r>
            <w:proofErr w:type="spellEnd"/>
            <w:r w:rsidRPr="001A28D2">
              <w:rPr>
                <w:rFonts w:eastAsiaTheme="minorHAnsi"/>
                <w:color w:val="000000"/>
                <w:lang w:eastAsia="en-US"/>
              </w:rPr>
              <w:t xml:space="preserve"> и спорта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4A177197"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006D808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63,2</w:t>
            </w:r>
          </w:p>
        </w:tc>
        <w:tc>
          <w:tcPr>
            <w:tcW w:w="1276" w:type="dxa"/>
            <w:tcBorders>
              <w:top w:val="nil"/>
              <w:left w:val="single" w:sz="6" w:space="0" w:color="auto"/>
              <w:bottom w:val="single" w:sz="6" w:space="0" w:color="auto"/>
              <w:right w:val="single" w:sz="6" w:space="0" w:color="auto"/>
            </w:tcBorders>
          </w:tcPr>
          <w:p w14:paraId="03E795C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63,2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668CC21"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69783931"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1000FFC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1.11.21.</w:t>
            </w:r>
          </w:p>
        </w:tc>
        <w:tc>
          <w:tcPr>
            <w:tcW w:w="3199" w:type="dxa"/>
            <w:tcBorders>
              <w:top w:val="single" w:sz="6" w:space="0" w:color="auto"/>
              <w:left w:val="nil"/>
              <w:bottom w:val="single" w:sz="6" w:space="0" w:color="auto"/>
              <w:right w:val="nil"/>
            </w:tcBorders>
          </w:tcPr>
          <w:p w14:paraId="1161335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Комисията за защита от дискриминация</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58FB2D01"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36FA532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1,4</w:t>
            </w:r>
          </w:p>
        </w:tc>
        <w:tc>
          <w:tcPr>
            <w:tcW w:w="1276" w:type="dxa"/>
            <w:tcBorders>
              <w:top w:val="nil"/>
              <w:left w:val="single" w:sz="6" w:space="0" w:color="auto"/>
              <w:bottom w:val="single" w:sz="6" w:space="0" w:color="auto"/>
              <w:right w:val="single" w:sz="6" w:space="0" w:color="auto"/>
            </w:tcBorders>
          </w:tcPr>
          <w:p w14:paraId="3C541C0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C47990"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1A414FF2"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4436E94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1.11.22.</w:t>
            </w:r>
          </w:p>
        </w:tc>
        <w:tc>
          <w:tcPr>
            <w:tcW w:w="3199" w:type="dxa"/>
            <w:tcBorders>
              <w:top w:val="single" w:sz="6" w:space="0" w:color="auto"/>
              <w:left w:val="nil"/>
              <w:bottom w:val="single" w:sz="6" w:space="0" w:color="auto"/>
              <w:right w:val="nil"/>
            </w:tcBorders>
          </w:tcPr>
          <w:p w14:paraId="099FA5B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от </w:t>
            </w:r>
            <w:proofErr w:type="spellStart"/>
            <w:r w:rsidRPr="001A28D2">
              <w:rPr>
                <w:rFonts w:eastAsiaTheme="minorHAnsi"/>
                <w:color w:val="000000"/>
                <w:lang w:eastAsia="en-US"/>
              </w:rPr>
              <w:t>Омбудсман</w:t>
            </w:r>
            <w:proofErr w:type="spellEnd"/>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4CA5AA1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0A7BD05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31,3</w:t>
            </w:r>
          </w:p>
        </w:tc>
        <w:tc>
          <w:tcPr>
            <w:tcW w:w="1276" w:type="dxa"/>
            <w:tcBorders>
              <w:top w:val="nil"/>
              <w:left w:val="single" w:sz="6" w:space="0" w:color="auto"/>
              <w:bottom w:val="single" w:sz="6" w:space="0" w:color="auto"/>
              <w:right w:val="single" w:sz="6" w:space="0" w:color="auto"/>
            </w:tcBorders>
          </w:tcPr>
          <w:p w14:paraId="4AF436C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31,3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5E556D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63FD2A12"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56A4C89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1.11.23.</w:t>
            </w:r>
          </w:p>
        </w:tc>
        <w:tc>
          <w:tcPr>
            <w:tcW w:w="3199" w:type="dxa"/>
            <w:tcBorders>
              <w:top w:val="single" w:sz="6" w:space="0" w:color="auto"/>
              <w:left w:val="nil"/>
              <w:bottom w:val="single" w:sz="6" w:space="0" w:color="auto"/>
              <w:right w:val="nil"/>
            </w:tcBorders>
          </w:tcPr>
          <w:p w14:paraId="0AAFFBE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Комисията за енергийно и водно регулиране</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1C5EDB5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7E10F14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218,2</w:t>
            </w:r>
          </w:p>
        </w:tc>
        <w:tc>
          <w:tcPr>
            <w:tcW w:w="1276" w:type="dxa"/>
            <w:tcBorders>
              <w:top w:val="nil"/>
              <w:left w:val="single" w:sz="6" w:space="0" w:color="auto"/>
              <w:bottom w:val="single" w:sz="6" w:space="0" w:color="auto"/>
              <w:right w:val="single" w:sz="6" w:space="0" w:color="auto"/>
            </w:tcBorders>
          </w:tcPr>
          <w:p w14:paraId="6B04B00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218,2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DE2770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08BDB8E9"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0243EF4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1.11.24.</w:t>
            </w:r>
          </w:p>
        </w:tc>
        <w:tc>
          <w:tcPr>
            <w:tcW w:w="3199" w:type="dxa"/>
            <w:tcBorders>
              <w:top w:val="single" w:sz="6" w:space="0" w:color="auto"/>
              <w:left w:val="nil"/>
              <w:bottom w:val="single" w:sz="6" w:space="0" w:color="auto"/>
              <w:right w:val="nil"/>
            </w:tcBorders>
          </w:tcPr>
          <w:p w14:paraId="033F182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Агенцията за ядрено регулиране</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268DCA0A"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288CAB8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1,5</w:t>
            </w:r>
          </w:p>
        </w:tc>
        <w:tc>
          <w:tcPr>
            <w:tcW w:w="1276" w:type="dxa"/>
            <w:tcBorders>
              <w:top w:val="nil"/>
              <w:left w:val="single" w:sz="6" w:space="0" w:color="auto"/>
              <w:bottom w:val="single" w:sz="6" w:space="0" w:color="auto"/>
              <w:right w:val="single" w:sz="6" w:space="0" w:color="auto"/>
            </w:tcBorders>
          </w:tcPr>
          <w:p w14:paraId="379C702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788089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4AE367A0"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716B7D6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1.11.25.</w:t>
            </w:r>
          </w:p>
        </w:tc>
        <w:tc>
          <w:tcPr>
            <w:tcW w:w="3199" w:type="dxa"/>
            <w:tcBorders>
              <w:top w:val="single" w:sz="6" w:space="0" w:color="auto"/>
              <w:left w:val="nil"/>
              <w:bottom w:val="single" w:sz="6" w:space="0" w:color="auto"/>
              <w:right w:val="nil"/>
            </w:tcBorders>
          </w:tcPr>
          <w:p w14:paraId="43B62864"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от Министерството на туризма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3E384DAF"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417" w:type="dxa"/>
            <w:tcBorders>
              <w:top w:val="nil"/>
              <w:left w:val="single" w:sz="6" w:space="0" w:color="auto"/>
              <w:bottom w:val="single" w:sz="6" w:space="0" w:color="auto"/>
              <w:right w:val="single" w:sz="6" w:space="0" w:color="auto"/>
            </w:tcBorders>
          </w:tcPr>
          <w:p w14:paraId="110905B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26,2</w:t>
            </w:r>
          </w:p>
        </w:tc>
        <w:tc>
          <w:tcPr>
            <w:tcW w:w="1276" w:type="dxa"/>
            <w:tcBorders>
              <w:top w:val="nil"/>
              <w:left w:val="single" w:sz="6" w:space="0" w:color="auto"/>
              <w:bottom w:val="single" w:sz="6" w:space="0" w:color="auto"/>
              <w:right w:val="single" w:sz="6" w:space="0" w:color="auto"/>
            </w:tcBorders>
          </w:tcPr>
          <w:p w14:paraId="222E3BB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26,2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B4BDD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74380ED7" w14:textId="77777777" w:rsidTr="00331B26">
        <w:trPr>
          <w:trHeight w:val="768"/>
        </w:trPr>
        <w:tc>
          <w:tcPr>
            <w:tcW w:w="1023" w:type="dxa"/>
            <w:tcBorders>
              <w:top w:val="single" w:sz="6" w:space="0" w:color="auto"/>
              <w:left w:val="single" w:sz="6" w:space="0" w:color="auto"/>
              <w:bottom w:val="single" w:sz="6" w:space="0" w:color="auto"/>
              <w:right w:val="single" w:sz="6" w:space="0" w:color="auto"/>
            </w:tcBorders>
          </w:tcPr>
          <w:p w14:paraId="110B376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1.12.</w:t>
            </w:r>
          </w:p>
        </w:tc>
        <w:tc>
          <w:tcPr>
            <w:tcW w:w="3199" w:type="dxa"/>
            <w:tcBorders>
              <w:top w:val="single" w:sz="6" w:space="0" w:color="auto"/>
              <w:left w:val="single" w:sz="6" w:space="0" w:color="auto"/>
              <w:bottom w:val="single" w:sz="6" w:space="0" w:color="auto"/>
              <w:right w:val="single" w:sz="6" w:space="0" w:color="auto"/>
            </w:tcBorders>
          </w:tcPr>
          <w:p w14:paraId="76590876"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Сметката за средствата от Европейския съюз на Националния фонд (нето)</w:t>
            </w:r>
          </w:p>
        </w:tc>
        <w:tc>
          <w:tcPr>
            <w:tcW w:w="1762" w:type="dxa"/>
            <w:tcBorders>
              <w:top w:val="single" w:sz="6" w:space="0" w:color="auto"/>
              <w:left w:val="single" w:sz="6" w:space="0" w:color="auto"/>
              <w:bottom w:val="single" w:sz="6" w:space="0" w:color="auto"/>
              <w:right w:val="single" w:sz="6" w:space="0" w:color="auto"/>
            </w:tcBorders>
          </w:tcPr>
          <w:p w14:paraId="50A690D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812 974,8</w:t>
            </w:r>
          </w:p>
        </w:tc>
        <w:tc>
          <w:tcPr>
            <w:tcW w:w="1417" w:type="dxa"/>
            <w:tcBorders>
              <w:top w:val="nil"/>
              <w:left w:val="single" w:sz="6" w:space="0" w:color="auto"/>
              <w:bottom w:val="single" w:sz="6" w:space="0" w:color="auto"/>
              <w:right w:val="single" w:sz="6" w:space="0" w:color="auto"/>
            </w:tcBorders>
          </w:tcPr>
          <w:p w14:paraId="210FC9F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812 974,8</w:t>
            </w:r>
          </w:p>
        </w:tc>
        <w:tc>
          <w:tcPr>
            <w:tcW w:w="1276" w:type="dxa"/>
            <w:tcBorders>
              <w:top w:val="single" w:sz="6" w:space="0" w:color="auto"/>
              <w:left w:val="single" w:sz="6" w:space="0" w:color="auto"/>
              <w:bottom w:val="single" w:sz="6" w:space="0" w:color="auto"/>
              <w:right w:val="single" w:sz="6" w:space="0" w:color="auto"/>
            </w:tcBorders>
          </w:tcPr>
          <w:p w14:paraId="75C31F1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0,</w:t>
            </w:r>
            <w:proofErr w:type="spellStart"/>
            <w:r w:rsidRPr="001A28D2">
              <w:rPr>
                <w:rFonts w:eastAsiaTheme="minorHAnsi"/>
                <w:color w:val="000000"/>
                <w:lang w:eastAsia="en-US"/>
              </w:rPr>
              <w:t>0</w:t>
            </w:r>
            <w:proofErr w:type="spellEnd"/>
          </w:p>
        </w:tc>
        <w:tc>
          <w:tcPr>
            <w:tcW w:w="1134" w:type="dxa"/>
            <w:tcBorders>
              <w:top w:val="single" w:sz="6" w:space="0" w:color="auto"/>
              <w:left w:val="single" w:sz="6" w:space="0" w:color="auto"/>
              <w:bottom w:val="single" w:sz="6" w:space="0" w:color="auto"/>
              <w:right w:val="single" w:sz="6" w:space="0" w:color="auto"/>
            </w:tcBorders>
          </w:tcPr>
          <w:p w14:paraId="598C3E1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100,0%</w:t>
            </w:r>
          </w:p>
        </w:tc>
      </w:tr>
      <w:tr w:rsidR="00331B26" w:rsidRPr="001A28D2" w14:paraId="6F57D86E" w14:textId="77777777" w:rsidTr="00331B26">
        <w:trPr>
          <w:trHeight w:val="768"/>
        </w:trPr>
        <w:tc>
          <w:tcPr>
            <w:tcW w:w="1023" w:type="dxa"/>
            <w:tcBorders>
              <w:top w:val="single" w:sz="6" w:space="0" w:color="auto"/>
              <w:left w:val="single" w:sz="6" w:space="0" w:color="auto"/>
              <w:bottom w:val="single" w:sz="6" w:space="0" w:color="auto"/>
              <w:right w:val="single" w:sz="6" w:space="0" w:color="auto"/>
            </w:tcBorders>
          </w:tcPr>
          <w:p w14:paraId="259E374F"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1.13.</w:t>
            </w:r>
          </w:p>
        </w:tc>
        <w:tc>
          <w:tcPr>
            <w:tcW w:w="3199" w:type="dxa"/>
            <w:tcBorders>
              <w:top w:val="single" w:sz="6" w:space="0" w:color="auto"/>
              <w:left w:val="single" w:sz="6" w:space="0" w:color="auto"/>
              <w:bottom w:val="single" w:sz="6" w:space="0" w:color="auto"/>
              <w:right w:val="single" w:sz="6" w:space="0" w:color="auto"/>
            </w:tcBorders>
          </w:tcPr>
          <w:p w14:paraId="41BC861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Сметката за средствата от Европейския съюз на Държавния фонд </w:t>
            </w:r>
            <w:r w:rsidRPr="001A28D2">
              <w:rPr>
                <w:rFonts w:eastAsiaTheme="minorHAnsi"/>
                <w:color w:val="000000"/>
                <w:lang w:eastAsia="en-US"/>
              </w:rPr>
              <w:lastRenderedPageBreak/>
              <w:t xml:space="preserve">„Земеделие“ </w:t>
            </w:r>
          </w:p>
        </w:tc>
        <w:tc>
          <w:tcPr>
            <w:tcW w:w="1762" w:type="dxa"/>
            <w:tcBorders>
              <w:top w:val="single" w:sz="6" w:space="0" w:color="auto"/>
              <w:left w:val="single" w:sz="6" w:space="0" w:color="auto"/>
              <w:bottom w:val="single" w:sz="6" w:space="0" w:color="auto"/>
              <w:right w:val="single" w:sz="6" w:space="0" w:color="auto"/>
            </w:tcBorders>
          </w:tcPr>
          <w:p w14:paraId="78705F7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lastRenderedPageBreak/>
              <w:t>156 530,9</w:t>
            </w:r>
          </w:p>
        </w:tc>
        <w:tc>
          <w:tcPr>
            <w:tcW w:w="1417" w:type="dxa"/>
            <w:tcBorders>
              <w:top w:val="nil"/>
              <w:left w:val="single" w:sz="6" w:space="0" w:color="auto"/>
              <w:bottom w:val="single" w:sz="6" w:space="0" w:color="auto"/>
              <w:right w:val="single" w:sz="6" w:space="0" w:color="auto"/>
            </w:tcBorders>
          </w:tcPr>
          <w:p w14:paraId="0A0B4CE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101 700,0</w:t>
            </w:r>
          </w:p>
        </w:tc>
        <w:tc>
          <w:tcPr>
            <w:tcW w:w="1276" w:type="dxa"/>
            <w:tcBorders>
              <w:top w:val="single" w:sz="6" w:space="0" w:color="auto"/>
              <w:left w:val="single" w:sz="6" w:space="0" w:color="auto"/>
              <w:bottom w:val="single" w:sz="6" w:space="0" w:color="auto"/>
              <w:right w:val="single" w:sz="6" w:space="0" w:color="auto"/>
            </w:tcBorders>
          </w:tcPr>
          <w:p w14:paraId="6E91BFF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-54 830,9</w:t>
            </w:r>
          </w:p>
        </w:tc>
        <w:tc>
          <w:tcPr>
            <w:tcW w:w="1134" w:type="dxa"/>
            <w:tcBorders>
              <w:top w:val="single" w:sz="6" w:space="0" w:color="auto"/>
              <w:left w:val="single" w:sz="6" w:space="0" w:color="auto"/>
              <w:bottom w:val="single" w:sz="6" w:space="0" w:color="auto"/>
              <w:right w:val="single" w:sz="6" w:space="0" w:color="auto"/>
            </w:tcBorders>
          </w:tcPr>
          <w:p w14:paraId="687F1BB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65,0%</w:t>
            </w:r>
          </w:p>
        </w:tc>
      </w:tr>
      <w:tr w:rsidR="00331B26" w:rsidRPr="001A28D2" w14:paraId="3E5B2D01" w14:textId="77777777" w:rsidTr="00331B26">
        <w:trPr>
          <w:trHeight w:val="768"/>
        </w:trPr>
        <w:tc>
          <w:tcPr>
            <w:tcW w:w="1023" w:type="dxa"/>
            <w:tcBorders>
              <w:top w:val="single" w:sz="6" w:space="0" w:color="auto"/>
              <w:left w:val="single" w:sz="6" w:space="0" w:color="auto"/>
              <w:bottom w:val="single" w:sz="6" w:space="0" w:color="auto"/>
              <w:right w:val="single" w:sz="6" w:space="0" w:color="auto"/>
            </w:tcBorders>
          </w:tcPr>
          <w:p w14:paraId="1816EBB3"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lastRenderedPageBreak/>
              <w:t>1.14.</w:t>
            </w:r>
          </w:p>
        </w:tc>
        <w:tc>
          <w:tcPr>
            <w:tcW w:w="3199" w:type="dxa"/>
            <w:tcBorders>
              <w:top w:val="single" w:sz="6" w:space="0" w:color="auto"/>
              <w:left w:val="nil"/>
              <w:bottom w:val="single" w:sz="6" w:space="0" w:color="auto"/>
              <w:right w:val="nil"/>
            </w:tcBorders>
          </w:tcPr>
          <w:p w14:paraId="425CEFB2"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Сметките за средствата от Европейския съюз на разпоредителите с бюджет</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026445F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nil"/>
              <w:left w:val="single" w:sz="6" w:space="0" w:color="auto"/>
              <w:bottom w:val="single" w:sz="6" w:space="0" w:color="auto"/>
              <w:right w:val="single" w:sz="6" w:space="0" w:color="auto"/>
            </w:tcBorders>
          </w:tcPr>
          <w:p w14:paraId="5BDC3D4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276 013,5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B281AB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95153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303CB21F"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4ADA534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1.15.</w:t>
            </w:r>
          </w:p>
        </w:tc>
        <w:tc>
          <w:tcPr>
            <w:tcW w:w="3199" w:type="dxa"/>
            <w:tcBorders>
              <w:top w:val="single" w:sz="6" w:space="0" w:color="auto"/>
              <w:left w:val="nil"/>
              <w:bottom w:val="single" w:sz="6" w:space="0" w:color="auto"/>
              <w:right w:val="nil"/>
            </w:tcBorders>
          </w:tcPr>
          <w:p w14:paraId="34B9DBC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Други предоставени трансфери</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59314D57"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nil"/>
              <w:left w:val="single" w:sz="6" w:space="0" w:color="auto"/>
              <w:bottom w:val="single" w:sz="6" w:space="0" w:color="auto"/>
              <w:right w:val="single" w:sz="6" w:space="0" w:color="auto"/>
            </w:tcBorders>
          </w:tcPr>
          <w:p w14:paraId="5370D99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23 094,3</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B589800"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CC148A"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3094234F"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238A2DC0"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2.</w:t>
            </w:r>
          </w:p>
        </w:tc>
        <w:tc>
          <w:tcPr>
            <w:tcW w:w="3199" w:type="dxa"/>
            <w:tcBorders>
              <w:top w:val="single" w:sz="6" w:space="0" w:color="auto"/>
              <w:left w:val="nil"/>
              <w:bottom w:val="single" w:sz="6" w:space="0" w:color="auto"/>
              <w:right w:val="nil"/>
            </w:tcBorders>
          </w:tcPr>
          <w:p w14:paraId="0709DF9B"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 xml:space="preserve">  Получени трансфери от:</w:t>
            </w:r>
          </w:p>
        </w:tc>
        <w:tc>
          <w:tcPr>
            <w:tcW w:w="1762" w:type="dxa"/>
            <w:tcBorders>
              <w:top w:val="single" w:sz="6" w:space="0" w:color="auto"/>
              <w:left w:val="single" w:sz="6" w:space="0" w:color="auto"/>
              <w:bottom w:val="single" w:sz="6" w:space="0" w:color="auto"/>
              <w:right w:val="single" w:sz="6" w:space="0" w:color="auto"/>
            </w:tcBorders>
          </w:tcPr>
          <w:p w14:paraId="20D3E5A9"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70 834,0</w:t>
            </w:r>
          </w:p>
        </w:tc>
        <w:tc>
          <w:tcPr>
            <w:tcW w:w="1417" w:type="dxa"/>
            <w:tcBorders>
              <w:top w:val="single" w:sz="6" w:space="0" w:color="auto"/>
              <w:left w:val="single" w:sz="6" w:space="0" w:color="auto"/>
              <w:bottom w:val="single" w:sz="6" w:space="0" w:color="auto"/>
              <w:right w:val="single" w:sz="6" w:space="0" w:color="auto"/>
            </w:tcBorders>
          </w:tcPr>
          <w:p w14:paraId="7C1E43E5"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392 313,8</w:t>
            </w:r>
          </w:p>
        </w:tc>
        <w:tc>
          <w:tcPr>
            <w:tcW w:w="1276" w:type="dxa"/>
            <w:tcBorders>
              <w:top w:val="single" w:sz="6" w:space="0" w:color="auto"/>
              <w:left w:val="single" w:sz="6" w:space="0" w:color="auto"/>
              <w:bottom w:val="single" w:sz="6" w:space="0" w:color="auto"/>
              <w:right w:val="single" w:sz="6" w:space="0" w:color="auto"/>
            </w:tcBorders>
          </w:tcPr>
          <w:p w14:paraId="301F92EE"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321 479,8</w:t>
            </w:r>
          </w:p>
        </w:tc>
        <w:tc>
          <w:tcPr>
            <w:tcW w:w="1134" w:type="dxa"/>
            <w:tcBorders>
              <w:top w:val="single" w:sz="6" w:space="0" w:color="auto"/>
              <w:left w:val="single" w:sz="6" w:space="0" w:color="auto"/>
              <w:bottom w:val="single" w:sz="6" w:space="0" w:color="auto"/>
              <w:right w:val="single" w:sz="6" w:space="0" w:color="auto"/>
            </w:tcBorders>
          </w:tcPr>
          <w:p w14:paraId="46547187"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553,8%</w:t>
            </w:r>
          </w:p>
        </w:tc>
      </w:tr>
      <w:tr w:rsidR="00331B26" w:rsidRPr="001A28D2" w14:paraId="41B5887C"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3E1B4A5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2.1.</w:t>
            </w:r>
          </w:p>
        </w:tc>
        <w:tc>
          <w:tcPr>
            <w:tcW w:w="3199" w:type="dxa"/>
            <w:tcBorders>
              <w:top w:val="single" w:sz="6" w:space="0" w:color="auto"/>
              <w:left w:val="nil"/>
              <w:bottom w:val="single" w:sz="6" w:space="0" w:color="auto"/>
              <w:right w:val="nil"/>
            </w:tcBorders>
          </w:tcPr>
          <w:p w14:paraId="37FEDD3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Държавното обществено осигуряване </w:t>
            </w:r>
          </w:p>
        </w:tc>
        <w:tc>
          <w:tcPr>
            <w:tcW w:w="1762" w:type="dxa"/>
            <w:tcBorders>
              <w:top w:val="single" w:sz="6" w:space="0" w:color="auto"/>
              <w:left w:val="single" w:sz="6" w:space="0" w:color="auto"/>
              <w:bottom w:val="single" w:sz="6" w:space="0" w:color="auto"/>
              <w:right w:val="single" w:sz="6" w:space="0" w:color="auto"/>
            </w:tcBorders>
          </w:tcPr>
          <w:p w14:paraId="477A68D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7 150,0</w:t>
            </w:r>
          </w:p>
        </w:tc>
        <w:tc>
          <w:tcPr>
            <w:tcW w:w="1417" w:type="dxa"/>
            <w:tcBorders>
              <w:top w:val="single" w:sz="6" w:space="0" w:color="auto"/>
              <w:left w:val="single" w:sz="6" w:space="0" w:color="auto"/>
              <w:bottom w:val="single" w:sz="6" w:space="0" w:color="auto"/>
              <w:right w:val="single" w:sz="6" w:space="0" w:color="auto"/>
            </w:tcBorders>
          </w:tcPr>
          <w:p w14:paraId="3E15E238"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8 402,0</w:t>
            </w:r>
          </w:p>
        </w:tc>
        <w:tc>
          <w:tcPr>
            <w:tcW w:w="1276" w:type="dxa"/>
            <w:tcBorders>
              <w:top w:val="single" w:sz="6" w:space="0" w:color="auto"/>
              <w:left w:val="single" w:sz="6" w:space="0" w:color="auto"/>
              <w:bottom w:val="single" w:sz="6" w:space="0" w:color="auto"/>
              <w:right w:val="single" w:sz="6" w:space="0" w:color="auto"/>
            </w:tcBorders>
          </w:tcPr>
          <w:p w14:paraId="68944274"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1 252,0</w:t>
            </w:r>
          </w:p>
        </w:tc>
        <w:tc>
          <w:tcPr>
            <w:tcW w:w="1134" w:type="dxa"/>
            <w:tcBorders>
              <w:top w:val="single" w:sz="6" w:space="0" w:color="auto"/>
              <w:left w:val="single" w:sz="6" w:space="0" w:color="auto"/>
              <w:bottom w:val="single" w:sz="6" w:space="0" w:color="auto"/>
              <w:right w:val="single" w:sz="6" w:space="0" w:color="auto"/>
            </w:tcBorders>
          </w:tcPr>
          <w:p w14:paraId="1AC63A4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117,5%</w:t>
            </w:r>
          </w:p>
        </w:tc>
      </w:tr>
      <w:tr w:rsidR="00331B26" w:rsidRPr="001A28D2" w14:paraId="1ED18121"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6C41D1B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2.1.</w:t>
            </w:r>
            <w:proofErr w:type="spellStart"/>
            <w:r w:rsidRPr="001A28D2">
              <w:rPr>
                <w:rFonts w:eastAsiaTheme="minorHAnsi"/>
                <w:color w:val="000000"/>
                <w:lang w:eastAsia="en-US"/>
              </w:rPr>
              <w:t>1</w:t>
            </w:r>
            <w:proofErr w:type="spellEnd"/>
            <w:r w:rsidRPr="001A28D2">
              <w:rPr>
                <w:rFonts w:eastAsiaTheme="minorHAnsi"/>
                <w:color w:val="000000"/>
                <w:lang w:eastAsia="en-US"/>
              </w:rPr>
              <w:t>.</w:t>
            </w:r>
          </w:p>
        </w:tc>
        <w:tc>
          <w:tcPr>
            <w:tcW w:w="3199" w:type="dxa"/>
            <w:tcBorders>
              <w:top w:val="single" w:sz="6" w:space="0" w:color="auto"/>
              <w:left w:val="nil"/>
              <w:bottom w:val="single" w:sz="6" w:space="0" w:color="auto"/>
              <w:right w:val="nil"/>
            </w:tcBorders>
          </w:tcPr>
          <w:p w14:paraId="34173D1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Министерството на труда и социалната политика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7A8E51B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40E207E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6 715,5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A56707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124E0D1"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2E903568"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6653823D"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2.1.2.</w:t>
            </w:r>
          </w:p>
        </w:tc>
        <w:tc>
          <w:tcPr>
            <w:tcW w:w="3199" w:type="dxa"/>
            <w:tcBorders>
              <w:top w:val="single" w:sz="6" w:space="0" w:color="auto"/>
              <w:left w:val="nil"/>
              <w:bottom w:val="nil"/>
              <w:right w:val="nil"/>
            </w:tcBorders>
          </w:tcPr>
          <w:p w14:paraId="2CB8414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Министерството на отбраната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33AD99A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25EBCF51"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1 686,6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627D2CBE"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72A587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71E3EA94"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6D5D938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roofErr w:type="spellStart"/>
            <w:r w:rsidRPr="001A28D2">
              <w:rPr>
                <w:rFonts w:eastAsiaTheme="minorHAnsi"/>
                <w:color w:val="000000"/>
                <w:lang w:eastAsia="en-US"/>
              </w:rPr>
              <w:t>2</w:t>
            </w:r>
            <w:proofErr w:type="spellEnd"/>
            <w:r w:rsidRPr="001A28D2">
              <w:rPr>
                <w:rFonts w:eastAsiaTheme="minorHAnsi"/>
                <w:color w:val="000000"/>
                <w:lang w:eastAsia="en-US"/>
              </w:rPr>
              <w:t>.</w:t>
            </w:r>
          </w:p>
        </w:tc>
        <w:tc>
          <w:tcPr>
            <w:tcW w:w="3199" w:type="dxa"/>
            <w:tcBorders>
              <w:top w:val="single" w:sz="6" w:space="0" w:color="auto"/>
              <w:left w:val="nil"/>
              <w:bottom w:val="single" w:sz="6" w:space="0" w:color="auto"/>
              <w:right w:val="nil"/>
            </w:tcBorders>
          </w:tcPr>
          <w:p w14:paraId="39F2479D"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Националната здравноосигурителна каса за: </w:t>
            </w:r>
          </w:p>
        </w:tc>
        <w:tc>
          <w:tcPr>
            <w:tcW w:w="1762" w:type="dxa"/>
            <w:tcBorders>
              <w:top w:val="single" w:sz="6" w:space="0" w:color="auto"/>
              <w:left w:val="single" w:sz="6" w:space="0" w:color="auto"/>
              <w:bottom w:val="single" w:sz="6" w:space="0" w:color="auto"/>
              <w:right w:val="single" w:sz="6" w:space="0" w:color="auto"/>
            </w:tcBorders>
          </w:tcPr>
          <w:p w14:paraId="1EB21F4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3 684,0</w:t>
            </w:r>
          </w:p>
        </w:tc>
        <w:tc>
          <w:tcPr>
            <w:tcW w:w="1417" w:type="dxa"/>
            <w:tcBorders>
              <w:top w:val="single" w:sz="6" w:space="0" w:color="auto"/>
              <w:left w:val="single" w:sz="6" w:space="0" w:color="auto"/>
              <w:bottom w:val="single" w:sz="6" w:space="0" w:color="auto"/>
              <w:right w:val="single" w:sz="6" w:space="0" w:color="auto"/>
            </w:tcBorders>
          </w:tcPr>
          <w:p w14:paraId="326717C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78 990,5</w:t>
            </w:r>
          </w:p>
        </w:tc>
        <w:tc>
          <w:tcPr>
            <w:tcW w:w="1276" w:type="dxa"/>
            <w:tcBorders>
              <w:top w:val="single" w:sz="6" w:space="0" w:color="auto"/>
              <w:left w:val="single" w:sz="6" w:space="0" w:color="auto"/>
              <w:bottom w:val="single" w:sz="6" w:space="0" w:color="auto"/>
              <w:right w:val="single" w:sz="6" w:space="0" w:color="auto"/>
            </w:tcBorders>
          </w:tcPr>
          <w:p w14:paraId="3807E21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75 306,5</w:t>
            </w:r>
          </w:p>
        </w:tc>
        <w:tc>
          <w:tcPr>
            <w:tcW w:w="1134" w:type="dxa"/>
            <w:tcBorders>
              <w:top w:val="single" w:sz="6" w:space="0" w:color="auto"/>
              <w:left w:val="single" w:sz="6" w:space="0" w:color="auto"/>
              <w:bottom w:val="single" w:sz="6" w:space="0" w:color="auto"/>
              <w:right w:val="single" w:sz="6" w:space="0" w:color="auto"/>
            </w:tcBorders>
          </w:tcPr>
          <w:p w14:paraId="217A74EA"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2144,2%</w:t>
            </w:r>
          </w:p>
        </w:tc>
      </w:tr>
      <w:tr w:rsidR="00331B26" w:rsidRPr="001A28D2" w14:paraId="6D7C93A4"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4FAB2B19"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roofErr w:type="spellStart"/>
            <w:r w:rsidRPr="001A28D2">
              <w:rPr>
                <w:rFonts w:eastAsiaTheme="minorHAnsi"/>
                <w:color w:val="000000"/>
                <w:lang w:eastAsia="en-US"/>
              </w:rPr>
              <w:t>2</w:t>
            </w:r>
            <w:proofErr w:type="spellEnd"/>
            <w:r w:rsidRPr="001A28D2">
              <w:rPr>
                <w:rFonts w:eastAsiaTheme="minorHAnsi"/>
                <w:color w:val="000000"/>
                <w:lang w:eastAsia="en-US"/>
              </w:rPr>
              <w:t>.1.</w:t>
            </w:r>
          </w:p>
        </w:tc>
        <w:tc>
          <w:tcPr>
            <w:tcW w:w="3199" w:type="dxa"/>
            <w:tcBorders>
              <w:top w:val="single" w:sz="6" w:space="0" w:color="auto"/>
              <w:left w:val="nil"/>
              <w:bottom w:val="nil"/>
              <w:right w:val="nil"/>
            </w:tcBorders>
          </w:tcPr>
          <w:p w14:paraId="74A13752"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Министерския съвет</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67D42B70"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51936232"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7 663,8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E2AF155"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0790332"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0E3E29CC"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5F38EBC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roofErr w:type="spellStart"/>
            <w:r w:rsidRPr="001A28D2">
              <w:rPr>
                <w:rFonts w:eastAsiaTheme="minorHAnsi"/>
                <w:color w:val="000000"/>
                <w:lang w:eastAsia="en-US"/>
              </w:rPr>
              <w:t>2</w:t>
            </w:r>
            <w:proofErr w:type="spellEnd"/>
            <w:r w:rsidRPr="001A28D2">
              <w:rPr>
                <w:rFonts w:eastAsiaTheme="minorHAnsi"/>
                <w:color w:val="000000"/>
                <w:lang w:eastAsia="en-US"/>
              </w:rPr>
              <w:t>.2.</w:t>
            </w:r>
          </w:p>
        </w:tc>
        <w:tc>
          <w:tcPr>
            <w:tcW w:w="3199" w:type="dxa"/>
            <w:tcBorders>
              <w:top w:val="single" w:sz="6" w:space="0" w:color="auto"/>
              <w:left w:val="nil"/>
              <w:bottom w:val="nil"/>
              <w:right w:val="nil"/>
            </w:tcBorders>
          </w:tcPr>
          <w:p w14:paraId="25BAB645"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Министерството на финансите</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06EF41A6"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23B622D9"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3 684,0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D63926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FF3923F"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48E711DD"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01D61F5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roofErr w:type="spellStart"/>
            <w:r w:rsidRPr="001A28D2">
              <w:rPr>
                <w:rFonts w:eastAsiaTheme="minorHAnsi"/>
                <w:color w:val="000000"/>
                <w:lang w:eastAsia="en-US"/>
              </w:rPr>
              <w:t>2</w:t>
            </w:r>
            <w:proofErr w:type="spellEnd"/>
            <w:r w:rsidRPr="001A28D2">
              <w:rPr>
                <w:rFonts w:eastAsiaTheme="minorHAnsi"/>
                <w:color w:val="000000"/>
                <w:lang w:eastAsia="en-US"/>
              </w:rPr>
              <w:t>.3.</w:t>
            </w:r>
          </w:p>
        </w:tc>
        <w:tc>
          <w:tcPr>
            <w:tcW w:w="3199" w:type="dxa"/>
            <w:tcBorders>
              <w:top w:val="single" w:sz="6" w:space="0" w:color="auto"/>
              <w:left w:val="nil"/>
              <w:bottom w:val="nil"/>
              <w:right w:val="nil"/>
            </w:tcBorders>
          </w:tcPr>
          <w:p w14:paraId="0E7D619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Министерството на отбраната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7B14AF0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638C591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53 456,2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A43B42F"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643236"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160DD297"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63A539BA"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roofErr w:type="spellStart"/>
            <w:r w:rsidRPr="001A28D2">
              <w:rPr>
                <w:rFonts w:eastAsiaTheme="minorHAnsi"/>
                <w:color w:val="000000"/>
                <w:lang w:eastAsia="en-US"/>
              </w:rPr>
              <w:t>2</w:t>
            </w:r>
            <w:proofErr w:type="spellEnd"/>
            <w:r w:rsidRPr="001A28D2">
              <w:rPr>
                <w:rFonts w:eastAsiaTheme="minorHAnsi"/>
                <w:color w:val="000000"/>
                <w:lang w:eastAsia="en-US"/>
              </w:rPr>
              <w:t>.4.</w:t>
            </w:r>
          </w:p>
        </w:tc>
        <w:tc>
          <w:tcPr>
            <w:tcW w:w="3199" w:type="dxa"/>
            <w:tcBorders>
              <w:top w:val="single" w:sz="6" w:space="0" w:color="auto"/>
              <w:left w:val="nil"/>
              <w:bottom w:val="nil"/>
              <w:right w:val="nil"/>
            </w:tcBorders>
          </w:tcPr>
          <w:p w14:paraId="54A48AB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Министерството на вътрешните работи</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476B12EE"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71C21CFC"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10 160,9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3EDED84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61CB30E"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75903037" w14:textId="77777777" w:rsidTr="00331B26">
        <w:trPr>
          <w:trHeight w:val="768"/>
        </w:trPr>
        <w:tc>
          <w:tcPr>
            <w:tcW w:w="1023" w:type="dxa"/>
            <w:tcBorders>
              <w:top w:val="single" w:sz="6" w:space="0" w:color="auto"/>
              <w:left w:val="single" w:sz="6" w:space="0" w:color="auto"/>
              <w:bottom w:val="single" w:sz="6" w:space="0" w:color="auto"/>
              <w:right w:val="single" w:sz="6" w:space="0" w:color="auto"/>
            </w:tcBorders>
          </w:tcPr>
          <w:p w14:paraId="2B54AEA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w:t>
            </w:r>
            <w:proofErr w:type="spellStart"/>
            <w:r w:rsidRPr="001A28D2">
              <w:rPr>
                <w:rFonts w:eastAsiaTheme="minorHAnsi"/>
                <w:color w:val="000000"/>
                <w:lang w:eastAsia="en-US"/>
              </w:rPr>
              <w:t>2</w:t>
            </w:r>
            <w:proofErr w:type="spellEnd"/>
            <w:r w:rsidRPr="001A28D2">
              <w:rPr>
                <w:rFonts w:eastAsiaTheme="minorHAnsi"/>
                <w:color w:val="000000"/>
                <w:lang w:eastAsia="en-US"/>
              </w:rPr>
              <w:t>.5.</w:t>
            </w:r>
          </w:p>
        </w:tc>
        <w:tc>
          <w:tcPr>
            <w:tcW w:w="3199" w:type="dxa"/>
            <w:tcBorders>
              <w:top w:val="single" w:sz="6" w:space="0" w:color="auto"/>
              <w:left w:val="nil"/>
              <w:bottom w:val="nil"/>
              <w:right w:val="nil"/>
            </w:tcBorders>
          </w:tcPr>
          <w:p w14:paraId="6ABD985B"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Министерството на транспорта, информационните технологии и съобщенията</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068ACAC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15920777"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4 025,7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E352B89"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8D3EF4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2DC66E4C" w14:textId="77777777" w:rsidTr="00331B26">
        <w:trPr>
          <w:trHeight w:val="828"/>
        </w:trPr>
        <w:tc>
          <w:tcPr>
            <w:tcW w:w="1023" w:type="dxa"/>
            <w:tcBorders>
              <w:top w:val="single" w:sz="6" w:space="0" w:color="auto"/>
              <w:left w:val="single" w:sz="6" w:space="0" w:color="auto"/>
              <w:bottom w:val="single" w:sz="6" w:space="0" w:color="auto"/>
              <w:right w:val="single" w:sz="6" w:space="0" w:color="auto"/>
            </w:tcBorders>
          </w:tcPr>
          <w:p w14:paraId="3796A6B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2.3.</w:t>
            </w:r>
          </w:p>
        </w:tc>
        <w:tc>
          <w:tcPr>
            <w:tcW w:w="3199" w:type="dxa"/>
            <w:tcBorders>
              <w:top w:val="single" w:sz="6" w:space="0" w:color="auto"/>
              <w:left w:val="nil"/>
              <w:bottom w:val="nil"/>
              <w:right w:val="nil"/>
            </w:tcBorders>
          </w:tcPr>
          <w:p w14:paraId="29859FC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 xml:space="preserve"> Предприятието за управление на дейностите по опазване на околната среда за разпоредители с бюджет</w:t>
            </w:r>
          </w:p>
        </w:tc>
        <w:tc>
          <w:tcPr>
            <w:tcW w:w="1762" w:type="dxa"/>
            <w:tcBorders>
              <w:top w:val="single" w:sz="6" w:space="0" w:color="auto"/>
              <w:left w:val="single" w:sz="6" w:space="0" w:color="auto"/>
              <w:bottom w:val="single" w:sz="6" w:space="0" w:color="auto"/>
              <w:right w:val="single" w:sz="6" w:space="0" w:color="auto"/>
            </w:tcBorders>
          </w:tcPr>
          <w:p w14:paraId="064E859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60 000,0</w:t>
            </w:r>
          </w:p>
        </w:tc>
        <w:tc>
          <w:tcPr>
            <w:tcW w:w="1417" w:type="dxa"/>
            <w:tcBorders>
              <w:top w:val="single" w:sz="6" w:space="0" w:color="auto"/>
              <w:left w:val="single" w:sz="6" w:space="0" w:color="auto"/>
              <w:bottom w:val="single" w:sz="6" w:space="0" w:color="auto"/>
              <w:right w:val="single" w:sz="6" w:space="0" w:color="auto"/>
            </w:tcBorders>
          </w:tcPr>
          <w:p w14:paraId="0D677023"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46 646,9</w:t>
            </w:r>
          </w:p>
        </w:tc>
        <w:tc>
          <w:tcPr>
            <w:tcW w:w="1276" w:type="dxa"/>
            <w:tcBorders>
              <w:top w:val="single" w:sz="6" w:space="0" w:color="auto"/>
              <w:left w:val="single" w:sz="6" w:space="0" w:color="auto"/>
              <w:bottom w:val="single" w:sz="6" w:space="0" w:color="auto"/>
              <w:right w:val="single" w:sz="6" w:space="0" w:color="auto"/>
            </w:tcBorders>
          </w:tcPr>
          <w:p w14:paraId="54459B5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-13 353,1</w:t>
            </w:r>
          </w:p>
        </w:tc>
        <w:tc>
          <w:tcPr>
            <w:tcW w:w="1134" w:type="dxa"/>
            <w:tcBorders>
              <w:top w:val="single" w:sz="6" w:space="0" w:color="auto"/>
              <w:left w:val="single" w:sz="6" w:space="0" w:color="auto"/>
              <w:bottom w:val="single" w:sz="6" w:space="0" w:color="auto"/>
              <w:right w:val="single" w:sz="6" w:space="0" w:color="auto"/>
            </w:tcBorders>
          </w:tcPr>
          <w:p w14:paraId="0D666F3F"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77,7%</w:t>
            </w:r>
          </w:p>
        </w:tc>
      </w:tr>
      <w:tr w:rsidR="00331B26" w:rsidRPr="001A28D2" w14:paraId="4FB1C31F"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30822C1B" w14:textId="77777777" w:rsidR="00331B26" w:rsidRPr="001A28D2" w:rsidRDefault="00331B26">
            <w:pPr>
              <w:autoSpaceDE w:val="0"/>
              <w:autoSpaceDN w:val="0"/>
              <w:adjustRightInd w:val="0"/>
              <w:rPr>
                <w:rFonts w:eastAsiaTheme="minorHAnsi"/>
                <w:color w:val="000000"/>
                <w:lang w:eastAsia="en-US"/>
              </w:rPr>
            </w:pPr>
          </w:p>
        </w:tc>
        <w:tc>
          <w:tcPr>
            <w:tcW w:w="3199" w:type="dxa"/>
            <w:tcBorders>
              <w:top w:val="single" w:sz="6" w:space="0" w:color="auto"/>
              <w:left w:val="nil"/>
              <w:bottom w:val="nil"/>
              <w:right w:val="nil"/>
            </w:tcBorders>
          </w:tcPr>
          <w:p w14:paraId="0CE2E120"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в т.ч. за Министерството на околната среда и водите</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76E34FE1"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097C60FB"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46 517,6</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03A12294"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57B82D61"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10F11D31"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719750C7"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2.4.</w:t>
            </w:r>
          </w:p>
        </w:tc>
        <w:tc>
          <w:tcPr>
            <w:tcW w:w="3199" w:type="dxa"/>
            <w:tcBorders>
              <w:top w:val="single" w:sz="6" w:space="0" w:color="auto"/>
              <w:left w:val="nil"/>
              <w:bottom w:val="nil"/>
              <w:right w:val="nil"/>
            </w:tcBorders>
          </w:tcPr>
          <w:p w14:paraId="5502DE4C"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Възстановени трансфери за централния бюджет от общините</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6A16FB20"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0EACDB96"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7 921,8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870BE9E"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84D84EC"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32E96C3B" w14:textId="77777777" w:rsidTr="00331B26">
        <w:trPr>
          <w:trHeight w:val="1025"/>
        </w:trPr>
        <w:tc>
          <w:tcPr>
            <w:tcW w:w="1023" w:type="dxa"/>
            <w:tcBorders>
              <w:top w:val="single" w:sz="6" w:space="0" w:color="auto"/>
              <w:left w:val="single" w:sz="6" w:space="0" w:color="auto"/>
              <w:bottom w:val="single" w:sz="6" w:space="0" w:color="auto"/>
              <w:right w:val="single" w:sz="6" w:space="0" w:color="auto"/>
            </w:tcBorders>
          </w:tcPr>
          <w:p w14:paraId="0CF990E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2.5.</w:t>
            </w:r>
          </w:p>
        </w:tc>
        <w:tc>
          <w:tcPr>
            <w:tcW w:w="3199" w:type="dxa"/>
            <w:tcBorders>
              <w:top w:val="single" w:sz="6" w:space="0" w:color="auto"/>
              <w:left w:val="nil"/>
              <w:bottom w:val="nil"/>
              <w:right w:val="nil"/>
            </w:tcBorders>
          </w:tcPr>
          <w:p w14:paraId="5D38DF48"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Сметки за средства от Европейския съюз на разпоредители с бюджет по държавния бюджет</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69DAC68A"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08FF7FD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233 063,1</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CD9120F"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969BF2"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4BBACDA5" w14:textId="77777777" w:rsidTr="00331B26">
        <w:trPr>
          <w:trHeight w:val="257"/>
        </w:trPr>
        <w:tc>
          <w:tcPr>
            <w:tcW w:w="1023" w:type="dxa"/>
            <w:tcBorders>
              <w:top w:val="single" w:sz="6" w:space="0" w:color="auto"/>
              <w:left w:val="single" w:sz="6" w:space="0" w:color="auto"/>
              <w:bottom w:val="single" w:sz="6" w:space="0" w:color="auto"/>
              <w:right w:val="single" w:sz="6" w:space="0" w:color="auto"/>
            </w:tcBorders>
          </w:tcPr>
          <w:p w14:paraId="3FE9DAB1"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2.6.</w:t>
            </w:r>
          </w:p>
        </w:tc>
        <w:tc>
          <w:tcPr>
            <w:tcW w:w="3199" w:type="dxa"/>
            <w:tcBorders>
              <w:top w:val="single" w:sz="6" w:space="0" w:color="auto"/>
              <w:left w:val="nil"/>
              <w:bottom w:val="nil"/>
              <w:right w:val="nil"/>
            </w:tcBorders>
          </w:tcPr>
          <w:p w14:paraId="0977882E" w14:textId="77777777" w:rsidR="00331B26" w:rsidRPr="001A28D2" w:rsidRDefault="00331B26">
            <w:pPr>
              <w:autoSpaceDE w:val="0"/>
              <w:autoSpaceDN w:val="0"/>
              <w:adjustRightInd w:val="0"/>
              <w:rPr>
                <w:rFonts w:eastAsiaTheme="minorHAnsi"/>
                <w:color w:val="000000"/>
                <w:lang w:eastAsia="en-US"/>
              </w:rPr>
            </w:pPr>
            <w:r w:rsidRPr="001A28D2">
              <w:rPr>
                <w:rFonts w:eastAsiaTheme="minorHAnsi"/>
                <w:color w:val="000000"/>
                <w:lang w:eastAsia="en-US"/>
              </w:rPr>
              <w:t>Други получени трансфери</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49AFF1F3"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7DE1DBAE" w14:textId="77777777" w:rsidR="00331B26" w:rsidRPr="001A28D2" w:rsidRDefault="00331B26">
            <w:pPr>
              <w:autoSpaceDE w:val="0"/>
              <w:autoSpaceDN w:val="0"/>
              <w:adjustRightInd w:val="0"/>
              <w:jc w:val="right"/>
              <w:rPr>
                <w:rFonts w:eastAsiaTheme="minorHAnsi"/>
                <w:color w:val="000000"/>
                <w:lang w:eastAsia="en-US"/>
              </w:rPr>
            </w:pPr>
            <w:r w:rsidRPr="001A28D2">
              <w:rPr>
                <w:rFonts w:eastAsiaTheme="minorHAnsi"/>
                <w:color w:val="000000"/>
                <w:lang w:eastAsia="en-US"/>
              </w:rPr>
              <w:t>17 289,5</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CB58B55"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BAF3616"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233675CF"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tcPr>
          <w:p w14:paraId="5870231C"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3.</w:t>
            </w:r>
          </w:p>
        </w:tc>
        <w:tc>
          <w:tcPr>
            <w:tcW w:w="3199" w:type="dxa"/>
            <w:tcBorders>
              <w:top w:val="single" w:sz="6" w:space="0" w:color="auto"/>
              <w:left w:val="nil"/>
              <w:bottom w:val="nil"/>
              <w:right w:val="nil"/>
            </w:tcBorders>
          </w:tcPr>
          <w:p w14:paraId="60FFBFCA"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Временни безлихвени заеми от/за централния бюджет (нето)</w:t>
            </w:r>
          </w:p>
        </w:tc>
        <w:tc>
          <w:tcPr>
            <w:tcW w:w="1762" w:type="dxa"/>
            <w:tcBorders>
              <w:top w:val="single" w:sz="6" w:space="0" w:color="auto"/>
              <w:left w:val="single" w:sz="6" w:space="0" w:color="auto"/>
              <w:bottom w:val="single" w:sz="6" w:space="0" w:color="auto"/>
              <w:right w:val="single" w:sz="6" w:space="0" w:color="auto"/>
            </w:tcBorders>
            <w:shd w:val="solid" w:color="FFFFFF" w:fill="auto"/>
          </w:tcPr>
          <w:p w14:paraId="4E6D8152"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417" w:type="dxa"/>
            <w:tcBorders>
              <w:top w:val="single" w:sz="6" w:space="0" w:color="auto"/>
              <w:left w:val="single" w:sz="6" w:space="0" w:color="auto"/>
              <w:bottom w:val="single" w:sz="6" w:space="0" w:color="auto"/>
              <w:right w:val="single" w:sz="6" w:space="0" w:color="auto"/>
            </w:tcBorders>
          </w:tcPr>
          <w:p w14:paraId="5A0717EE"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7 453,8</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5D2DE9F0"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748C48" w14:textId="77777777" w:rsidR="00331B26" w:rsidRPr="001A28D2" w:rsidRDefault="00331B26">
            <w:pPr>
              <w:autoSpaceDE w:val="0"/>
              <w:autoSpaceDN w:val="0"/>
              <w:adjustRightInd w:val="0"/>
              <w:jc w:val="center"/>
              <w:rPr>
                <w:rFonts w:eastAsiaTheme="minorHAnsi"/>
                <w:color w:val="000000"/>
                <w:lang w:eastAsia="en-US"/>
              </w:rPr>
            </w:pPr>
            <w:r w:rsidRPr="001A28D2">
              <w:rPr>
                <w:rFonts w:eastAsiaTheme="minorHAnsi"/>
                <w:color w:val="000000"/>
                <w:lang w:eastAsia="en-US"/>
              </w:rPr>
              <w:t>x</w:t>
            </w:r>
          </w:p>
        </w:tc>
      </w:tr>
      <w:tr w:rsidR="00331B26" w:rsidRPr="001A28D2" w14:paraId="0BB55827"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B523CE5"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lastRenderedPageBreak/>
              <w:t>ІV.</w:t>
            </w:r>
          </w:p>
        </w:tc>
        <w:tc>
          <w:tcPr>
            <w:tcW w:w="319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CF70DF6"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ВНОСКА В ОБЩИЯ БЮДЖЕТ НА ЕВРОПЕЙСКИЯ СЪЮЗ</w:t>
            </w:r>
          </w:p>
        </w:tc>
        <w:tc>
          <w:tcPr>
            <w:tcW w:w="1762"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CDF5814"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1 009 743,8</w:t>
            </w:r>
          </w:p>
        </w:tc>
        <w:tc>
          <w:tcPr>
            <w:tcW w:w="141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F42DC92"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859 451,9</w:t>
            </w:r>
          </w:p>
        </w:tc>
        <w:tc>
          <w:tcPr>
            <w:tcW w:w="1276"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31496B2"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-150 291,9</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7E5F358"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85,1%</w:t>
            </w:r>
          </w:p>
        </w:tc>
      </w:tr>
      <w:tr w:rsidR="00331B26" w:rsidRPr="001A28D2" w14:paraId="14D88242" w14:textId="77777777" w:rsidTr="00331B26">
        <w:trPr>
          <w:trHeight w:val="257"/>
        </w:trPr>
        <w:tc>
          <w:tcPr>
            <w:tcW w:w="4222" w:type="dxa"/>
            <w:gridSpan w:val="2"/>
            <w:tcBorders>
              <w:top w:val="single" w:sz="6" w:space="0" w:color="auto"/>
              <w:left w:val="single" w:sz="6" w:space="0" w:color="auto"/>
              <w:bottom w:val="single" w:sz="6" w:space="0" w:color="auto"/>
              <w:right w:val="single" w:sz="6" w:space="0" w:color="auto"/>
            </w:tcBorders>
            <w:shd w:val="clear" w:color="auto" w:fill="auto"/>
          </w:tcPr>
          <w:p w14:paraId="47039A32"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ОБЩО (ІІ+ІІІ+ІV)</w:t>
            </w:r>
          </w:p>
        </w:tc>
        <w:tc>
          <w:tcPr>
            <w:tcW w:w="1762" w:type="dxa"/>
            <w:tcBorders>
              <w:top w:val="single" w:sz="6" w:space="0" w:color="auto"/>
              <w:left w:val="single" w:sz="6" w:space="0" w:color="auto"/>
              <w:bottom w:val="single" w:sz="6" w:space="0" w:color="auto"/>
              <w:right w:val="single" w:sz="6" w:space="0" w:color="auto"/>
            </w:tcBorders>
            <w:shd w:val="clear" w:color="auto" w:fill="auto"/>
          </w:tcPr>
          <w:p w14:paraId="49AD3B84"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22 411 145,6</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5D10302"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21 787 996,8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E6D2538"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-623 148,8</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C397F62"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97,2%</w:t>
            </w:r>
          </w:p>
        </w:tc>
      </w:tr>
      <w:tr w:rsidR="00331B26" w:rsidRPr="001A28D2" w14:paraId="2AF3E61F"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109E588"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V.</w:t>
            </w:r>
          </w:p>
        </w:tc>
        <w:tc>
          <w:tcPr>
            <w:tcW w:w="3199" w:type="dxa"/>
            <w:tcBorders>
              <w:top w:val="single" w:sz="6" w:space="0" w:color="auto"/>
              <w:left w:val="single" w:sz="6" w:space="0" w:color="auto"/>
              <w:bottom w:val="single" w:sz="6" w:space="0" w:color="auto"/>
              <w:right w:val="nil"/>
            </w:tcBorders>
            <w:shd w:val="clear" w:color="auto" w:fill="B8CCE4" w:themeFill="accent1" w:themeFillTint="66"/>
          </w:tcPr>
          <w:p w14:paraId="03B77E28"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БЮДЖЕТНО САЛДО (І-ІІ-ІІІ-IV)</w:t>
            </w:r>
          </w:p>
        </w:tc>
        <w:tc>
          <w:tcPr>
            <w:tcW w:w="1762"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16F7FA7"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-1 787 554,1</w:t>
            </w:r>
          </w:p>
        </w:tc>
        <w:tc>
          <w:tcPr>
            <w:tcW w:w="141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D80E936"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-1 099 655,8</w:t>
            </w:r>
          </w:p>
        </w:tc>
        <w:tc>
          <w:tcPr>
            <w:tcW w:w="1276"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57F714A"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687 898,3</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52A1853"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61,5%</w:t>
            </w:r>
          </w:p>
        </w:tc>
      </w:tr>
      <w:tr w:rsidR="00331B26" w:rsidRPr="001A28D2" w14:paraId="46CA71EC" w14:textId="77777777" w:rsidTr="00331B26">
        <w:trPr>
          <w:trHeight w:val="511"/>
        </w:trPr>
        <w:tc>
          <w:tcPr>
            <w:tcW w:w="1023"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CFEF0D"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VІ.</w:t>
            </w:r>
          </w:p>
        </w:tc>
        <w:tc>
          <w:tcPr>
            <w:tcW w:w="3199" w:type="dxa"/>
            <w:tcBorders>
              <w:top w:val="single" w:sz="6" w:space="0" w:color="auto"/>
              <w:left w:val="single" w:sz="6" w:space="0" w:color="auto"/>
              <w:bottom w:val="single" w:sz="6" w:space="0" w:color="auto"/>
              <w:right w:val="nil"/>
            </w:tcBorders>
            <w:shd w:val="clear" w:color="auto" w:fill="B8CCE4" w:themeFill="accent1" w:themeFillTint="66"/>
          </w:tcPr>
          <w:p w14:paraId="6912C3FA" w14:textId="77777777" w:rsidR="00331B26" w:rsidRPr="001A28D2" w:rsidRDefault="00331B26">
            <w:pPr>
              <w:autoSpaceDE w:val="0"/>
              <w:autoSpaceDN w:val="0"/>
              <w:adjustRightInd w:val="0"/>
              <w:rPr>
                <w:rFonts w:eastAsiaTheme="minorHAnsi"/>
                <w:b/>
                <w:bCs/>
                <w:color w:val="000000"/>
                <w:lang w:eastAsia="en-US"/>
              </w:rPr>
            </w:pPr>
            <w:r w:rsidRPr="001A28D2">
              <w:rPr>
                <w:rFonts w:eastAsiaTheme="minorHAnsi"/>
                <w:b/>
                <w:bCs/>
                <w:color w:val="000000"/>
                <w:lang w:eastAsia="en-US"/>
              </w:rPr>
              <w:t xml:space="preserve">ОПЕРАЦИИ В ЧАСТТА НА ФИНАНСИРАНЕТО - НЕТО </w:t>
            </w:r>
          </w:p>
        </w:tc>
        <w:tc>
          <w:tcPr>
            <w:tcW w:w="1762"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F52A23"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1 787 554,1</w:t>
            </w:r>
          </w:p>
        </w:tc>
        <w:tc>
          <w:tcPr>
            <w:tcW w:w="1417"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B5E2BCC"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1 099 655,8</w:t>
            </w:r>
          </w:p>
        </w:tc>
        <w:tc>
          <w:tcPr>
            <w:tcW w:w="1276"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6C31BF4"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-687 898,3</w:t>
            </w:r>
          </w:p>
        </w:tc>
        <w:tc>
          <w:tcPr>
            <w:tcW w:w="113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6146098" w14:textId="77777777" w:rsidR="00331B26" w:rsidRPr="001A28D2" w:rsidRDefault="00331B26">
            <w:pPr>
              <w:autoSpaceDE w:val="0"/>
              <w:autoSpaceDN w:val="0"/>
              <w:adjustRightInd w:val="0"/>
              <w:jc w:val="right"/>
              <w:rPr>
                <w:rFonts w:eastAsiaTheme="minorHAnsi"/>
                <w:b/>
                <w:bCs/>
                <w:color w:val="000000"/>
                <w:lang w:eastAsia="en-US"/>
              </w:rPr>
            </w:pPr>
            <w:r w:rsidRPr="001A28D2">
              <w:rPr>
                <w:rFonts w:eastAsiaTheme="minorHAnsi"/>
                <w:b/>
                <w:bCs/>
                <w:color w:val="000000"/>
                <w:lang w:eastAsia="en-US"/>
              </w:rPr>
              <w:t>61,5%</w:t>
            </w:r>
          </w:p>
        </w:tc>
      </w:tr>
    </w:tbl>
    <w:p w14:paraId="528D5216" w14:textId="6DB05DD1" w:rsidR="001A28D2" w:rsidRPr="001A28D2" w:rsidRDefault="001A28D2" w:rsidP="00331B26">
      <w:pPr>
        <w:spacing w:after="200" w:line="276" w:lineRule="auto"/>
      </w:pPr>
    </w:p>
    <w:p w14:paraId="220C0FAB" w14:textId="77777777" w:rsidR="001A28D2" w:rsidRPr="001A28D2" w:rsidRDefault="001A28D2">
      <w:pPr>
        <w:spacing w:after="200" w:line="276" w:lineRule="auto"/>
      </w:pPr>
      <w:r w:rsidRPr="001A28D2">
        <w:br w:type="page"/>
      </w:r>
    </w:p>
    <w:p w14:paraId="43C1C672" w14:textId="77777777" w:rsidR="001A28D2" w:rsidRPr="001A28D2" w:rsidRDefault="001A28D2" w:rsidP="001A28D2">
      <w:pPr>
        <w:jc w:val="center"/>
        <w:rPr>
          <w:b/>
        </w:rPr>
      </w:pPr>
      <w:r w:rsidRPr="001A28D2">
        <w:rPr>
          <w:noProof/>
        </w:rPr>
        <w:lastRenderedPageBreak/>
        <w:drawing>
          <wp:inline distT="0" distB="0" distL="0" distR="0" wp14:anchorId="16503B40" wp14:editId="1EFDB4B5">
            <wp:extent cx="1790700" cy="1000125"/>
            <wp:effectExtent l="0" t="0" r="0" b="9525"/>
            <wp:docPr id="2" name="Picture 2"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90700" cy="1000125"/>
                    </a:xfrm>
                    <a:prstGeom prst="rect">
                      <a:avLst/>
                    </a:prstGeom>
                    <a:noFill/>
                    <a:ln>
                      <a:noFill/>
                    </a:ln>
                  </pic:spPr>
                </pic:pic>
              </a:graphicData>
            </a:graphic>
          </wp:inline>
        </w:drawing>
      </w:r>
    </w:p>
    <w:p w14:paraId="7BE6ED82" w14:textId="77777777" w:rsidR="001A28D2" w:rsidRPr="001A28D2" w:rsidRDefault="001A28D2" w:rsidP="001A28D2">
      <w:pPr>
        <w:jc w:val="center"/>
        <w:rPr>
          <w:b/>
        </w:rPr>
      </w:pPr>
    </w:p>
    <w:p w14:paraId="65329C38" w14:textId="77777777" w:rsidR="001A28D2" w:rsidRPr="001A28D2" w:rsidRDefault="001A28D2" w:rsidP="001A28D2">
      <w:pPr>
        <w:jc w:val="center"/>
        <w:rPr>
          <w:b/>
        </w:rPr>
      </w:pPr>
      <w:r w:rsidRPr="001A28D2">
        <w:rPr>
          <w:b/>
        </w:rPr>
        <w:t xml:space="preserve">С Т А Н О В И Щ Е </w:t>
      </w:r>
    </w:p>
    <w:p w14:paraId="61A00442" w14:textId="77777777" w:rsidR="001A28D2" w:rsidRPr="001A28D2" w:rsidRDefault="001A28D2" w:rsidP="001A28D2">
      <w:pPr>
        <w:jc w:val="center"/>
        <w:rPr>
          <w:b/>
        </w:rPr>
      </w:pPr>
      <w:r w:rsidRPr="001A28D2">
        <w:rPr>
          <w:b/>
        </w:rPr>
        <w:t>НА СМЕТНАТА ПАЛАТА</w:t>
      </w:r>
    </w:p>
    <w:p w14:paraId="52D031BD" w14:textId="77777777" w:rsidR="001A28D2" w:rsidRPr="001A28D2" w:rsidRDefault="001A28D2" w:rsidP="001A28D2">
      <w:pPr>
        <w:ind w:right="-108"/>
        <w:jc w:val="center"/>
        <w:rPr>
          <w:b/>
        </w:rPr>
      </w:pPr>
      <w:r w:rsidRPr="001A28D2">
        <w:rPr>
          <w:b/>
        </w:rPr>
        <w:t>по отчета за изпълнението на държавния бюджет</w:t>
      </w:r>
    </w:p>
    <w:p w14:paraId="181110BB" w14:textId="77777777" w:rsidR="001A28D2" w:rsidRPr="001A28D2" w:rsidRDefault="001A28D2" w:rsidP="001A28D2">
      <w:pPr>
        <w:ind w:right="-108"/>
        <w:jc w:val="center"/>
        <w:rPr>
          <w:b/>
        </w:rPr>
      </w:pPr>
      <w:r w:rsidRPr="001A28D2">
        <w:rPr>
          <w:b/>
        </w:rPr>
        <w:t xml:space="preserve"> на Република България за 2016 г.</w:t>
      </w:r>
    </w:p>
    <w:p w14:paraId="61BB8D14" w14:textId="77777777" w:rsidR="001A28D2" w:rsidRPr="001A28D2" w:rsidRDefault="001A28D2" w:rsidP="001A28D2">
      <w:pPr>
        <w:ind w:right="-108" w:firstLine="540"/>
        <w:jc w:val="both"/>
        <w:rPr>
          <w:b/>
        </w:rPr>
      </w:pPr>
    </w:p>
    <w:p w14:paraId="73202C7A" w14:textId="77777777" w:rsidR="001A28D2" w:rsidRPr="001A28D2" w:rsidRDefault="001A28D2" w:rsidP="001A28D2">
      <w:pPr>
        <w:jc w:val="both"/>
        <w:rPr>
          <w:b/>
        </w:rPr>
      </w:pPr>
    </w:p>
    <w:p w14:paraId="345739F5" w14:textId="77777777" w:rsidR="001A28D2" w:rsidRPr="001A28D2" w:rsidRDefault="001A28D2" w:rsidP="001A28D2">
      <w:pPr>
        <w:ind w:firstLine="708"/>
        <w:jc w:val="both"/>
      </w:pPr>
      <w:r w:rsidRPr="001A28D2">
        <w:t>Настоящето становище е изготвено в изпълнение на чл. 6, ал. 5 от Закона за Сметната палата и отразява резултатите от извършения одит на отчета за изпълнението на ДБ на РБ за периода от 01.</w:t>
      </w:r>
      <w:proofErr w:type="spellStart"/>
      <w:r w:rsidRPr="001A28D2">
        <w:t>01</w:t>
      </w:r>
      <w:proofErr w:type="spellEnd"/>
      <w:r w:rsidRPr="001A28D2">
        <w:t>.2016 г. до 31.12.2016 г.</w:t>
      </w:r>
    </w:p>
    <w:p w14:paraId="11574C97" w14:textId="77777777" w:rsidR="001A28D2" w:rsidRPr="001A28D2" w:rsidRDefault="001A28D2" w:rsidP="001A28D2">
      <w:pPr>
        <w:ind w:firstLine="708"/>
        <w:jc w:val="both"/>
      </w:pPr>
      <w:r w:rsidRPr="001A28D2">
        <w:t xml:space="preserve">Проверено и оценено е съответствието с изискванията на нормативните и вътрешните актове на МФ на изготвянето, структурата, съдържанието, текущото наблюдение и представянето на отчета за изпълнението на ДБ на РБ за 2016 г., както и състоянието на СФУК при тези процеси: </w:t>
      </w:r>
    </w:p>
    <w:p w14:paraId="5D21F580" w14:textId="77777777" w:rsidR="001A28D2" w:rsidRPr="001A28D2" w:rsidRDefault="001A28D2" w:rsidP="001A28D2">
      <w:pPr>
        <w:ind w:firstLine="708"/>
        <w:jc w:val="both"/>
      </w:pPr>
    </w:p>
    <w:p w14:paraId="7AD415A0" w14:textId="77777777" w:rsidR="001A28D2" w:rsidRPr="001A28D2" w:rsidRDefault="001A28D2" w:rsidP="001A28D2">
      <w:pPr>
        <w:pStyle w:val="ListParagraph"/>
        <w:numPr>
          <w:ilvl w:val="0"/>
          <w:numId w:val="47"/>
        </w:numPr>
        <w:tabs>
          <w:tab w:val="left" w:pos="1134"/>
          <w:tab w:val="left" w:pos="1276"/>
        </w:tabs>
        <w:ind w:left="0" w:firstLine="709"/>
        <w:jc w:val="both"/>
        <w:rPr>
          <w:rFonts w:ascii="Times New Roman" w:hAnsi="Times New Roman" w:cs="Times New Roman"/>
          <w:lang w:val="bg-BG"/>
        </w:rPr>
      </w:pPr>
      <w:r w:rsidRPr="001A28D2">
        <w:rPr>
          <w:rFonts w:ascii="Times New Roman" w:hAnsi="Times New Roman" w:cs="Times New Roman"/>
          <w:lang w:val="bg-BG"/>
        </w:rPr>
        <w:t>В съответствие с чл. 138, ал. 1 от ЗПФ, министърът на финансите е изготвил отчета за изпълнението на ДБ на РБ за 2016 г. по показателите, по които е приет, и отчет на консолидираната фискална програма въз основа на годишните отчети на ПРБ и отчета на централния бюджет. Отчетът за изпълнение на ДБ на РБ за 2016 г. е структуриран съгласно изискванията на ЗДБРБ за 2016 г.</w:t>
      </w:r>
    </w:p>
    <w:p w14:paraId="354E8B12" w14:textId="77777777" w:rsidR="001A28D2" w:rsidRPr="001A28D2" w:rsidRDefault="001A28D2" w:rsidP="001A28D2">
      <w:pPr>
        <w:pStyle w:val="ListParagraph"/>
        <w:numPr>
          <w:ilvl w:val="0"/>
          <w:numId w:val="47"/>
        </w:numPr>
        <w:tabs>
          <w:tab w:val="left" w:pos="1134"/>
          <w:tab w:val="left" w:pos="1276"/>
        </w:tabs>
        <w:ind w:left="0" w:firstLine="709"/>
        <w:jc w:val="both"/>
        <w:rPr>
          <w:rFonts w:ascii="Times New Roman" w:hAnsi="Times New Roman" w:cs="Times New Roman"/>
          <w:lang w:val="bg-BG"/>
        </w:rPr>
      </w:pPr>
      <w:r w:rsidRPr="001A28D2">
        <w:rPr>
          <w:rFonts w:ascii="Times New Roman" w:hAnsi="Times New Roman" w:cs="Times New Roman"/>
          <w:lang w:val="bg-BG"/>
        </w:rPr>
        <w:t>Спазени са процедурите и сроковете по изготвяне и представяне в Сметната палата на отчета за изпълнението на ДБ на РБ за 2016 г.</w:t>
      </w:r>
    </w:p>
    <w:p w14:paraId="2139F341" w14:textId="77777777" w:rsidR="001A28D2" w:rsidRPr="001A28D2" w:rsidRDefault="001A28D2" w:rsidP="001A28D2">
      <w:pPr>
        <w:pStyle w:val="ListParagraph"/>
        <w:numPr>
          <w:ilvl w:val="0"/>
          <w:numId w:val="47"/>
        </w:numPr>
        <w:tabs>
          <w:tab w:val="left" w:pos="1134"/>
          <w:tab w:val="left" w:pos="1276"/>
        </w:tabs>
        <w:ind w:left="0" w:firstLine="709"/>
        <w:jc w:val="both"/>
        <w:rPr>
          <w:rFonts w:ascii="Times New Roman" w:hAnsi="Times New Roman" w:cs="Times New Roman"/>
          <w:lang w:val="bg-BG"/>
        </w:rPr>
      </w:pPr>
      <w:r w:rsidRPr="001A28D2">
        <w:rPr>
          <w:rFonts w:ascii="Times New Roman" w:hAnsi="Times New Roman" w:cs="Times New Roman"/>
          <w:lang w:val="bg-BG"/>
        </w:rPr>
        <w:t>Установено е съответствие със ЗДБРБ за 2016 г. на показателите по приходите, разходите, трансферите, бюджетното салдо и операциите в частта на финансирането по отчета за изпълнението на ДБ за 2016 г.:</w:t>
      </w:r>
    </w:p>
    <w:p w14:paraId="4735C38E" w14:textId="77777777" w:rsidR="001A28D2" w:rsidRPr="001A28D2" w:rsidRDefault="001A28D2" w:rsidP="001A28D2">
      <w:pPr>
        <w:pStyle w:val="ListParagraph"/>
        <w:numPr>
          <w:ilvl w:val="1"/>
          <w:numId w:val="47"/>
        </w:numPr>
        <w:tabs>
          <w:tab w:val="left" w:pos="709"/>
          <w:tab w:val="left" w:pos="1134"/>
          <w:tab w:val="left" w:pos="1276"/>
        </w:tabs>
        <w:ind w:left="0" w:firstLine="709"/>
        <w:jc w:val="both"/>
        <w:rPr>
          <w:rFonts w:ascii="Times New Roman" w:hAnsi="Times New Roman" w:cs="Times New Roman"/>
          <w:lang w:val="bg-BG"/>
        </w:rPr>
      </w:pPr>
      <w:r w:rsidRPr="001A28D2">
        <w:rPr>
          <w:rFonts w:ascii="Times New Roman" w:hAnsi="Times New Roman" w:cs="Times New Roman"/>
          <w:lang w:val="bg-BG"/>
        </w:rPr>
        <w:t>Приходите по отчета на ДБ за 2016 г. са в размер на 20 688 341 хил. лв. и са с 64 749,5 хил. лв. по-малко спрямо приетите със ЗДБРБ за 2016 г. Приходите, помощите и даренията са отчетени вярно и точно по показателите, по които са приети.</w:t>
      </w:r>
    </w:p>
    <w:p w14:paraId="749BE83D" w14:textId="77777777" w:rsidR="001A28D2" w:rsidRPr="001A28D2" w:rsidRDefault="001A28D2" w:rsidP="001A28D2">
      <w:pPr>
        <w:pStyle w:val="ListParagraph"/>
        <w:numPr>
          <w:ilvl w:val="1"/>
          <w:numId w:val="47"/>
        </w:numPr>
        <w:tabs>
          <w:tab w:val="left" w:pos="1134"/>
          <w:tab w:val="left" w:pos="1276"/>
        </w:tabs>
        <w:ind w:left="0" w:firstLine="709"/>
        <w:jc w:val="both"/>
        <w:rPr>
          <w:rFonts w:ascii="Times New Roman" w:hAnsi="Times New Roman" w:cs="Times New Roman"/>
          <w:lang w:val="bg-BG"/>
        </w:rPr>
      </w:pPr>
      <w:r w:rsidRPr="001A28D2">
        <w:rPr>
          <w:rFonts w:ascii="Times New Roman" w:hAnsi="Times New Roman" w:cs="Times New Roman"/>
          <w:lang w:val="bg-BG"/>
        </w:rPr>
        <w:t xml:space="preserve"> В отчета за изпълнението на ДБ на РБ за 2016 г. са отразени разходи в размер на 10 106 046,5 хил. лв., които са с 840 162,1 хил. лв. по-малко от планираните със ЗДБРБ за 2016 г.</w:t>
      </w:r>
    </w:p>
    <w:p w14:paraId="1C295B35" w14:textId="77777777" w:rsidR="001A28D2" w:rsidRPr="001A28D2" w:rsidRDefault="001A28D2" w:rsidP="001A28D2">
      <w:pPr>
        <w:pStyle w:val="FootnoteText"/>
        <w:numPr>
          <w:ilvl w:val="1"/>
          <w:numId w:val="47"/>
        </w:numPr>
        <w:tabs>
          <w:tab w:val="left" w:pos="709"/>
          <w:tab w:val="left" w:pos="1134"/>
        </w:tabs>
        <w:ind w:left="0" w:firstLine="708"/>
        <w:jc w:val="both"/>
        <w:rPr>
          <w:sz w:val="24"/>
          <w:szCs w:val="24"/>
        </w:rPr>
      </w:pPr>
      <w:r w:rsidRPr="001A28D2">
        <w:rPr>
          <w:sz w:val="24"/>
          <w:szCs w:val="24"/>
        </w:rPr>
        <w:t>Отчетените трансфери и временни безлихвени заеми (нето) са в размер на 10 822 498,4  хил. лв., което е с 367 305,2 хил. лв. повече спрямо планираните в ЗДБРБ за 2016 г.</w:t>
      </w:r>
    </w:p>
    <w:p w14:paraId="799CBB12" w14:textId="77777777" w:rsidR="001A28D2" w:rsidRPr="001A28D2" w:rsidRDefault="001A28D2" w:rsidP="001A28D2">
      <w:pPr>
        <w:pStyle w:val="FootnoteText"/>
        <w:numPr>
          <w:ilvl w:val="1"/>
          <w:numId w:val="47"/>
        </w:numPr>
        <w:tabs>
          <w:tab w:val="left" w:pos="1134"/>
        </w:tabs>
        <w:ind w:left="0" w:firstLine="709"/>
        <w:jc w:val="both"/>
        <w:rPr>
          <w:sz w:val="24"/>
          <w:szCs w:val="24"/>
        </w:rPr>
      </w:pPr>
      <w:r w:rsidRPr="001A28D2">
        <w:rPr>
          <w:sz w:val="24"/>
          <w:szCs w:val="24"/>
        </w:rPr>
        <w:t xml:space="preserve"> Бюджетното салдо е отрицателно в размер (–1 099 655,8) хил. лв. и е с 687 898,3 хил. лв. по-малко спрямо предвиденото.</w:t>
      </w:r>
    </w:p>
    <w:p w14:paraId="0CC191EF" w14:textId="77777777" w:rsidR="001A28D2" w:rsidRPr="001A28D2" w:rsidRDefault="001A28D2" w:rsidP="001A28D2">
      <w:pPr>
        <w:pStyle w:val="FootnoteText"/>
        <w:numPr>
          <w:ilvl w:val="1"/>
          <w:numId w:val="47"/>
        </w:numPr>
        <w:tabs>
          <w:tab w:val="left" w:pos="1134"/>
        </w:tabs>
        <w:ind w:left="0" w:firstLine="709"/>
        <w:jc w:val="both"/>
        <w:rPr>
          <w:sz w:val="24"/>
          <w:szCs w:val="24"/>
        </w:rPr>
      </w:pPr>
      <w:r w:rsidRPr="001A28D2">
        <w:rPr>
          <w:sz w:val="24"/>
          <w:szCs w:val="24"/>
        </w:rPr>
        <w:t xml:space="preserve">Финансирането на бюджетното салдо включва постъпленията и плащанията, произтичащи от: поемането и погасяването на дълга, постъпленията от приватизация, операциите с чужди средства, операциите по придобиването и реализирането на финансови активи и пасиви, несвързани с приходи и разходи, както и изменението в наличността на паричните средства за бюджетната година, включително от преоценка на </w:t>
      </w:r>
      <w:r w:rsidRPr="001A28D2">
        <w:rPr>
          <w:sz w:val="24"/>
          <w:szCs w:val="24"/>
        </w:rPr>
        <w:lastRenderedPageBreak/>
        <w:t>наличните парични средства в чуждестранна валута. В отчета за изпълнението на ДБ за 2016 г., операциите в частта на финансирането (нето) са в размер на 1 099 655,8 хил. лв.</w:t>
      </w:r>
    </w:p>
    <w:p w14:paraId="790842FB" w14:textId="77777777" w:rsidR="001A28D2" w:rsidRPr="001A28D2" w:rsidRDefault="001A28D2" w:rsidP="001A28D2">
      <w:pPr>
        <w:pStyle w:val="FootnoteText"/>
        <w:numPr>
          <w:ilvl w:val="0"/>
          <w:numId w:val="47"/>
        </w:numPr>
        <w:tabs>
          <w:tab w:val="left" w:pos="993"/>
        </w:tabs>
        <w:ind w:left="0" w:firstLine="709"/>
        <w:jc w:val="both"/>
        <w:rPr>
          <w:sz w:val="24"/>
          <w:szCs w:val="24"/>
        </w:rPr>
      </w:pPr>
      <w:r w:rsidRPr="001A28D2">
        <w:rPr>
          <w:sz w:val="24"/>
          <w:szCs w:val="24"/>
        </w:rPr>
        <w:t>Спазени са законовите изисквания и вътрешните правила на МФ и е осъществен контрол при изпълнението на показателите по приходите, разходите, трансферите и бюджетното салдо на ДБ за 2016 г.</w:t>
      </w:r>
    </w:p>
    <w:p w14:paraId="4CFE8A20" w14:textId="77777777" w:rsidR="001A28D2" w:rsidRPr="001A28D2" w:rsidRDefault="001A28D2" w:rsidP="001A28D2">
      <w:pPr>
        <w:pStyle w:val="FootnoteText"/>
        <w:numPr>
          <w:ilvl w:val="0"/>
          <w:numId w:val="47"/>
        </w:numPr>
        <w:tabs>
          <w:tab w:val="left" w:pos="993"/>
        </w:tabs>
        <w:ind w:left="0" w:firstLine="709"/>
        <w:jc w:val="both"/>
        <w:rPr>
          <w:sz w:val="24"/>
          <w:szCs w:val="24"/>
        </w:rPr>
      </w:pPr>
      <w:r w:rsidRPr="001A28D2">
        <w:rPr>
          <w:color w:val="000000"/>
          <w:sz w:val="24"/>
          <w:szCs w:val="24"/>
        </w:rPr>
        <w:t>В бюджетите на някои от ПРБ</w:t>
      </w:r>
      <w:r w:rsidRPr="001A28D2">
        <w:rPr>
          <w:sz w:val="24"/>
          <w:szCs w:val="24"/>
        </w:rPr>
        <w:t xml:space="preserve"> са извършени промени по показателите „максимални размери на ангажиментите за разходи, </w:t>
      </w:r>
      <w:r w:rsidRPr="001A28D2">
        <w:rPr>
          <w:color w:val="000000"/>
          <w:sz w:val="24"/>
          <w:szCs w:val="24"/>
        </w:rPr>
        <w:t>които могат да бъдат поети през годината“</w:t>
      </w:r>
      <w:r w:rsidRPr="001A28D2">
        <w:rPr>
          <w:sz w:val="24"/>
          <w:szCs w:val="24"/>
        </w:rPr>
        <w:t xml:space="preserve"> и „максимални размери на новите задължения за разходи, </w:t>
      </w:r>
      <w:r w:rsidRPr="001A28D2">
        <w:rPr>
          <w:color w:val="000000"/>
          <w:sz w:val="24"/>
          <w:szCs w:val="24"/>
        </w:rPr>
        <w:t>които могат да бъдат натрупани през годината“, като при отделни ПРБ са превишени определените максимални размери по уточнен план към 31.12.2016 г., в нарушение на чл. 88 от ЗПФ.</w:t>
      </w:r>
    </w:p>
    <w:p w14:paraId="5C05B987" w14:textId="77777777" w:rsidR="001A28D2" w:rsidRPr="001A28D2" w:rsidRDefault="001A28D2" w:rsidP="001A28D2">
      <w:pPr>
        <w:pStyle w:val="ListParagraph"/>
        <w:numPr>
          <w:ilvl w:val="0"/>
          <w:numId w:val="47"/>
        </w:numPr>
        <w:tabs>
          <w:tab w:val="left" w:pos="993"/>
        </w:tabs>
        <w:ind w:left="0" w:firstLine="709"/>
        <w:jc w:val="both"/>
        <w:rPr>
          <w:rFonts w:ascii="Times New Roman" w:hAnsi="Times New Roman" w:cs="Times New Roman"/>
          <w:lang w:val="bg-BG"/>
        </w:rPr>
      </w:pPr>
      <w:r w:rsidRPr="001A28D2">
        <w:rPr>
          <w:rFonts w:ascii="Times New Roman" w:hAnsi="Times New Roman" w:cs="Times New Roman"/>
          <w:lang w:val="bg-BG"/>
        </w:rPr>
        <w:t xml:space="preserve">През </w:t>
      </w:r>
      <w:proofErr w:type="spellStart"/>
      <w:r w:rsidRPr="001A28D2">
        <w:rPr>
          <w:rFonts w:ascii="Times New Roman" w:hAnsi="Times New Roman" w:cs="Times New Roman"/>
          <w:lang w:val="bg-BG"/>
        </w:rPr>
        <w:t>одитирания</w:t>
      </w:r>
      <w:proofErr w:type="spellEnd"/>
      <w:r w:rsidRPr="001A28D2">
        <w:rPr>
          <w:rFonts w:ascii="Times New Roman" w:hAnsi="Times New Roman" w:cs="Times New Roman"/>
          <w:lang w:val="bg-BG"/>
        </w:rPr>
        <w:t xml:space="preserve"> период в МФ са действали вътрешни правила, с които е осъществявано текущо наблюдение на изпълнението на ДБ, както и при изготвянето и представянето му. Контролните дейности, осъществени от компетентните дирекции при изпълнението на ДБ, са документирани със съответните образци, приложение към вътрешните правила. Прилаганите процедури в МФ за текущото наблюдение са в съответствие с нормативните и вътрешни актове.</w:t>
      </w:r>
    </w:p>
    <w:p w14:paraId="62AB49F5" w14:textId="77777777" w:rsidR="001A28D2" w:rsidRPr="001A28D2" w:rsidRDefault="001A28D2" w:rsidP="001A28D2">
      <w:pPr>
        <w:pStyle w:val="ListParagraph"/>
        <w:numPr>
          <w:ilvl w:val="0"/>
          <w:numId w:val="47"/>
        </w:numPr>
        <w:tabs>
          <w:tab w:val="left" w:pos="993"/>
        </w:tabs>
        <w:ind w:left="0" w:firstLine="709"/>
        <w:jc w:val="both"/>
        <w:rPr>
          <w:rFonts w:ascii="Times New Roman" w:hAnsi="Times New Roman" w:cs="Times New Roman"/>
          <w:lang w:val="bg-BG"/>
        </w:rPr>
      </w:pPr>
      <w:r w:rsidRPr="001A28D2">
        <w:rPr>
          <w:rFonts w:ascii="Times New Roman" w:hAnsi="Times New Roman" w:cs="Times New Roman"/>
          <w:lang w:val="bg-BG"/>
        </w:rPr>
        <w:t xml:space="preserve">СФУК при управлението и контрола на процесите по изготвяне и представяне на отчета за изпълнението на ДБ са в съответствие с изискванията на правната рамка. Функционират ефективни контролни механизми и процедури за текущо наблюдение на </w:t>
      </w:r>
      <w:r w:rsidRPr="001A28D2">
        <w:rPr>
          <w:rFonts w:ascii="Times New Roman" w:hAnsi="Times New Roman" w:cs="Times New Roman"/>
          <w:color w:val="000000"/>
          <w:lang w:val="bg-BG"/>
        </w:rPr>
        <w:t>съставянето, изпълнението и отчитането на държавния бюджет.</w:t>
      </w:r>
    </w:p>
    <w:p w14:paraId="604114A4" w14:textId="77777777" w:rsidR="001A28D2" w:rsidRPr="001A28D2" w:rsidRDefault="001A28D2" w:rsidP="001A28D2">
      <w:pPr>
        <w:ind w:firstLine="708"/>
        <w:jc w:val="both"/>
      </w:pPr>
    </w:p>
    <w:p w14:paraId="3BC1D336" w14:textId="77777777" w:rsidR="001A28D2" w:rsidRPr="001A28D2" w:rsidRDefault="001A28D2" w:rsidP="001A28D2">
      <w:pPr>
        <w:ind w:firstLine="708"/>
        <w:jc w:val="both"/>
        <w:rPr>
          <w:b/>
        </w:rPr>
      </w:pPr>
      <w:r w:rsidRPr="001A28D2">
        <w:rPr>
          <w:b/>
        </w:rPr>
        <w:t>В заключение Сметната палата изразява следното становище:</w:t>
      </w:r>
    </w:p>
    <w:p w14:paraId="15D08D38" w14:textId="77777777" w:rsidR="001A28D2" w:rsidRPr="001A28D2" w:rsidRDefault="001A28D2" w:rsidP="001A28D2">
      <w:pPr>
        <w:ind w:firstLine="708"/>
        <w:jc w:val="both"/>
      </w:pPr>
    </w:p>
    <w:p w14:paraId="7CC66592" w14:textId="77777777" w:rsidR="001A28D2" w:rsidRPr="001A28D2" w:rsidRDefault="001A28D2" w:rsidP="001A28D2">
      <w:pPr>
        <w:ind w:firstLine="708"/>
        <w:jc w:val="both"/>
      </w:pPr>
      <w:r w:rsidRPr="001A28D2">
        <w:t xml:space="preserve">Отчетът за изпълнението на държавния бюджет на Република България за 2016 г. е изготвен и представен при спазване на изискванията на нормативните и вътрешните актове на Министерството на финансите. </w:t>
      </w:r>
    </w:p>
    <w:p w14:paraId="62339623" w14:textId="77777777" w:rsidR="001A28D2" w:rsidRPr="001A28D2" w:rsidRDefault="001A28D2" w:rsidP="001A28D2">
      <w:pPr>
        <w:ind w:firstLine="708"/>
        <w:jc w:val="both"/>
      </w:pPr>
      <w:r w:rsidRPr="001A28D2">
        <w:t>Прилаганите процедури за мониторинг са в съответствие с нормативните и вътрешни актове.</w:t>
      </w:r>
    </w:p>
    <w:p w14:paraId="70139F8B" w14:textId="77777777" w:rsidR="001A28D2" w:rsidRPr="001A28D2" w:rsidRDefault="001A28D2" w:rsidP="001A28D2">
      <w:pPr>
        <w:tabs>
          <w:tab w:val="left" w:pos="0"/>
          <w:tab w:val="left" w:pos="900"/>
        </w:tabs>
        <w:ind w:firstLine="709"/>
        <w:jc w:val="both"/>
      </w:pPr>
    </w:p>
    <w:p w14:paraId="3BDC87BD" w14:textId="012B47A6" w:rsidR="001A28D2" w:rsidRPr="001A28D2" w:rsidRDefault="001A28D2" w:rsidP="001A28D2">
      <w:pPr>
        <w:tabs>
          <w:tab w:val="left" w:pos="0"/>
          <w:tab w:val="left" w:pos="900"/>
        </w:tabs>
        <w:ind w:firstLine="709"/>
        <w:jc w:val="both"/>
      </w:pPr>
      <w:r w:rsidRPr="001A28D2">
        <w:t xml:space="preserve">Настоящото становище е прието от Сметната палата с Решение № </w:t>
      </w:r>
      <w:r w:rsidR="00FC4EBF">
        <w:rPr>
          <w:lang w:val="en-US"/>
        </w:rPr>
        <w:t>431</w:t>
      </w:r>
      <w:r w:rsidRPr="001A28D2">
        <w:t xml:space="preserve"> от </w:t>
      </w:r>
      <w:r w:rsidR="00FC4EBF">
        <w:rPr>
          <w:lang w:val="en-US"/>
        </w:rPr>
        <w:t>27.09.</w:t>
      </w:r>
      <w:r w:rsidRPr="001A28D2">
        <w:t>2017 г. (Протокол №</w:t>
      </w:r>
      <w:r w:rsidR="00FC4EBF">
        <w:rPr>
          <w:lang w:val="en-US"/>
        </w:rPr>
        <w:t xml:space="preserve"> 36</w:t>
      </w:r>
      <w:r w:rsidRPr="001A28D2">
        <w:t>).</w:t>
      </w:r>
    </w:p>
    <w:p w14:paraId="14D29525" w14:textId="77777777" w:rsidR="00A12AF4" w:rsidRDefault="00A12AF4" w:rsidP="00331B26">
      <w:pPr>
        <w:spacing w:after="200" w:line="276" w:lineRule="auto"/>
        <w:rPr>
          <w:lang w:val="en-US"/>
        </w:rPr>
      </w:pPr>
    </w:p>
    <w:p w14:paraId="00213DE0" w14:textId="77777777" w:rsidR="00EF4C31" w:rsidRDefault="00EF4C31" w:rsidP="00331B26">
      <w:pPr>
        <w:spacing w:after="200" w:line="276" w:lineRule="auto"/>
        <w:rPr>
          <w:lang w:val="en-US"/>
        </w:rPr>
      </w:pPr>
    </w:p>
    <w:p w14:paraId="164F592C" w14:textId="77777777" w:rsidR="00EF4C31" w:rsidRDefault="00EF4C31" w:rsidP="00331B26">
      <w:pPr>
        <w:spacing w:after="200" w:line="276" w:lineRule="auto"/>
        <w:rPr>
          <w:lang w:val="en-US"/>
        </w:rPr>
      </w:pPr>
    </w:p>
    <w:p w14:paraId="7D1CB98F" w14:textId="77777777" w:rsidR="00EF4C31" w:rsidRDefault="00EF4C31" w:rsidP="00331B26">
      <w:pPr>
        <w:spacing w:after="200" w:line="276" w:lineRule="auto"/>
        <w:rPr>
          <w:lang w:val="en-US"/>
        </w:rPr>
      </w:pPr>
    </w:p>
    <w:p w14:paraId="5207A395" w14:textId="77777777" w:rsidR="00EF4C31" w:rsidRDefault="00EF4C31" w:rsidP="00331B26">
      <w:pPr>
        <w:spacing w:after="200" w:line="276" w:lineRule="auto"/>
        <w:rPr>
          <w:lang w:val="en-US"/>
        </w:rPr>
      </w:pPr>
    </w:p>
    <w:p w14:paraId="0A1B681E" w14:textId="77777777" w:rsidR="00EF4C31" w:rsidRDefault="00EF4C31" w:rsidP="00331B26">
      <w:pPr>
        <w:spacing w:after="200" w:line="276" w:lineRule="auto"/>
        <w:rPr>
          <w:lang w:val="en-US"/>
        </w:rPr>
      </w:pPr>
    </w:p>
    <w:p w14:paraId="58760A55" w14:textId="77777777" w:rsidR="00EF4C31" w:rsidRDefault="00EF4C31" w:rsidP="00331B26">
      <w:pPr>
        <w:spacing w:after="200" w:line="276" w:lineRule="auto"/>
        <w:rPr>
          <w:lang w:val="en-US"/>
        </w:rPr>
      </w:pPr>
    </w:p>
    <w:p w14:paraId="43774B00" w14:textId="77777777" w:rsidR="00EF4C31" w:rsidRDefault="00EF4C31" w:rsidP="00331B26">
      <w:pPr>
        <w:spacing w:after="200" w:line="276" w:lineRule="auto"/>
        <w:rPr>
          <w:lang w:val="en-US"/>
        </w:rPr>
      </w:pPr>
    </w:p>
    <w:p w14:paraId="405136FF" w14:textId="77777777" w:rsidR="00EF4C31" w:rsidRPr="00EF4C31" w:rsidRDefault="00EF4C31" w:rsidP="00EF4C31">
      <w:pPr>
        <w:spacing w:after="200" w:line="276" w:lineRule="auto"/>
        <w:ind w:left="6372"/>
        <w:rPr>
          <w:rFonts w:eastAsia="Calibri"/>
          <w:b/>
          <w:u w:val="single"/>
          <w:lang w:eastAsia="en-US"/>
        </w:rPr>
      </w:pPr>
      <w:r w:rsidRPr="00EF4C31">
        <w:rPr>
          <w:rFonts w:eastAsia="Calibri"/>
          <w:b/>
          <w:u w:val="single"/>
          <w:lang w:eastAsia="en-US"/>
        </w:rPr>
        <w:lastRenderedPageBreak/>
        <w:t>Препис извлечение</w:t>
      </w:r>
    </w:p>
    <w:p w14:paraId="06B7A723" w14:textId="77777777" w:rsidR="00EF4C31" w:rsidRPr="00EF4C31" w:rsidRDefault="00EF4C31" w:rsidP="00EF4C31">
      <w:pPr>
        <w:spacing w:after="200" w:line="276" w:lineRule="auto"/>
        <w:ind w:left="720"/>
        <w:jc w:val="center"/>
        <w:rPr>
          <w:rFonts w:eastAsia="Calibri"/>
          <w:b/>
          <w:lang w:eastAsia="en-US"/>
        </w:rPr>
      </w:pPr>
    </w:p>
    <w:p w14:paraId="4E939CAA" w14:textId="77777777" w:rsidR="00EF4C31" w:rsidRPr="00EF4C31" w:rsidRDefault="00EF4C31" w:rsidP="00EF4C31">
      <w:pPr>
        <w:spacing w:after="200" w:line="276" w:lineRule="auto"/>
        <w:ind w:left="720"/>
        <w:jc w:val="center"/>
        <w:rPr>
          <w:rFonts w:eastAsia="Calibri"/>
          <w:b/>
          <w:lang w:eastAsia="en-US"/>
        </w:rPr>
      </w:pPr>
      <w:r w:rsidRPr="00EF4C31">
        <w:rPr>
          <w:rFonts w:eastAsia="Calibri"/>
          <w:b/>
          <w:lang w:eastAsia="en-US"/>
        </w:rPr>
        <w:t>ПРОТОКОЛ № 36</w:t>
      </w:r>
    </w:p>
    <w:p w14:paraId="0FEE1362" w14:textId="77777777" w:rsidR="00EF4C31" w:rsidRPr="00EF4C31" w:rsidRDefault="00EF4C31" w:rsidP="00EF4C31">
      <w:pPr>
        <w:spacing w:after="200" w:line="276" w:lineRule="auto"/>
        <w:jc w:val="center"/>
        <w:rPr>
          <w:rFonts w:eastAsia="Calibri"/>
          <w:lang w:eastAsia="en-US"/>
        </w:rPr>
      </w:pPr>
      <w:r w:rsidRPr="00EF4C31">
        <w:rPr>
          <w:rFonts w:eastAsia="Calibri"/>
          <w:lang w:eastAsia="en-US"/>
        </w:rPr>
        <w:t>от заседание на Сметната палата, проведено на 27.09.2017 г.</w:t>
      </w:r>
    </w:p>
    <w:p w14:paraId="3B6A401D" w14:textId="77777777" w:rsidR="00EF4C31" w:rsidRPr="00EF4C31" w:rsidRDefault="00EF4C31" w:rsidP="00EF4C31">
      <w:pPr>
        <w:tabs>
          <w:tab w:val="num" w:pos="0"/>
        </w:tabs>
        <w:ind w:firstLine="708"/>
        <w:jc w:val="both"/>
        <w:rPr>
          <w:bCs/>
          <w:lang w:eastAsia="en-US"/>
        </w:rPr>
      </w:pPr>
      <w:r w:rsidRPr="00EF4C31">
        <w:rPr>
          <w:bCs/>
          <w:lang w:eastAsia="en-US"/>
        </w:rPr>
        <w:t xml:space="preserve">На заседанието присъстваха: Цветан Цветков, председател на Сметната палата, Горица </w:t>
      </w:r>
      <w:proofErr w:type="spellStart"/>
      <w:r w:rsidRPr="00EF4C31">
        <w:rPr>
          <w:bCs/>
          <w:lang w:eastAsia="en-US"/>
        </w:rPr>
        <w:t>Грънчарова-Кожарева</w:t>
      </w:r>
      <w:proofErr w:type="spellEnd"/>
      <w:r w:rsidRPr="00EF4C31">
        <w:rPr>
          <w:bCs/>
          <w:lang w:eastAsia="en-US"/>
        </w:rPr>
        <w:t xml:space="preserve"> и Тошко Тодоров, заместник-председатели на Сметната палата и членове проф. Георги Иванов и Емил Евлогиев.</w:t>
      </w:r>
    </w:p>
    <w:p w14:paraId="762A6423" w14:textId="77777777" w:rsidR="00EF4C31" w:rsidRPr="00EF4C31" w:rsidRDefault="00EF4C31" w:rsidP="00EF4C31">
      <w:pPr>
        <w:tabs>
          <w:tab w:val="num" w:pos="0"/>
        </w:tabs>
        <w:ind w:firstLine="708"/>
        <w:jc w:val="both"/>
        <w:rPr>
          <w:bCs/>
          <w:lang w:eastAsia="en-US"/>
        </w:rPr>
      </w:pPr>
    </w:p>
    <w:p w14:paraId="5350771E" w14:textId="77777777" w:rsidR="00EF4C31" w:rsidRPr="00EF4C31" w:rsidRDefault="00EF4C31" w:rsidP="00EF4C31">
      <w:pPr>
        <w:tabs>
          <w:tab w:val="num" w:pos="0"/>
        </w:tabs>
        <w:ind w:firstLine="708"/>
        <w:jc w:val="both"/>
        <w:rPr>
          <w:bCs/>
          <w:lang w:eastAsia="en-US"/>
        </w:rPr>
      </w:pPr>
    </w:p>
    <w:p w14:paraId="50F6A306" w14:textId="77777777" w:rsidR="00EF4C31" w:rsidRPr="00EF4C31" w:rsidRDefault="00EF4C31" w:rsidP="00EF4C31">
      <w:pPr>
        <w:tabs>
          <w:tab w:val="num" w:pos="0"/>
        </w:tabs>
        <w:ind w:firstLine="708"/>
        <w:jc w:val="both"/>
        <w:rPr>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3935"/>
      </w:tblGrid>
      <w:tr w:rsidR="00EF4C31" w:rsidRPr="00EF4C31" w14:paraId="5000AFA8" w14:textId="77777777" w:rsidTr="00EF4C31">
        <w:tc>
          <w:tcPr>
            <w:tcW w:w="5353" w:type="dxa"/>
            <w:vAlign w:val="center"/>
          </w:tcPr>
          <w:p w14:paraId="20D8F0F4" w14:textId="77777777" w:rsidR="00EF4C31" w:rsidRPr="00EF4C31" w:rsidRDefault="00EF4C31" w:rsidP="00EF4C31">
            <w:pPr>
              <w:jc w:val="center"/>
              <w:rPr>
                <w:rFonts w:eastAsia="Calibri"/>
                <w:lang w:eastAsia="en-US"/>
              </w:rPr>
            </w:pPr>
            <w:r w:rsidRPr="00EF4C31">
              <w:rPr>
                <w:rFonts w:eastAsia="Calibri"/>
                <w:lang w:eastAsia="en-US"/>
              </w:rPr>
              <w:t xml:space="preserve">Приети </w:t>
            </w:r>
            <w:proofErr w:type="spellStart"/>
            <w:r w:rsidRPr="00EF4C31">
              <w:rPr>
                <w:rFonts w:eastAsia="Calibri"/>
                <w:lang w:eastAsia="en-US"/>
              </w:rPr>
              <w:t>одитни</w:t>
            </w:r>
            <w:proofErr w:type="spellEnd"/>
            <w:r w:rsidRPr="00EF4C31">
              <w:rPr>
                <w:rFonts w:eastAsia="Calibri"/>
                <w:lang w:eastAsia="en-US"/>
              </w:rPr>
              <w:t xml:space="preserve"> доклади</w:t>
            </w:r>
          </w:p>
        </w:tc>
        <w:tc>
          <w:tcPr>
            <w:tcW w:w="3935" w:type="dxa"/>
            <w:vAlign w:val="center"/>
          </w:tcPr>
          <w:p w14:paraId="3DA076F7" w14:textId="77777777" w:rsidR="00EF4C31" w:rsidRPr="00EF4C31" w:rsidRDefault="00EF4C31" w:rsidP="00EF4C31">
            <w:pPr>
              <w:jc w:val="center"/>
              <w:rPr>
                <w:rFonts w:eastAsia="Calibri"/>
                <w:lang w:eastAsia="en-US"/>
              </w:rPr>
            </w:pPr>
            <w:r w:rsidRPr="00EF4C31">
              <w:rPr>
                <w:rFonts w:eastAsia="Calibri"/>
                <w:lang w:eastAsia="en-US"/>
              </w:rPr>
              <w:t>Мотиви при гласуване „против“</w:t>
            </w:r>
          </w:p>
        </w:tc>
      </w:tr>
      <w:tr w:rsidR="00EF4C31" w14:paraId="56ABEFF0" w14:textId="77777777" w:rsidTr="00EF4C31">
        <w:tc>
          <w:tcPr>
            <w:tcW w:w="5353" w:type="dxa"/>
            <w:vAlign w:val="center"/>
          </w:tcPr>
          <w:p w14:paraId="286489CC" w14:textId="77777777" w:rsidR="00EF4C31" w:rsidRDefault="00EF4C31" w:rsidP="00EF4C31">
            <w:pPr>
              <w:rPr>
                <w:b/>
              </w:rPr>
            </w:pPr>
            <w:r w:rsidRPr="0081558A">
              <w:rPr>
                <w:b/>
              </w:rPr>
              <w:t xml:space="preserve">По т. </w:t>
            </w:r>
            <w:r>
              <w:rPr>
                <w:b/>
              </w:rPr>
              <w:t>3</w:t>
            </w:r>
            <w:r w:rsidRPr="0081558A">
              <w:rPr>
                <w:b/>
              </w:rPr>
              <w:t>:</w:t>
            </w:r>
          </w:p>
          <w:p w14:paraId="340712C1" w14:textId="77777777" w:rsidR="00EF4C31" w:rsidRPr="00A1455B" w:rsidRDefault="00EF4C31" w:rsidP="00EF4C31">
            <w:pPr>
              <w:tabs>
                <w:tab w:val="num" w:pos="0"/>
              </w:tabs>
              <w:ind w:firstLine="708"/>
              <w:jc w:val="both"/>
              <w:rPr>
                <w:bCs/>
              </w:rPr>
            </w:pPr>
            <w:proofErr w:type="spellStart"/>
            <w:r w:rsidRPr="00A1455B">
              <w:rPr>
                <w:bCs/>
              </w:rPr>
              <w:t>Одитен</w:t>
            </w:r>
            <w:proofErr w:type="spellEnd"/>
            <w:r w:rsidRPr="00A1455B">
              <w:rPr>
                <w:bCs/>
              </w:rPr>
              <w:t xml:space="preserve"> доклад № 0600200517 за извършен одит на отчета за изпълнението на държавния бюджет на Република България за периода от 01.</w:t>
            </w:r>
            <w:proofErr w:type="spellStart"/>
            <w:r w:rsidRPr="00A1455B">
              <w:rPr>
                <w:bCs/>
              </w:rPr>
              <w:t>01</w:t>
            </w:r>
            <w:proofErr w:type="spellEnd"/>
            <w:r w:rsidRPr="00A1455B">
              <w:rPr>
                <w:bCs/>
              </w:rPr>
              <w:t>.2016 г. до 31.12.2016 г., със становище по отчета за изпълнението на държавния бюджет на Република България, за периода от 01.</w:t>
            </w:r>
            <w:proofErr w:type="spellStart"/>
            <w:r w:rsidRPr="00A1455B">
              <w:rPr>
                <w:bCs/>
              </w:rPr>
              <w:t>01</w:t>
            </w:r>
            <w:proofErr w:type="spellEnd"/>
            <w:r w:rsidRPr="00A1455B">
              <w:rPr>
                <w:bCs/>
              </w:rPr>
              <w:t>.2016 г. до 31.12.2016 г.</w:t>
            </w:r>
          </w:p>
          <w:p w14:paraId="0E674012" w14:textId="77777777" w:rsidR="00EF4C31" w:rsidRPr="006042AE" w:rsidRDefault="00EF4C31" w:rsidP="00EF4C31">
            <w:r w:rsidRPr="006042AE">
              <w:t>Начин на гласуване:</w:t>
            </w:r>
          </w:p>
          <w:p w14:paraId="2A11B0BB" w14:textId="77777777" w:rsidR="00EF4C31" w:rsidRDefault="00EF4C31" w:rsidP="00EF4C31">
            <w:r w:rsidRPr="006042AE">
              <w:t>Цветан Цветков, председател на СП – за</w:t>
            </w:r>
          </w:p>
          <w:p w14:paraId="03B5C6A3" w14:textId="77777777" w:rsidR="00EF4C31" w:rsidRDefault="00EF4C31" w:rsidP="00EF4C31">
            <w:r>
              <w:t xml:space="preserve">Горица </w:t>
            </w:r>
            <w:proofErr w:type="spellStart"/>
            <w:r>
              <w:t>Грънчарова-Кожарева</w:t>
            </w:r>
            <w:proofErr w:type="spellEnd"/>
            <w:r>
              <w:t>,</w:t>
            </w:r>
            <w:r w:rsidRPr="006042AE">
              <w:t xml:space="preserve"> зам.-председател на СП – за</w:t>
            </w:r>
          </w:p>
          <w:p w14:paraId="6F920060" w14:textId="77777777" w:rsidR="00EF4C31" w:rsidRPr="006042AE" w:rsidRDefault="00EF4C31" w:rsidP="00EF4C31">
            <w:r>
              <w:t xml:space="preserve">Тошко Тодоров, зам.-председател на СП – за </w:t>
            </w:r>
          </w:p>
          <w:p w14:paraId="4F2566AC" w14:textId="77777777" w:rsidR="00EF4C31" w:rsidRPr="006042AE" w:rsidRDefault="00EF4C31" w:rsidP="00EF4C31">
            <w:r w:rsidRPr="006042AE">
              <w:t>Проф. Георги Иванов, член на СП – за</w:t>
            </w:r>
          </w:p>
          <w:p w14:paraId="68E0C1CD" w14:textId="77777777" w:rsidR="00EF4C31" w:rsidRPr="006042AE" w:rsidRDefault="00EF4C31" w:rsidP="00EF4C31">
            <w:r w:rsidRPr="006042AE">
              <w:t xml:space="preserve">Емил Евлогиев, член на СП – </w:t>
            </w:r>
            <w:r>
              <w:t>за</w:t>
            </w:r>
          </w:p>
          <w:p w14:paraId="1177D634" w14:textId="77777777" w:rsidR="00EF4C31" w:rsidRPr="0081558A" w:rsidRDefault="00EF4C31" w:rsidP="00EF4C31">
            <w:pPr>
              <w:rPr>
                <w:b/>
              </w:rPr>
            </w:pPr>
            <w:r w:rsidRPr="006042AE">
              <w:t xml:space="preserve">Против </w:t>
            </w:r>
            <w:r>
              <w:t>–</w:t>
            </w:r>
            <w:r w:rsidRPr="006042AE">
              <w:t xml:space="preserve"> </w:t>
            </w:r>
            <w:r>
              <w:t>0</w:t>
            </w:r>
          </w:p>
        </w:tc>
        <w:tc>
          <w:tcPr>
            <w:tcW w:w="3935" w:type="dxa"/>
            <w:vAlign w:val="center"/>
          </w:tcPr>
          <w:p w14:paraId="3D613E9D" w14:textId="77777777" w:rsidR="00EF4C31" w:rsidRDefault="00EF4C31" w:rsidP="00EF4C31">
            <w:pPr>
              <w:jc w:val="center"/>
            </w:pPr>
            <w:r>
              <w:t>…………………….</w:t>
            </w:r>
          </w:p>
        </w:tc>
      </w:tr>
    </w:tbl>
    <w:p w14:paraId="52851CF6" w14:textId="77777777" w:rsidR="00EF4C31" w:rsidRPr="00EF4C31" w:rsidRDefault="00EF4C31" w:rsidP="00331B26">
      <w:pPr>
        <w:spacing w:after="200" w:line="276" w:lineRule="auto"/>
        <w:rPr>
          <w:lang w:val="en-US"/>
        </w:rPr>
      </w:pPr>
      <w:bookmarkStart w:id="6" w:name="_GoBack"/>
      <w:bookmarkEnd w:id="6"/>
    </w:p>
    <w:sectPr w:rsidR="00EF4C31" w:rsidRPr="00EF4C31" w:rsidSect="003D26CE">
      <w:headerReference w:type="default" r:id="rId35"/>
      <w:footerReference w:type="default" r:id="rId36"/>
      <w:headerReference w:type="first" r:id="rId3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7FEAD" w14:textId="77777777" w:rsidR="00B45102" w:rsidRDefault="00B45102" w:rsidP="00FB3DDD">
      <w:r>
        <w:separator/>
      </w:r>
    </w:p>
  </w:endnote>
  <w:endnote w:type="continuationSeparator" w:id="0">
    <w:p w14:paraId="5F24EDFF" w14:textId="77777777" w:rsidR="00B45102" w:rsidRDefault="00B45102" w:rsidP="00F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Arial"/>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448983"/>
      <w:docPartObj>
        <w:docPartGallery w:val="Page Numbers (Bottom of Page)"/>
        <w:docPartUnique/>
      </w:docPartObj>
    </w:sdtPr>
    <w:sdtEndPr>
      <w:rPr>
        <w:noProof/>
        <w:sz w:val="20"/>
        <w:szCs w:val="20"/>
      </w:rPr>
    </w:sdtEndPr>
    <w:sdtContent>
      <w:p w14:paraId="6DFBC820" w14:textId="046F91AF" w:rsidR="00EF4C31" w:rsidRDefault="00EF4C31" w:rsidP="001F5FDD">
        <w:pPr>
          <w:pStyle w:val="Footer"/>
          <w:jc w:val="center"/>
        </w:pPr>
        <w:r>
          <w:t xml:space="preserve">                                                                                     </w:t>
        </w:r>
        <w:r>
          <w:tab/>
        </w:r>
        <w:r w:rsidRPr="009C00DA">
          <w:rPr>
            <w:sz w:val="20"/>
            <w:szCs w:val="20"/>
          </w:rPr>
          <w:fldChar w:fldCharType="begin"/>
        </w:r>
        <w:r w:rsidRPr="009C00DA">
          <w:rPr>
            <w:sz w:val="20"/>
            <w:szCs w:val="20"/>
          </w:rPr>
          <w:instrText xml:space="preserve"> PAGE   \* MERGEFORMAT </w:instrText>
        </w:r>
        <w:r w:rsidRPr="009C00DA">
          <w:rPr>
            <w:sz w:val="20"/>
            <w:szCs w:val="20"/>
          </w:rPr>
          <w:fldChar w:fldCharType="separate"/>
        </w:r>
        <w:r w:rsidR="00200CA8">
          <w:rPr>
            <w:noProof/>
            <w:sz w:val="20"/>
            <w:szCs w:val="20"/>
          </w:rPr>
          <w:t>2</w:t>
        </w:r>
        <w:r w:rsidRPr="009C00DA">
          <w:rPr>
            <w:noProof/>
            <w:sz w:val="20"/>
            <w:szCs w:val="20"/>
          </w:rPr>
          <w:fldChar w:fldCharType="end"/>
        </w:r>
      </w:p>
    </w:sdtContent>
  </w:sdt>
  <w:p w14:paraId="6F39752D" w14:textId="77777777" w:rsidR="00EF4C31" w:rsidRDefault="00EF4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305C6" w14:textId="77777777" w:rsidR="00B45102" w:rsidRDefault="00B45102" w:rsidP="00FB3DDD">
      <w:r>
        <w:separator/>
      </w:r>
    </w:p>
  </w:footnote>
  <w:footnote w:type="continuationSeparator" w:id="0">
    <w:p w14:paraId="7EE7C418" w14:textId="77777777" w:rsidR="00B45102" w:rsidRDefault="00B45102" w:rsidP="00FB3DDD">
      <w:r>
        <w:continuationSeparator/>
      </w:r>
    </w:p>
  </w:footnote>
  <w:footnote w:id="1">
    <w:p w14:paraId="62840453" w14:textId="77777777" w:rsidR="00EF4C31" w:rsidRDefault="00EF4C31" w:rsidP="00FE77F4">
      <w:pPr>
        <w:pStyle w:val="FootnoteText"/>
        <w:jc w:val="both"/>
      </w:pPr>
      <w:r>
        <w:rPr>
          <w:rStyle w:val="FootnoteReference"/>
        </w:rPr>
        <w:footnoteRef/>
      </w:r>
      <w:r>
        <w:t xml:space="preserve"> ч</w:t>
      </w:r>
      <w:r w:rsidRPr="001E489D">
        <w:t>л. 4 от ЗПФ</w:t>
      </w:r>
      <w:r w:rsidRPr="004A16A1">
        <w:t>: Консолидираната фискална програма</w:t>
      </w:r>
      <w:r>
        <w:t xml:space="preserve"> </w:t>
      </w:r>
      <w:r w:rsidRPr="004A16A1">
        <w:t xml:space="preserve">е </w:t>
      </w:r>
      <w:r w:rsidRPr="001E489D">
        <w:t>система от обобщени показатели по ЦБ и по</w:t>
      </w:r>
      <w:r>
        <w:t xml:space="preserve"> бюджетите, сметките за средствата от ЕС и сметките за чужди средства на бюджетните организации. </w:t>
      </w:r>
    </w:p>
  </w:footnote>
  <w:footnote w:id="2">
    <w:p w14:paraId="7DA6CC4D" w14:textId="77777777" w:rsidR="00EF4C31" w:rsidRDefault="00EF4C31" w:rsidP="00FE77F4">
      <w:pPr>
        <w:pStyle w:val="FootnoteText"/>
      </w:pPr>
      <w:r>
        <w:rPr>
          <w:rStyle w:val="FootnoteReference"/>
        </w:rPr>
        <w:footnoteRef/>
      </w:r>
      <w:r>
        <w:t xml:space="preserve"> чл. 138, ал. 1 от ЗПФ</w:t>
      </w:r>
    </w:p>
  </w:footnote>
  <w:footnote w:id="3">
    <w:p w14:paraId="02F89240" w14:textId="77777777" w:rsidR="00EF4C31" w:rsidRPr="000476AF" w:rsidRDefault="00EF4C31" w:rsidP="00FE77F4">
      <w:pPr>
        <w:pStyle w:val="FootnoteText"/>
        <w:jc w:val="both"/>
      </w:pPr>
      <w:r>
        <w:rPr>
          <w:rStyle w:val="FootnoteReference"/>
        </w:rPr>
        <w:footnoteRef/>
      </w:r>
      <w:r>
        <w:t xml:space="preserve"> ч</w:t>
      </w:r>
      <w:r w:rsidRPr="000476AF">
        <w:t>л. 42, ал. 1 от ЗПФ</w:t>
      </w:r>
    </w:p>
  </w:footnote>
  <w:footnote w:id="4">
    <w:p w14:paraId="697164FB" w14:textId="77777777" w:rsidR="00EF4C31" w:rsidRPr="000476AF" w:rsidRDefault="00EF4C31" w:rsidP="00B26871">
      <w:pPr>
        <w:pStyle w:val="FootnoteText"/>
        <w:jc w:val="both"/>
      </w:pPr>
      <w:r w:rsidRPr="000476AF">
        <w:rPr>
          <w:rStyle w:val="FootnoteReference"/>
        </w:rPr>
        <w:footnoteRef/>
      </w:r>
      <w:r w:rsidRPr="000476AF">
        <w:t xml:space="preserve"> </w:t>
      </w:r>
      <w:r>
        <w:t>ч</w:t>
      </w:r>
      <w:r w:rsidRPr="000476AF">
        <w:t>л. 42, ал. 2 от ЗПФ</w:t>
      </w:r>
    </w:p>
  </w:footnote>
  <w:footnote w:id="5">
    <w:p w14:paraId="3E3BF163" w14:textId="77777777" w:rsidR="00EF4C31" w:rsidRPr="000476AF" w:rsidRDefault="00EF4C31" w:rsidP="00B26871">
      <w:pPr>
        <w:pStyle w:val="FootnoteText"/>
        <w:jc w:val="both"/>
      </w:pPr>
      <w:r w:rsidRPr="000476AF">
        <w:rPr>
          <w:rStyle w:val="FootnoteReference"/>
        </w:rPr>
        <w:footnoteRef/>
      </w:r>
      <w:r w:rsidRPr="000476AF">
        <w:t xml:space="preserve"> </w:t>
      </w:r>
      <w:r>
        <w:t>ч</w:t>
      </w:r>
      <w:r w:rsidRPr="00E047EB">
        <w:rPr>
          <w:lang w:eastAsia="en-US"/>
        </w:rPr>
        <w:t>л. 13, ал. 3 и ал. 4 от ЗПФ</w:t>
      </w:r>
    </w:p>
  </w:footnote>
  <w:footnote w:id="6">
    <w:p w14:paraId="1CA834A4" w14:textId="77777777" w:rsidR="00EF4C31" w:rsidRDefault="00EF4C31" w:rsidP="00B26871">
      <w:pPr>
        <w:pStyle w:val="FootnoteText"/>
      </w:pPr>
      <w:r w:rsidRPr="000476AF">
        <w:rPr>
          <w:rStyle w:val="FootnoteReference"/>
        </w:rPr>
        <w:footnoteRef/>
      </w:r>
      <w:r w:rsidRPr="000476AF">
        <w:t xml:space="preserve"> Одитно доказателство № 1</w:t>
      </w:r>
      <w:r>
        <w:t xml:space="preserve"> </w:t>
      </w:r>
    </w:p>
  </w:footnote>
  <w:footnote w:id="7">
    <w:p w14:paraId="32934AFC" w14:textId="77777777" w:rsidR="00EF4C31" w:rsidRDefault="00EF4C31" w:rsidP="00120BD0">
      <w:pPr>
        <w:pStyle w:val="FootnoteText"/>
      </w:pPr>
      <w:r>
        <w:rPr>
          <w:rStyle w:val="FootnoteReference"/>
        </w:rPr>
        <w:footnoteRef/>
      </w:r>
      <w:r>
        <w:t xml:space="preserve"> ч</w:t>
      </w:r>
      <w:r w:rsidRPr="00562620">
        <w:t>л. 42, ал. 2 от ЗПФ</w:t>
      </w:r>
    </w:p>
  </w:footnote>
  <w:footnote w:id="8">
    <w:p w14:paraId="57B07498" w14:textId="77777777" w:rsidR="00EF4C31" w:rsidRDefault="00EF4C31">
      <w:pPr>
        <w:pStyle w:val="FootnoteText"/>
      </w:pPr>
      <w:r>
        <w:rPr>
          <w:rStyle w:val="FootnoteReference"/>
        </w:rPr>
        <w:footnoteRef/>
      </w:r>
      <w:r>
        <w:t xml:space="preserve"> чл. 13, ал. 3 от ЗПФ</w:t>
      </w:r>
    </w:p>
  </w:footnote>
  <w:footnote w:id="9">
    <w:p w14:paraId="2775DD43" w14:textId="77777777" w:rsidR="00EF4C31" w:rsidRPr="00B3095B" w:rsidRDefault="00EF4C31">
      <w:pPr>
        <w:pStyle w:val="FootnoteText"/>
      </w:pPr>
      <w:r w:rsidRPr="00B3095B">
        <w:rPr>
          <w:rStyle w:val="FootnoteReference"/>
        </w:rPr>
        <w:footnoteRef/>
      </w:r>
      <w:r w:rsidRPr="00B3095B">
        <w:t xml:space="preserve"> чл. 13, ал. 4 от ЗПФ</w:t>
      </w:r>
    </w:p>
  </w:footnote>
  <w:footnote w:id="10">
    <w:p w14:paraId="6FB61859" w14:textId="4C412226" w:rsidR="00EF4C31" w:rsidRPr="00B3095B" w:rsidRDefault="00EF4C31">
      <w:pPr>
        <w:pStyle w:val="FootnoteText"/>
      </w:pPr>
      <w:r w:rsidRPr="00B3095B">
        <w:rPr>
          <w:rStyle w:val="FootnoteReference"/>
        </w:rPr>
        <w:footnoteRef/>
      </w:r>
      <w:r w:rsidRPr="00B3095B">
        <w:t xml:space="preserve"> Одитн</w:t>
      </w:r>
      <w:r>
        <w:t>и</w:t>
      </w:r>
      <w:r w:rsidRPr="00B3095B">
        <w:t xml:space="preserve"> доказателств</w:t>
      </w:r>
      <w:r>
        <w:t>а</w:t>
      </w:r>
      <w:r w:rsidRPr="00B3095B">
        <w:t xml:space="preserve"> </w:t>
      </w:r>
      <w:r>
        <w:t xml:space="preserve">№ 2 и </w:t>
      </w:r>
      <w:r w:rsidRPr="00B3095B">
        <w:t>№ 21</w:t>
      </w:r>
    </w:p>
  </w:footnote>
  <w:footnote w:id="11">
    <w:p w14:paraId="37D0F356" w14:textId="77777777" w:rsidR="00EF4C31" w:rsidRDefault="00EF4C31" w:rsidP="00A60079">
      <w:pPr>
        <w:pStyle w:val="FootnoteText"/>
      </w:pPr>
      <w:r w:rsidRPr="00B3095B">
        <w:rPr>
          <w:rStyle w:val="FootnoteReference"/>
        </w:rPr>
        <w:footnoteRef/>
      </w:r>
      <w:r w:rsidRPr="00B3095B">
        <w:t xml:space="preserve"> чл. 138, ал. 2 от ЗПФ</w:t>
      </w:r>
    </w:p>
  </w:footnote>
  <w:footnote w:id="12">
    <w:p w14:paraId="2812F522" w14:textId="2A351C8A" w:rsidR="00EF4C31" w:rsidRPr="00A2132A" w:rsidRDefault="00EF4C31" w:rsidP="00724640">
      <w:pPr>
        <w:pStyle w:val="ListParagraph"/>
        <w:tabs>
          <w:tab w:val="left" w:pos="0"/>
          <w:tab w:val="left" w:pos="993"/>
        </w:tabs>
        <w:ind w:left="0"/>
        <w:jc w:val="both"/>
      </w:pPr>
      <w:r w:rsidRPr="00A60079">
        <w:rPr>
          <w:rStyle w:val="FootnoteReference"/>
          <w:rFonts w:ascii="Times New Roman" w:hAnsi="Times New Roman" w:cs="Times New Roman"/>
          <w:sz w:val="20"/>
          <w:szCs w:val="20"/>
        </w:rPr>
        <w:footnoteRef/>
      </w:r>
      <w:r w:rsidRPr="00A2132A">
        <w:rPr>
          <w:rFonts w:ascii="Times New Roman" w:hAnsi="Times New Roman" w:cs="Times New Roman"/>
          <w:sz w:val="20"/>
          <w:szCs w:val="20"/>
        </w:rPr>
        <w:t xml:space="preserve"> </w:t>
      </w:r>
      <w:r w:rsidRPr="00573548">
        <w:rPr>
          <w:rFonts w:ascii="Times New Roman" w:hAnsi="Times New Roman" w:cs="Times New Roman"/>
          <w:sz w:val="20"/>
          <w:szCs w:val="20"/>
          <w:lang w:val="bg-BG"/>
        </w:rPr>
        <w:t>В отчета за изпълнение на ДБ</w:t>
      </w:r>
      <w:r>
        <w:rPr>
          <w:rFonts w:ascii="Times New Roman" w:hAnsi="Times New Roman" w:cs="Times New Roman"/>
          <w:sz w:val="20"/>
          <w:szCs w:val="20"/>
          <w:lang w:val="bg-BG"/>
        </w:rPr>
        <w:t xml:space="preserve"> въз основа на</w:t>
      </w:r>
      <w:r w:rsidRPr="00573548">
        <w:rPr>
          <w:rFonts w:ascii="Times New Roman" w:hAnsi="Times New Roman" w:cs="Times New Roman"/>
          <w:sz w:val="20"/>
          <w:szCs w:val="20"/>
          <w:lang w:val="bg-BG"/>
        </w:rPr>
        <w:t xml:space="preserve"> коригирани </w:t>
      </w:r>
      <w:r>
        <w:rPr>
          <w:rFonts w:ascii="Times New Roman" w:hAnsi="Times New Roman" w:cs="Times New Roman"/>
          <w:sz w:val="20"/>
          <w:szCs w:val="20"/>
          <w:lang w:val="bg-BG"/>
        </w:rPr>
        <w:t xml:space="preserve">отчети на ПРБ са променени </w:t>
      </w:r>
      <w:r w:rsidRPr="00573548">
        <w:rPr>
          <w:rFonts w:ascii="Times New Roman" w:hAnsi="Times New Roman" w:cs="Times New Roman"/>
          <w:sz w:val="20"/>
          <w:szCs w:val="20"/>
          <w:lang w:val="bg-BG"/>
        </w:rPr>
        <w:t>следните показатели: 1. "Текущи разходи"; 2. "Капиталови разходи"; 2.1. "Придобиване на дълготрайни активи и основен ремонт"; ІІІ. "Бюджетни взаимоотношения (трансфери)"; 1. "Предоставени трансфери"; 1.11. "Други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1.11.23. "Други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от Комисията за енергийно и водно регулиране"; V. "Бюджетно салдо"; VІ. "Операции в частта на финансирането - нето".</w:t>
      </w:r>
    </w:p>
  </w:footnote>
  <w:footnote w:id="13">
    <w:p w14:paraId="30CCF44F" w14:textId="7E84B254" w:rsidR="00EF4C31" w:rsidRPr="00714F6C" w:rsidRDefault="00EF4C31" w:rsidP="00F43061">
      <w:pPr>
        <w:pStyle w:val="FootnoteText"/>
        <w:jc w:val="both"/>
      </w:pPr>
      <w:r>
        <w:rPr>
          <w:rStyle w:val="FootnoteReference"/>
        </w:rPr>
        <w:footnoteRef/>
      </w:r>
      <w:r>
        <w:t xml:space="preserve"> </w:t>
      </w:r>
      <w:r w:rsidRPr="00714F6C">
        <w:t>Някои сумарни позиции в отчета за изпълнение на ДБ не се изчерпват от съставните им числа</w:t>
      </w:r>
      <w:r>
        <w:t>,</w:t>
      </w:r>
      <w:r w:rsidRPr="00714F6C">
        <w:t xml:space="preserve"> поради извършените закръгления в хил. лв.</w:t>
      </w:r>
    </w:p>
  </w:footnote>
  <w:footnote w:id="14">
    <w:p w14:paraId="7A52D2AB" w14:textId="403AC8D5" w:rsidR="00EF4C31" w:rsidRPr="00A2132A" w:rsidRDefault="00EF4C31" w:rsidP="00E248EC">
      <w:pPr>
        <w:pStyle w:val="FootnoteText"/>
      </w:pPr>
      <w:r>
        <w:rPr>
          <w:rStyle w:val="FootnoteReference"/>
        </w:rPr>
        <w:footnoteRef/>
      </w:r>
      <w:r>
        <w:t xml:space="preserve"> Одитно доказателство № 2</w:t>
      </w:r>
    </w:p>
  </w:footnote>
  <w:footnote w:id="15">
    <w:p w14:paraId="5668E899" w14:textId="77777777" w:rsidR="00EF4C31" w:rsidRPr="00307EB7" w:rsidRDefault="00EF4C31" w:rsidP="00E248EC">
      <w:pPr>
        <w:pStyle w:val="FootnoteText"/>
      </w:pPr>
      <w:r w:rsidRPr="00307EB7">
        <w:rPr>
          <w:rStyle w:val="FootnoteReference"/>
        </w:rPr>
        <w:footnoteRef/>
      </w:r>
      <w:r w:rsidRPr="00307EB7">
        <w:t xml:space="preserve"> </w:t>
      </w:r>
      <w:r>
        <w:t>Одитно доказателство № 25</w:t>
      </w:r>
    </w:p>
  </w:footnote>
  <w:footnote w:id="16">
    <w:p w14:paraId="11B026CD" w14:textId="77777777" w:rsidR="00EF4C31" w:rsidRPr="00626F35" w:rsidRDefault="00EF4C31" w:rsidP="00E248EC">
      <w:pPr>
        <w:pStyle w:val="FootnoteText"/>
      </w:pPr>
      <w:r w:rsidRPr="00626F35">
        <w:rPr>
          <w:rStyle w:val="FootnoteReference"/>
        </w:rPr>
        <w:footnoteRef/>
      </w:r>
      <w:r w:rsidRPr="00626F35">
        <w:t xml:space="preserve"> </w:t>
      </w:r>
      <w:r>
        <w:t>С</w:t>
      </w:r>
      <w:r w:rsidRPr="00626F35">
        <w:t xml:space="preserve"> ПМС № 347 </w:t>
      </w:r>
      <w:r>
        <w:t xml:space="preserve">от 2016 г. </w:t>
      </w:r>
      <w:r w:rsidRPr="00626F35">
        <w:t>е извършена промяна в одобрените с годишния закон параметри по бюджета на съдебната влас</w:t>
      </w:r>
      <w:r>
        <w:t>т и планът за приходи е намален</w:t>
      </w:r>
      <w:r w:rsidRPr="00626F35">
        <w:t>.</w:t>
      </w:r>
    </w:p>
  </w:footnote>
  <w:footnote w:id="17">
    <w:p w14:paraId="2DCD4B8F" w14:textId="77777777" w:rsidR="00EF4C31" w:rsidRDefault="00EF4C31" w:rsidP="00E248EC">
      <w:pPr>
        <w:pStyle w:val="FootnoteText"/>
      </w:pPr>
      <w:r>
        <w:rPr>
          <w:rStyle w:val="FootnoteReference"/>
        </w:rPr>
        <w:footnoteRef/>
      </w:r>
      <w:r>
        <w:t xml:space="preserve"> Одитно доказателство № 22</w:t>
      </w:r>
    </w:p>
  </w:footnote>
  <w:footnote w:id="18">
    <w:p w14:paraId="37D8728F" w14:textId="77777777" w:rsidR="00EF4C31" w:rsidRPr="00E07B32" w:rsidRDefault="00EF4C31" w:rsidP="009661F1">
      <w:pPr>
        <w:pStyle w:val="FootnoteText"/>
      </w:pPr>
      <w:r w:rsidRPr="00E07B32">
        <w:rPr>
          <w:rStyle w:val="FootnoteReference"/>
        </w:rPr>
        <w:footnoteRef/>
      </w:r>
      <w:r w:rsidRPr="00E07B32">
        <w:t xml:space="preserve"> Със ЗДБРБ за 2016 г. са утвърдени разходи за персонал в размер на 3 784 699,6 хил. лв. </w:t>
      </w:r>
    </w:p>
  </w:footnote>
  <w:footnote w:id="19">
    <w:p w14:paraId="05AFA7FA" w14:textId="77777777" w:rsidR="00EF4C31" w:rsidRPr="00954835" w:rsidRDefault="00EF4C31" w:rsidP="009661F1">
      <w:pPr>
        <w:pStyle w:val="FootnoteText"/>
      </w:pPr>
      <w:r w:rsidRPr="00954835">
        <w:rPr>
          <w:rStyle w:val="FootnoteReference"/>
        </w:rPr>
        <w:footnoteRef/>
      </w:r>
      <w:r w:rsidRPr="00954835">
        <w:t xml:space="preserve"> </w:t>
      </w:r>
      <w:r>
        <w:t>Одитно доказателство № 22</w:t>
      </w:r>
    </w:p>
  </w:footnote>
  <w:footnote w:id="20">
    <w:p w14:paraId="0D8DE250" w14:textId="77777777" w:rsidR="00EF4C31" w:rsidRDefault="00EF4C31" w:rsidP="00B31ED0">
      <w:pPr>
        <w:pStyle w:val="FootnoteText"/>
      </w:pPr>
      <w:r>
        <w:rPr>
          <w:rStyle w:val="FootnoteReference"/>
        </w:rPr>
        <w:footnoteRef/>
      </w:r>
      <w:r>
        <w:t xml:space="preserve"> Одитно доказателство № 32</w:t>
      </w:r>
    </w:p>
  </w:footnote>
  <w:footnote w:id="21">
    <w:p w14:paraId="172FD99A" w14:textId="77777777" w:rsidR="00EF4C31" w:rsidRDefault="00EF4C31" w:rsidP="00B31ED0">
      <w:pPr>
        <w:pStyle w:val="FootnoteText"/>
      </w:pPr>
      <w:r>
        <w:rPr>
          <w:rStyle w:val="FootnoteReference"/>
        </w:rPr>
        <w:footnoteRef/>
      </w:r>
      <w:r>
        <w:t xml:space="preserve"> Одитно доказателство № 28</w:t>
      </w:r>
    </w:p>
  </w:footnote>
  <w:footnote w:id="22">
    <w:p w14:paraId="3ECBD4FF" w14:textId="77777777" w:rsidR="00EF4C31" w:rsidRPr="003C0473" w:rsidRDefault="00EF4C31" w:rsidP="009661F1">
      <w:pPr>
        <w:pStyle w:val="FootnoteText"/>
      </w:pPr>
      <w:r w:rsidRPr="003C0473">
        <w:rPr>
          <w:rStyle w:val="FootnoteReference"/>
        </w:rPr>
        <w:footnoteRef/>
      </w:r>
      <w:r w:rsidRPr="003C0473">
        <w:t xml:space="preserve"> </w:t>
      </w:r>
      <w:r>
        <w:t>Одитно доказателство № 22</w:t>
      </w:r>
    </w:p>
  </w:footnote>
  <w:footnote w:id="23">
    <w:p w14:paraId="2CB716CD" w14:textId="77777777" w:rsidR="00EF4C31" w:rsidRPr="004C16D3" w:rsidRDefault="00EF4C31" w:rsidP="009661F1">
      <w:pPr>
        <w:pStyle w:val="FootnoteText"/>
        <w:jc w:val="both"/>
      </w:pPr>
      <w:r w:rsidRPr="004C16D3">
        <w:rPr>
          <w:rStyle w:val="FootnoteReference"/>
        </w:rPr>
        <w:footnoteRef/>
      </w:r>
      <w:r>
        <w:t xml:space="preserve"> на основание чл. </w:t>
      </w:r>
      <w:r w:rsidRPr="004C16D3">
        <w:t>112, ал.</w:t>
      </w:r>
      <w:r>
        <w:t> </w:t>
      </w:r>
      <w:r w:rsidRPr="004C16D3">
        <w:t>2 от Закона за публичните финанси с писмо № 02.09-1155 от 19.12.2016</w:t>
      </w:r>
      <w:r>
        <w:t> </w:t>
      </w:r>
      <w:r w:rsidRPr="004C16D3">
        <w:t>г.</w:t>
      </w:r>
    </w:p>
  </w:footnote>
  <w:footnote w:id="24">
    <w:p w14:paraId="06F279FD" w14:textId="48A48478" w:rsidR="00EF4C31" w:rsidRPr="004C16D3" w:rsidRDefault="00EF4C31" w:rsidP="009661F1">
      <w:pPr>
        <w:pStyle w:val="FootnoteText"/>
        <w:jc w:val="both"/>
      </w:pPr>
      <w:r w:rsidRPr="004C16D3">
        <w:rPr>
          <w:rStyle w:val="FootnoteReference"/>
        </w:rPr>
        <w:footnoteRef/>
      </w:r>
      <w:r>
        <w:t xml:space="preserve"> ПМС № 113 от 05.</w:t>
      </w:r>
      <w:proofErr w:type="spellStart"/>
      <w:r>
        <w:t>05</w:t>
      </w:r>
      <w:proofErr w:type="spellEnd"/>
      <w:r>
        <w:t>.2016 </w:t>
      </w:r>
      <w:r w:rsidRPr="004C16D3">
        <w:t xml:space="preserve">г. – за доизграждане, ремонт и оборудване на Патриаршеското крило в Троянската света </w:t>
      </w:r>
      <w:r>
        <w:t>обител; ПМС № 192 от 29.07.2016 </w:t>
      </w:r>
      <w:r w:rsidRPr="004C16D3">
        <w:t>г. - за довършителни строителни и ремонтни дейности за катедралния храм „Св.</w:t>
      </w:r>
      <w:proofErr w:type="spellStart"/>
      <w:r w:rsidRPr="004C16D3">
        <w:t>св</w:t>
      </w:r>
      <w:proofErr w:type="spellEnd"/>
      <w:r w:rsidRPr="004C16D3">
        <w:t xml:space="preserve">. Кирил и Методий“, </w:t>
      </w:r>
      <w:proofErr w:type="spellStart"/>
      <w:r w:rsidRPr="004C16D3">
        <w:t>Бачковския</w:t>
      </w:r>
      <w:proofErr w:type="spellEnd"/>
      <w:r w:rsidRPr="004C16D3">
        <w:t xml:space="preserve"> манастир „Успение Богородично“ и „Свети Димитър </w:t>
      </w:r>
      <w:proofErr w:type="spellStart"/>
      <w:r w:rsidRPr="004C16D3">
        <w:t>Басарбовс</w:t>
      </w:r>
      <w:r>
        <w:t>к</w:t>
      </w:r>
      <w:r w:rsidRPr="004C16D3">
        <w:t>и</w:t>
      </w:r>
      <w:proofErr w:type="spellEnd"/>
      <w:r w:rsidRPr="004C16D3">
        <w:t>“; П</w:t>
      </w:r>
      <w:r>
        <w:t>МС № 206 от 11.08.2016 </w:t>
      </w:r>
      <w:r w:rsidRPr="004C16D3">
        <w:t>г. и ПМС № 261 от 07.10.2016</w:t>
      </w:r>
      <w:r>
        <w:t> </w:t>
      </w:r>
      <w:r w:rsidRPr="004C16D3">
        <w:t xml:space="preserve">г. – за строителни дейности в храм „Св. </w:t>
      </w:r>
      <w:proofErr w:type="spellStart"/>
      <w:r w:rsidRPr="004C16D3">
        <w:t>Прокопий</w:t>
      </w:r>
      <w:proofErr w:type="spellEnd"/>
      <w:r w:rsidRPr="004C16D3">
        <w:t xml:space="preserve"> </w:t>
      </w:r>
      <w:r>
        <w:t>Варненски“ и храм „</w:t>
      </w:r>
      <w:proofErr w:type="spellStart"/>
      <w:r>
        <w:t>Всех</w:t>
      </w:r>
      <w:proofErr w:type="spellEnd"/>
      <w:r>
        <w:t xml:space="preserve"> </w:t>
      </w:r>
      <w:proofErr w:type="spellStart"/>
      <w:r>
        <w:t>Святих</w:t>
      </w:r>
      <w:proofErr w:type="spellEnd"/>
      <w:r>
        <w:t xml:space="preserve">“; </w:t>
      </w:r>
      <w:r w:rsidRPr="00EE208F">
        <w:t>ПМС № 280 от 02.11.2016</w:t>
      </w:r>
      <w:r>
        <w:t> </w:t>
      </w:r>
      <w:r w:rsidRPr="00EE208F">
        <w:t>г. – за спешен ремонт на покривна конструкция н</w:t>
      </w:r>
      <w:r>
        <w:t>а Софийската духовна семинария</w:t>
      </w:r>
    </w:p>
  </w:footnote>
  <w:footnote w:id="25">
    <w:p w14:paraId="1F3E8547" w14:textId="77777777" w:rsidR="00EF4C31" w:rsidRPr="003375F3" w:rsidRDefault="00EF4C31" w:rsidP="00CB7F30">
      <w:pPr>
        <w:pStyle w:val="FootnoteText"/>
        <w:jc w:val="both"/>
      </w:pPr>
      <w:r w:rsidRPr="003375F3">
        <w:rPr>
          <w:rStyle w:val="FootnoteReference"/>
        </w:rPr>
        <w:footnoteRef/>
      </w:r>
      <w:r w:rsidRPr="003375F3">
        <w:t xml:space="preserve"> </w:t>
      </w:r>
      <w:r>
        <w:t>ч</w:t>
      </w:r>
      <w:r w:rsidRPr="003375F3">
        <w:t xml:space="preserve">л. 1, ал. 2 от ЗДБРБ 2016 г., Раздел </w:t>
      </w:r>
      <w:r w:rsidRPr="003375F3">
        <w:rPr>
          <w:lang w:val="en-US"/>
        </w:rPr>
        <w:t>II</w:t>
      </w:r>
      <w:r w:rsidRPr="003375F3">
        <w:t xml:space="preserve"> Разходи, т. 2. Капиталови разходи</w:t>
      </w:r>
    </w:p>
  </w:footnote>
  <w:footnote w:id="26">
    <w:p w14:paraId="3C8BA845" w14:textId="77777777" w:rsidR="00EF4C31" w:rsidRDefault="00EF4C31" w:rsidP="00CB7F30">
      <w:pPr>
        <w:pStyle w:val="FootnoteText"/>
        <w:jc w:val="both"/>
      </w:pPr>
      <w:r>
        <w:rPr>
          <w:rStyle w:val="FootnoteReference"/>
        </w:rPr>
        <w:footnoteRef/>
      </w:r>
      <w:r>
        <w:t xml:space="preserve"> чл. 109, ал. 3 от ЗПФ </w:t>
      </w:r>
      <w:r w:rsidRPr="003F1AE5">
        <w:rPr>
          <w:szCs w:val="24"/>
        </w:rPr>
        <w:t xml:space="preserve">Министерският съвет може да одобрява допълнителни разходи/трансфери за бюджетите на първостепенните разпоредители с бюджет, както и за бюджетните организации по </w:t>
      </w:r>
      <w:hyperlink r:id="rId1" w:anchor="p8011323" w:tgtFrame="_blank" w:history="1">
        <w:r w:rsidRPr="006A5EC7">
          <w:rPr>
            <w:szCs w:val="24"/>
          </w:rPr>
          <w:t>чл. 13, ал. 3 и 4</w:t>
        </w:r>
      </w:hyperlink>
      <w:r w:rsidRPr="003F1AE5">
        <w:rPr>
          <w:szCs w:val="24"/>
        </w:rPr>
        <w:t xml:space="preserve"> за сметка на централния бюджет, с изключение на случаите по </w:t>
      </w:r>
      <w:hyperlink r:id="rId2" w:anchor="p30043710" w:tgtFrame="_blank" w:history="1">
        <w:r w:rsidRPr="006A5EC7">
          <w:rPr>
            <w:szCs w:val="24"/>
          </w:rPr>
          <w:t>чл. 110, ал. 2</w:t>
        </w:r>
      </w:hyperlink>
      <w:r w:rsidRPr="003F1AE5">
        <w:rPr>
          <w:szCs w:val="24"/>
        </w:rPr>
        <w:t>, когато не се нарушава салдото по държавния бюджет.</w:t>
      </w:r>
    </w:p>
  </w:footnote>
  <w:footnote w:id="27">
    <w:p w14:paraId="54C330BD" w14:textId="77777777" w:rsidR="00EF4C31" w:rsidRDefault="00EF4C31" w:rsidP="00CB7F30">
      <w:pPr>
        <w:pStyle w:val="FootnoteText"/>
        <w:jc w:val="both"/>
      </w:pPr>
      <w:r>
        <w:rPr>
          <w:rStyle w:val="FootnoteReference"/>
        </w:rPr>
        <w:footnoteRef/>
      </w:r>
      <w:r>
        <w:t xml:space="preserve"> Одитно доказателство № 12</w:t>
      </w:r>
    </w:p>
  </w:footnote>
  <w:footnote w:id="28">
    <w:p w14:paraId="5F319C0C" w14:textId="05CFDB29" w:rsidR="00EF4C31" w:rsidRPr="003375F3" w:rsidRDefault="00EF4C31" w:rsidP="00CB7F30">
      <w:pPr>
        <w:pStyle w:val="FootnoteText"/>
        <w:jc w:val="both"/>
      </w:pPr>
      <w:r w:rsidRPr="003375F3">
        <w:rPr>
          <w:rStyle w:val="FootnoteReference"/>
        </w:rPr>
        <w:footnoteRef/>
      </w:r>
      <w:r>
        <w:t xml:space="preserve"> Одитни</w:t>
      </w:r>
      <w:r w:rsidRPr="003375F3">
        <w:t xml:space="preserve"> доказателств</w:t>
      </w:r>
      <w:r>
        <w:t>а</w:t>
      </w:r>
      <w:r w:rsidRPr="003375F3">
        <w:t xml:space="preserve"> № </w:t>
      </w:r>
      <w:r>
        <w:t>9 и № 10</w:t>
      </w:r>
    </w:p>
  </w:footnote>
  <w:footnote w:id="29">
    <w:p w14:paraId="0D3C6CF4" w14:textId="77777777" w:rsidR="00EF4C31" w:rsidRDefault="00EF4C31" w:rsidP="00CB7F30">
      <w:pPr>
        <w:pStyle w:val="FootnoteText"/>
      </w:pPr>
      <w:r>
        <w:rPr>
          <w:rStyle w:val="FootnoteReference"/>
        </w:rPr>
        <w:footnoteRef/>
      </w:r>
      <w:r>
        <w:t xml:space="preserve"> Одитно доказателство № 22</w:t>
      </w:r>
    </w:p>
  </w:footnote>
  <w:footnote w:id="30">
    <w:p w14:paraId="622C7207" w14:textId="77777777" w:rsidR="00EF4C31" w:rsidRDefault="00EF4C31" w:rsidP="00CB7F30">
      <w:pPr>
        <w:pStyle w:val="FootnoteText"/>
      </w:pPr>
      <w:r>
        <w:rPr>
          <w:rStyle w:val="FootnoteReference"/>
        </w:rPr>
        <w:footnoteRef/>
      </w:r>
      <w:r>
        <w:t xml:space="preserve"> чл. 3 от ПМС № 18/2015 г.</w:t>
      </w:r>
    </w:p>
  </w:footnote>
  <w:footnote w:id="31">
    <w:p w14:paraId="5E1F68E2" w14:textId="77777777" w:rsidR="00EF4C31" w:rsidRDefault="00EF4C31" w:rsidP="00CB7F30">
      <w:pPr>
        <w:pStyle w:val="FootnoteText"/>
      </w:pPr>
      <w:r>
        <w:rPr>
          <w:rStyle w:val="FootnoteReference"/>
        </w:rPr>
        <w:footnoteRef/>
      </w:r>
      <w:r>
        <w:t xml:space="preserve"> чл. 3, ал. 3 от ПМС № 18/2015 г.</w:t>
      </w:r>
    </w:p>
  </w:footnote>
  <w:footnote w:id="32">
    <w:p w14:paraId="760786FB" w14:textId="77777777" w:rsidR="00EF4C31" w:rsidRDefault="00EF4C31" w:rsidP="00CB7F30">
      <w:pPr>
        <w:pStyle w:val="FootnoteText"/>
      </w:pPr>
      <w:r>
        <w:rPr>
          <w:rStyle w:val="FootnoteReference"/>
        </w:rPr>
        <w:footnoteRef/>
      </w:r>
      <w:r>
        <w:t xml:space="preserve"> чл. 119 от ЗПФ</w:t>
      </w:r>
    </w:p>
  </w:footnote>
  <w:footnote w:id="33">
    <w:p w14:paraId="19D24612" w14:textId="77777777" w:rsidR="00EF4C31" w:rsidRDefault="00EF4C31" w:rsidP="00CB7F30">
      <w:pPr>
        <w:pStyle w:val="FootnoteText"/>
      </w:pPr>
      <w:r>
        <w:rPr>
          <w:rStyle w:val="FootnoteReference"/>
        </w:rPr>
        <w:footnoteRef/>
      </w:r>
      <w:r>
        <w:t xml:space="preserve"> чл. 8 от ПМС № 18, изм. в сила от 15.05.2015 г.</w:t>
      </w:r>
    </w:p>
  </w:footnote>
  <w:footnote w:id="34">
    <w:p w14:paraId="32D6CFD2" w14:textId="77777777" w:rsidR="00EF4C31" w:rsidRDefault="00EF4C31" w:rsidP="00CB7F30">
      <w:pPr>
        <w:pStyle w:val="FootnoteText"/>
      </w:pPr>
      <w:r>
        <w:rPr>
          <w:rStyle w:val="FootnoteReference"/>
        </w:rPr>
        <w:footnoteRef/>
      </w:r>
      <w:r>
        <w:t xml:space="preserve"> Одитно доказателство № 3</w:t>
      </w:r>
    </w:p>
  </w:footnote>
  <w:footnote w:id="35">
    <w:p w14:paraId="75EF765D" w14:textId="77777777" w:rsidR="00EF4C31" w:rsidRPr="008742A8" w:rsidRDefault="00EF4C31" w:rsidP="00CB7F30">
      <w:pPr>
        <w:pStyle w:val="FootnoteText"/>
        <w:jc w:val="both"/>
      </w:pPr>
      <w:r>
        <w:rPr>
          <w:rStyle w:val="FootnoteReference"/>
        </w:rPr>
        <w:footnoteRef/>
      </w:r>
      <w:r>
        <w:t xml:space="preserve"> Функция </w:t>
      </w:r>
      <w:r>
        <w:rPr>
          <w:lang w:val="en-US"/>
        </w:rPr>
        <w:t>VI</w:t>
      </w:r>
      <w:r>
        <w:t>. Жилищно строителство, благоустройство и комунално стопанство.</w:t>
      </w:r>
    </w:p>
  </w:footnote>
  <w:footnote w:id="36">
    <w:p w14:paraId="7E9CCE22" w14:textId="77777777" w:rsidR="00EF4C31" w:rsidRDefault="00EF4C31" w:rsidP="00CB7F30">
      <w:pPr>
        <w:pStyle w:val="FootnoteText"/>
        <w:jc w:val="both"/>
      </w:pPr>
      <w:r>
        <w:rPr>
          <w:rStyle w:val="FootnoteReference"/>
        </w:rPr>
        <w:footnoteRef/>
      </w:r>
      <w:r>
        <w:t xml:space="preserve"> Одитно доказателство № 30</w:t>
      </w:r>
    </w:p>
  </w:footnote>
  <w:footnote w:id="37">
    <w:p w14:paraId="609CF466" w14:textId="1407C921" w:rsidR="00EF4C31" w:rsidRDefault="00EF4C31" w:rsidP="00CB7F30">
      <w:pPr>
        <w:pStyle w:val="FootnoteText"/>
        <w:jc w:val="both"/>
      </w:pPr>
      <w:r>
        <w:rPr>
          <w:rStyle w:val="FootnoteReference"/>
        </w:rPr>
        <w:footnoteRef/>
      </w:r>
      <w:r>
        <w:t xml:space="preserve"> </w:t>
      </w:r>
      <w:r w:rsidRPr="0004188C">
        <w:rPr>
          <w:spacing w:val="-4"/>
          <w:szCs w:val="24"/>
        </w:rPr>
        <w:t>Ресурсно обезпечаване на Агенцията по геодезия, картография и кадастър; средства за издръжка на НКСИП; средства за изпълнение на „Целенасочена инвестиционна програма в подкрепа на развитието на Северозападна България, Родопите, Странджа, пограничните, планинските и полупланинските слаборазвити райони“</w:t>
      </w:r>
    </w:p>
  </w:footnote>
  <w:footnote w:id="38">
    <w:p w14:paraId="0058C540" w14:textId="77777777" w:rsidR="00EF4C31" w:rsidRDefault="00EF4C31" w:rsidP="00CB7F30">
      <w:pPr>
        <w:pStyle w:val="FootnoteText"/>
        <w:jc w:val="both"/>
      </w:pPr>
      <w:r>
        <w:rPr>
          <w:rStyle w:val="FootnoteReference"/>
        </w:rPr>
        <w:footnoteRef/>
      </w:r>
      <w:r>
        <w:t xml:space="preserve"> Одитно доказателство № 16</w:t>
      </w:r>
    </w:p>
  </w:footnote>
  <w:footnote w:id="39">
    <w:p w14:paraId="6893D3B5" w14:textId="77777777" w:rsidR="00EF4C31" w:rsidRDefault="00EF4C31" w:rsidP="00CB7F30">
      <w:pPr>
        <w:pStyle w:val="FootnoteText"/>
        <w:jc w:val="both"/>
      </w:pPr>
      <w:r>
        <w:rPr>
          <w:rStyle w:val="FootnoteReference"/>
        </w:rPr>
        <w:footnoteRef/>
      </w:r>
      <w:r>
        <w:t xml:space="preserve"> Одитно доказателство № 16</w:t>
      </w:r>
    </w:p>
  </w:footnote>
  <w:footnote w:id="40">
    <w:p w14:paraId="0A2DAE16" w14:textId="77777777" w:rsidR="00EF4C31" w:rsidRPr="003375F3" w:rsidRDefault="00EF4C31" w:rsidP="00CB7F30">
      <w:pPr>
        <w:pStyle w:val="FootnoteText"/>
        <w:jc w:val="both"/>
      </w:pPr>
      <w:r w:rsidRPr="003375F3">
        <w:rPr>
          <w:rStyle w:val="FootnoteReference"/>
        </w:rPr>
        <w:footnoteRef/>
      </w:r>
      <w:r w:rsidRPr="003375F3">
        <w:t xml:space="preserve"> </w:t>
      </w:r>
      <w:r w:rsidRPr="003375F3">
        <w:rPr>
          <w:color w:val="000000"/>
        </w:rPr>
        <w:t>Постановлението се приема на основание чл. 109, ал. 3 от Закона за публичните финанси.</w:t>
      </w:r>
    </w:p>
  </w:footnote>
  <w:footnote w:id="41">
    <w:p w14:paraId="157C3000" w14:textId="77777777" w:rsidR="00EF4C31" w:rsidRDefault="00EF4C31" w:rsidP="00CB7F30">
      <w:pPr>
        <w:pStyle w:val="FootnoteText"/>
        <w:jc w:val="both"/>
      </w:pPr>
      <w:r>
        <w:rPr>
          <w:rStyle w:val="FootnoteReference"/>
        </w:rPr>
        <w:footnoteRef/>
      </w:r>
      <w:r>
        <w:t xml:space="preserve"> Одитно доказателство № 20</w:t>
      </w:r>
    </w:p>
  </w:footnote>
  <w:footnote w:id="42">
    <w:p w14:paraId="6A90E231" w14:textId="77777777" w:rsidR="00EF4C31" w:rsidRPr="003375F3" w:rsidRDefault="00EF4C31" w:rsidP="00E03394">
      <w:pPr>
        <w:pStyle w:val="FootnoteText"/>
        <w:jc w:val="both"/>
      </w:pPr>
      <w:r w:rsidRPr="00BE635A">
        <w:rPr>
          <w:rStyle w:val="FootnoteReference"/>
        </w:rPr>
        <w:footnoteRef/>
      </w:r>
      <w:r w:rsidRPr="00BE635A">
        <w:t xml:space="preserve"> Одитн</w:t>
      </w:r>
      <w:r>
        <w:t>о доказателства №</w:t>
      </w:r>
      <w:r w:rsidRPr="00BE635A">
        <w:t xml:space="preserve"> </w:t>
      </w:r>
      <w:r>
        <w:t>26</w:t>
      </w:r>
    </w:p>
  </w:footnote>
  <w:footnote w:id="43">
    <w:p w14:paraId="3247EE13" w14:textId="77777777" w:rsidR="00EF4C31" w:rsidRDefault="00EF4C31" w:rsidP="00CB7F30">
      <w:pPr>
        <w:pStyle w:val="FootnoteText"/>
        <w:jc w:val="both"/>
      </w:pPr>
      <w:r>
        <w:rPr>
          <w:rStyle w:val="FootnoteReference"/>
        </w:rPr>
        <w:footnoteRef/>
      </w:r>
      <w:r>
        <w:t xml:space="preserve"> Помощта е в размер на разходите по обновяването, но не повече от осигуреното финансиране и свързаните с него лихви.</w:t>
      </w:r>
    </w:p>
  </w:footnote>
  <w:footnote w:id="44">
    <w:p w14:paraId="0C852825" w14:textId="77777777" w:rsidR="00EF4C31" w:rsidRDefault="00EF4C31" w:rsidP="00CB7F30">
      <w:pPr>
        <w:pStyle w:val="FootnoteText"/>
        <w:jc w:val="both"/>
      </w:pPr>
      <w:r>
        <w:rPr>
          <w:rStyle w:val="FootnoteReference"/>
        </w:rPr>
        <w:footnoteRef/>
      </w:r>
      <w:r>
        <w:t xml:space="preserve"> чл. 2, ал. 6 от ПМС № 18 от 2015 г.</w:t>
      </w:r>
    </w:p>
  </w:footnote>
  <w:footnote w:id="45">
    <w:p w14:paraId="6B61D3BA" w14:textId="77777777" w:rsidR="00EF4C31" w:rsidRDefault="00EF4C31" w:rsidP="00CB7F30">
      <w:pPr>
        <w:pStyle w:val="FootnoteText"/>
        <w:jc w:val="both"/>
      </w:pPr>
      <w:r>
        <w:rPr>
          <w:rStyle w:val="FootnoteReference"/>
        </w:rPr>
        <w:footnoteRef/>
      </w:r>
      <w:r>
        <w:t xml:space="preserve"> ПМС 339 </w:t>
      </w:r>
    </w:p>
  </w:footnote>
  <w:footnote w:id="46">
    <w:p w14:paraId="230480EE" w14:textId="77777777" w:rsidR="00EF4C31" w:rsidRDefault="00EF4C31" w:rsidP="00CB7F30">
      <w:pPr>
        <w:pStyle w:val="FootnoteText"/>
        <w:jc w:val="both"/>
      </w:pPr>
      <w:r>
        <w:rPr>
          <w:rStyle w:val="FootnoteReference"/>
        </w:rPr>
        <w:footnoteRef/>
      </w:r>
      <w:r>
        <w:t xml:space="preserve"> Одитно доказателство № 26</w:t>
      </w:r>
    </w:p>
  </w:footnote>
  <w:footnote w:id="47">
    <w:p w14:paraId="7ED2F5C3" w14:textId="77777777" w:rsidR="00EF4C31" w:rsidRPr="003E6FFF" w:rsidRDefault="00EF4C31" w:rsidP="00CB7F30">
      <w:pPr>
        <w:autoSpaceDE w:val="0"/>
        <w:autoSpaceDN w:val="0"/>
        <w:adjustRightInd w:val="0"/>
        <w:jc w:val="both"/>
        <w:rPr>
          <w:sz w:val="20"/>
          <w:szCs w:val="20"/>
        </w:rPr>
      </w:pPr>
      <w:r w:rsidRPr="00BD2322">
        <w:rPr>
          <w:rStyle w:val="FootnoteReference"/>
          <w:sz w:val="20"/>
          <w:szCs w:val="20"/>
        </w:rPr>
        <w:footnoteRef/>
      </w:r>
      <w:r w:rsidRPr="00BD2322">
        <w:rPr>
          <w:sz w:val="20"/>
          <w:szCs w:val="20"/>
        </w:rPr>
        <w:t xml:space="preserve"> </w:t>
      </w:r>
      <w:r w:rsidRPr="009509F1">
        <w:rPr>
          <w:sz w:val="20"/>
          <w:szCs w:val="20"/>
        </w:rPr>
        <w:t>§ 2.</w:t>
      </w:r>
      <w:r w:rsidRPr="00BD2322">
        <w:rPr>
          <w:sz w:val="20"/>
          <w:szCs w:val="20"/>
        </w:rPr>
        <w:t xml:space="preserve"> </w:t>
      </w:r>
      <w:r w:rsidRPr="009509F1">
        <w:rPr>
          <w:sz w:val="20"/>
          <w:szCs w:val="20"/>
        </w:rPr>
        <w:t>В</w:t>
      </w:r>
      <w:r w:rsidRPr="00BD2322">
        <w:rPr>
          <w:sz w:val="20"/>
          <w:szCs w:val="20"/>
        </w:rPr>
        <w:t xml:space="preserve"> </w:t>
      </w:r>
      <w:r w:rsidRPr="009509F1">
        <w:rPr>
          <w:sz w:val="20"/>
          <w:szCs w:val="20"/>
        </w:rPr>
        <w:t>приложение</w:t>
      </w:r>
      <w:r w:rsidRPr="00BD2322">
        <w:rPr>
          <w:sz w:val="20"/>
          <w:szCs w:val="20"/>
        </w:rPr>
        <w:t xml:space="preserve"> № 1 </w:t>
      </w:r>
      <w:r w:rsidRPr="009509F1">
        <w:rPr>
          <w:sz w:val="20"/>
          <w:szCs w:val="20"/>
        </w:rPr>
        <w:t>"Национална</w:t>
      </w:r>
      <w:r w:rsidRPr="00BD2322">
        <w:rPr>
          <w:sz w:val="20"/>
          <w:szCs w:val="20"/>
        </w:rPr>
        <w:t xml:space="preserve"> </w:t>
      </w:r>
      <w:r w:rsidRPr="009509F1">
        <w:rPr>
          <w:sz w:val="20"/>
          <w:szCs w:val="20"/>
        </w:rPr>
        <w:t>програма</w:t>
      </w:r>
      <w:r w:rsidRPr="00BD2322">
        <w:rPr>
          <w:sz w:val="20"/>
          <w:szCs w:val="20"/>
        </w:rPr>
        <w:t xml:space="preserve"> </w:t>
      </w:r>
      <w:r w:rsidRPr="009509F1">
        <w:rPr>
          <w:sz w:val="20"/>
          <w:szCs w:val="20"/>
        </w:rPr>
        <w:t>за</w:t>
      </w:r>
      <w:r w:rsidRPr="00BD2322">
        <w:rPr>
          <w:sz w:val="20"/>
          <w:szCs w:val="20"/>
        </w:rPr>
        <w:t xml:space="preserve"> </w:t>
      </w:r>
      <w:r w:rsidRPr="009509F1">
        <w:rPr>
          <w:sz w:val="20"/>
          <w:szCs w:val="20"/>
        </w:rPr>
        <w:t>енергийна</w:t>
      </w:r>
      <w:r w:rsidRPr="00BD2322">
        <w:rPr>
          <w:sz w:val="20"/>
          <w:szCs w:val="20"/>
        </w:rPr>
        <w:t xml:space="preserve"> </w:t>
      </w:r>
      <w:r w:rsidRPr="009509F1">
        <w:rPr>
          <w:sz w:val="20"/>
          <w:szCs w:val="20"/>
        </w:rPr>
        <w:t>ефективност</w:t>
      </w:r>
      <w:r w:rsidRPr="00BD2322">
        <w:rPr>
          <w:sz w:val="20"/>
          <w:szCs w:val="20"/>
        </w:rPr>
        <w:t xml:space="preserve"> </w:t>
      </w:r>
      <w:r w:rsidRPr="009509F1">
        <w:rPr>
          <w:sz w:val="20"/>
          <w:szCs w:val="20"/>
        </w:rPr>
        <w:t>на</w:t>
      </w:r>
      <w:r w:rsidRPr="00BD2322">
        <w:rPr>
          <w:sz w:val="20"/>
          <w:szCs w:val="20"/>
        </w:rPr>
        <w:t xml:space="preserve"> </w:t>
      </w:r>
      <w:proofErr w:type="spellStart"/>
      <w:r w:rsidRPr="009509F1">
        <w:rPr>
          <w:sz w:val="20"/>
          <w:szCs w:val="20"/>
        </w:rPr>
        <w:t>многофамилни</w:t>
      </w:r>
      <w:proofErr w:type="spellEnd"/>
      <w:r w:rsidRPr="00BD2322">
        <w:rPr>
          <w:sz w:val="20"/>
          <w:szCs w:val="20"/>
        </w:rPr>
        <w:t xml:space="preserve"> </w:t>
      </w:r>
      <w:r w:rsidRPr="009509F1">
        <w:rPr>
          <w:sz w:val="20"/>
          <w:szCs w:val="20"/>
        </w:rPr>
        <w:t>жилищни</w:t>
      </w:r>
      <w:r w:rsidRPr="00BD2322">
        <w:rPr>
          <w:sz w:val="20"/>
          <w:szCs w:val="20"/>
        </w:rPr>
        <w:t xml:space="preserve"> </w:t>
      </w:r>
      <w:r w:rsidRPr="003E6FFF">
        <w:rPr>
          <w:sz w:val="20"/>
          <w:szCs w:val="20"/>
        </w:rPr>
        <w:t>сгради" към чл. 1, ал. 1 – точка 3</w:t>
      </w:r>
    </w:p>
  </w:footnote>
  <w:footnote w:id="48">
    <w:p w14:paraId="7E2B28BB" w14:textId="77777777" w:rsidR="00EF4C31" w:rsidRPr="003E6FFF" w:rsidRDefault="00EF4C31" w:rsidP="00CB7F30">
      <w:pPr>
        <w:pStyle w:val="FootnoteText"/>
        <w:jc w:val="both"/>
      </w:pPr>
      <w:r w:rsidRPr="003E6FFF">
        <w:rPr>
          <w:rStyle w:val="FootnoteReference"/>
        </w:rPr>
        <w:footnoteRef/>
      </w:r>
      <w:r w:rsidRPr="003E6FFF">
        <w:t xml:space="preserve"> т. 3</w:t>
      </w:r>
    </w:p>
  </w:footnote>
  <w:footnote w:id="49">
    <w:p w14:paraId="58C6878B" w14:textId="15B50ADD" w:rsidR="00EF4C31" w:rsidRDefault="00EF4C31">
      <w:pPr>
        <w:pStyle w:val="FootnoteText"/>
      </w:pPr>
      <w:r w:rsidRPr="003E6FFF">
        <w:rPr>
          <w:rStyle w:val="FootnoteReference"/>
        </w:rPr>
        <w:footnoteRef/>
      </w:r>
      <w:r>
        <w:t xml:space="preserve"> Одитни</w:t>
      </w:r>
      <w:r w:rsidRPr="003E6FFF">
        <w:t xml:space="preserve"> доказателств</w:t>
      </w:r>
      <w:r>
        <w:t>а № 9 и</w:t>
      </w:r>
      <w:r w:rsidRPr="003E6FFF">
        <w:t xml:space="preserve"> № 22</w:t>
      </w:r>
    </w:p>
  </w:footnote>
  <w:footnote w:id="50">
    <w:p w14:paraId="534AB1D7" w14:textId="6526422D" w:rsidR="00EF4C31" w:rsidRPr="006E0137" w:rsidRDefault="00EF4C31" w:rsidP="003E6FFF">
      <w:pPr>
        <w:pStyle w:val="FootnoteText"/>
        <w:jc w:val="both"/>
      </w:pPr>
      <w:r w:rsidRPr="006E0137">
        <w:rPr>
          <w:rStyle w:val="FootnoteReference"/>
        </w:rPr>
        <w:footnoteRef/>
      </w:r>
      <w:r>
        <w:t xml:space="preserve"> Одитни</w:t>
      </w:r>
      <w:r w:rsidRPr="006E0137">
        <w:t xml:space="preserve"> доказ</w:t>
      </w:r>
      <w:r>
        <w:t>ателства</w:t>
      </w:r>
      <w:r w:rsidRPr="006E0137">
        <w:t xml:space="preserve"> № </w:t>
      </w:r>
      <w:r>
        <w:t>8</w:t>
      </w:r>
      <w:r w:rsidRPr="006E0137">
        <w:t xml:space="preserve"> и </w:t>
      </w:r>
      <w:r>
        <w:t>№22</w:t>
      </w:r>
    </w:p>
  </w:footnote>
  <w:footnote w:id="51">
    <w:p w14:paraId="70CCF066" w14:textId="5C6E422F" w:rsidR="00EF4C31" w:rsidRDefault="00EF4C31">
      <w:pPr>
        <w:pStyle w:val="FootnoteText"/>
      </w:pPr>
      <w:r>
        <w:rPr>
          <w:rStyle w:val="FootnoteReference"/>
        </w:rPr>
        <w:footnoteRef/>
      </w:r>
      <w:r>
        <w:t xml:space="preserve"> Одитно доказателство № 20</w:t>
      </w:r>
    </w:p>
  </w:footnote>
  <w:footnote w:id="52">
    <w:p w14:paraId="0FF97768" w14:textId="3394312C" w:rsidR="00EF4C31" w:rsidRDefault="00EF4C31">
      <w:pPr>
        <w:pStyle w:val="FootnoteText"/>
      </w:pPr>
      <w:r>
        <w:rPr>
          <w:rStyle w:val="FootnoteReference"/>
        </w:rPr>
        <w:footnoteRef/>
      </w:r>
      <w:r>
        <w:t xml:space="preserve"> Одитно доказателство № 20</w:t>
      </w:r>
    </w:p>
  </w:footnote>
  <w:footnote w:id="53">
    <w:p w14:paraId="0CA7AC1E" w14:textId="6ABCCDF2" w:rsidR="00EF4C31" w:rsidRDefault="00EF4C31">
      <w:pPr>
        <w:pStyle w:val="FootnoteText"/>
      </w:pPr>
      <w:r>
        <w:rPr>
          <w:rStyle w:val="FootnoteReference"/>
        </w:rPr>
        <w:footnoteRef/>
      </w:r>
      <w:r>
        <w:t xml:space="preserve"> Одитно доказателство № 20</w:t>
      </w:r>
    </w:p>
  </w:footnote>
  <w:footnote w:id="54">
    <w:p w14:paraId="739576D8" w14:textId="77777777" w:rsidR="00EF4C31" w:rsidRDefault="00EF4C31" w:rsidP="00CB7F30">
      <w:pPr>
        <w:pStyle w:val="FootnoteText"/>
      </w:pPr>
      <w:r>
        <w:rPr>
          <w:rStyle w:val="FootnoteReference"/>
        </w:rPr>
        <w:footnoteRef/>
      </w:r>
      <w:r>
        <w:t xml:space="preserve"> Одитно доказателство № 17</w:t>
      </w:r>
    </w:p>
  </w:footnote>
  <w:footnote w:id="55">
    <w:p w14:paraId="47FD3255" w14:textId="77777777" w:rsidR="00EF4C31" w:rsidRPr="00256021" w:rsidRDefault="00EF4C31" w:rsidP="009661F1">
      <w:pPr>
        <w:pStyle w:val="FootnoteText"/>
      </w:pPr>
      <w:r w:rsidRPr="00256021">
        <w:rPr>
          <w:rStyle w:val="FootnoteReference"/>
        </w:rPr>
        <w:footnoteRef/>
      </w:r>
      <w:r w:rsidRPr="00256021">
        <w:t xml:space="preserve"> </w:t>
      </w:r>
      <w:r>
        <w:t>Одитно доказателство № 22</w:t>
      </w:r>
    </w:p>
  </w:footnote>
  <w:footnote w:id="56">
    <w:p w14:paraId="5780B614" w14:textId="77777777" w:rsidR="00EF4C31" w:rsidRDefault="00EF4C31">
      <w:pPr>
        <w:pStyle w:val="FootnoteText"/>
      </w:pPr>
      <w:r>
        <w:rPr>
          <w:rStyle w:val="FootnoteReference"/>
        </w:rPr>
        <w:footnoteRef/>
      </w:r>
      <w:r>
        <w:t xml:space="preserve"> Одитно доказателство № 22</w:t>
      </w:r>
    </w:p>
  </w:footnote>
  <w:footnote w:id="57">
    <w:p w14:paraId="7FD5F6E0" w14:textId="77777777" w:rsidR="00EF4C31" w:rsidRPr="007C67CA" w:rsidRDefault="00EF4C31" w:rsidP="009661F1">
      <w:pPr>
        <w:pStyle w:val="FootnoteText"/>
      </w:pPr>
      <w:r w:rsidRPr="007C67CA">
        <w:rPr>
          <w:rStyle w:val="FootnoteReference"/>
        </w:rPr>
        <w:footnoteRef/>
      </w:r>
      <w:r w:rsidRPr="007C67CA">
        <w:t xml:space="preserve"> </w:t>
      </w:r>
      <w:r>
        <w:t>Одитно доказателство № 24</w:t>
      </w:r>
    </w:p>
  </w:footnote>
  <w:footnote w:id="58">
    <w:p w14:paraId="4E6CF8DE" w14:textId="77777777" w:rsidR="00EF4C31" w:rsidRPr="00E674FD" w:rsidRDefault="00EF4C31" w:rsidP="009661F1">
      <w:pPr>
        <w:pStyle w:val="FootnoteText"/>
      </w:pPr>
      <w:r w:rsidRPr="00E674FD">
        <w:rPr>
          <w:rStyle w:val="FootnoteReference"/>
        </w:rPr>
        <w:footnoteRef/>
      </w:r>
      <w:r w:rsidRPr="00E674FD">
        <w:t xml:space="preserve"> </w:t>
      </w:r>
      <w:r>
        <w:t>Одитно доказателство № 22</w:t>
      </w:r>
    </w:p>
  </w:footnote>
  <w:footnote w:id="59">
    <w:p w14:paraId="4594427A" w14:textId="77777777" w:rsidR="00EF4C31" w:rsidRPr="00ED593B" w:rsidRDefault="00EF4C31" w:rsidP="009661F1">
      <w:pPr>
        <w:pStyle w:val="FootnoteText"/>
      </w:pPr>
      <w:r w:rsidRPr="00ED593B">
        <w:rPr>
          <w:rStyle w:val="FootnoteReference"/>
        </w:rPr>
        <w:footnoteRef/>
      </w:r>
      <w:r w:rsidRPr="00ED593B">
        <w:t xml:space="preserve"> </w:t>
      </w:r>
      <w:r>
        <w:t>Одитно доказателство № 22</w:t>
      </w:r>
    </w:p>
  </w:footnote>
  <w:footnote w:id="60">
    <w:p w14:paraId="63C71663" w14:textId="022C1248" w:rsidR="00EF4C31" w:rsidRPr="004A16A1" w:rsidRDefault="00EF4C31" w:rsidP="0047761F">
      <w:pPr>
        <w:jc w:val="both"/>
        <w:textAlignment w:val="center"/>
      </w:pPr>
      <w:r w:rsidRPr="004A16A1">
        <w:rPr>
          <w:rStyle w:val="FootnoteReference"/>
          <w:sz w:val="20"/>
        </w:rPr>
        <w:footnoteRef/>
      </w:r>
      <w:r>
        <w:rPr>
          <w:color w:val="000000"/>
          <w:sz w:val="20"/>
        </w:rPr>
        <w:t xml:space="preserve"> </w:t>
      </w:r>
      <w:r w:rsidRPr="00307AFE">
        <w:rPr>
          <w:sz w:val="20"/>
          <w:szCs w:val="20"/>
        </w:rPr>
        <w:t>ч</w:t>
      </w:r>
      <w:r w:rsidRPr="004A16A1">
        <w:rPr>
          <w:color w:val="000000"/>
          <w:sz w:val="20"/>
        </w:rPr>
        <w:t>л. 86, ал. 2</w:t>
      </w:r>
      <w:r w:rsidRPr="000D0BE3">
        <w:rPr>
          <w:color w:val="000000"/>
          <w:sz w:val="20"/>
        </w:rPr>
        <w:t xml:space="preserve"> от ЗПФ „</w:t>
      </w:r>
      <w:r w:rsidRPr="004A16A1">
        <w:rPr>
          <w:color w:val="000000"/>
          <w:sz w:val="20"/>
        </w:rPr>
        <w:t>Държавният бюджет се приема със закон, който включва:</w:t>
      </w:r>
      <w:r>
        <w:rPr>
          <w:sz w:val="20"/>
        </w:rPr>
        <w:t xml:space="preserve"> …т. </w:t>
      </w:r>
      <w:r w:rsidRPr="004A16A1">
        <w:rPr>
          <w:color w:val="000000"/>
          <w:sz w:val="20"/>
        </w:rPr>
        <w:t>5. максималните размери на ангажименти за разходи, които могат да бъдат поети през годината от първостепенните разпоредители с бюджет по т. 2;</w:t>
      </w:r>
      <w:r>
        <w:rPr>
          <w:color w:val="000000"/>
          <w:sz w:val="20"/>
        </w:rPr>
        <w:t xml:space="preserve"> т. </w:t>
      </w:r>
      <w:r w:rsidRPr="004A16A1">
        <w:rPr>
          <w:color w:val="000000"/>
          <w:sz w:val="20"/>
        </w:rPr>
        <w:t>6. максималните размери на новите задължения за разходи, които могат да бъдат натрупани през годината от първостепенните разпоредители с бюджет по т. 2.</w:t>
      </w:r>
      <w:r>
        <w:rPr>
          <w:color w:val="000000"/>
          <w:sz w:val="20"/>
        </w:rPr>
        <w:t>“</w:t>
      </w:r>
    </w:p>
  </w:footnote>
  <w:footnote w:id="61">
    <w:p w14:paraId="67B2CC86" w14:textId="77777777" w:rsidR="00EF4C31" w:rsidRDefault="00EF4C31" w:rsidP="0047761F">
      <w:pPr>
        <w:pStyle w:val="FootnoteText"/>
      </w:pPr>
      <w:r>
        <w:rPr>
          <w:rStyle w:val="FootnoteReference"/>
        </w:rPr>
        <w:footnoteRef/>
      </w:r>
      <w:r>
        <w:t xml:space="preserve"> чл. 88 от ЗПФ</w:t>
      </w:r>
    </w:p>
  </w:footnote>
  <w:footnote w:id="62">
    <w:p w14:paraId="6A389847" w14:textId="3FC65BB1" w:rsidR="00EF4C31" w:rsidRDefault="00EF4C31">
      <w:pPr>
        <w:pStyle w:val="FootnoteText"/>
      </w:pPr>
      <w:r>
        <w:rPr>
          <w:rStyle w:val="FootnoteReference"/>
        </w:rPr>
        <w:footnoteRef/>
      </w:r>
      <w:r>
        <w:t xml:space="preserve"> Одитно доказателство № 11</w:t>
      </w:r>
    </w:p>
  </w:footnote>
  <w:footnote w:id="63">
    <w:p w14:paraId="515D147C" w14:textId="77777777" w:rsidR="00EF4C31" w:rsidRPr="00A2132A" w:rsidRDefault="00EF4C31" w:rsidP="00E57BA8">
      <w:pPr>
        <w:pStyle w:val="FootnoteText"/>
      </w:pPr>
      <w:r>
        <w:rPr>
          <w:rStyle w:val="FootnoteReference"/>
        </w:rPr>
        <w:footnoteRef/>
      </w:r>
      <w:r>
        <w:t xml:space="preserve"> Одитно доказателство № </w:t>
      </w:r>
      <w:r w:rsidRPr="00A2132A">
        <w:t>22</w:t>
      </w:r>
    </w:p>
  </w:footnote>
  <w:footnote w:id="64">
    <w:p w14:paraId="7AE7B0C9" w14:textId="77777777" w:rsidR="00EF4C31" w:rsidRDefault="00EF4C31" w:rsidP="00BB14C8">
      <w:pPr>
        <w:pStyle w:val="FootnoteText"/>
        <w:jc w:val="both"/>
      </w:pPr>
      <w:r>
        <w:rPr>
          <w:rStyle w:val="FootnoteReference"/>
        </w:rPr>
        <w:footnoteRef/>
      </w:r>
      <w:r>
        <w:t xml:space="preserve"> </w:t>
      </w:r>
      <w:r w:rsidRPr="00307AFE">
        <w:t>ч</w:t>
      </w:r>
      <w:r>
        <w:t xml:space="preserve">л. 3, ал. 4 от ЗДБРБ 2016 г. </w:t>
      </w:r>
      <w:r w:rsidRPr="00545845">
        <w:t>Утвърдените с ал. 3 максимални размери на ангажиментите за разходи и на новите задължения за разходи могат да се увеличават с до 20 на сто по решение на Народното събрание.</w:t>
      </w:r>
    </w:p>
  </w:footnote>
  <w:footnote w:id="65">
    <w:p w14:paraId="257603C3" w14:textId="3FB9A866" w:rsidR="00EF4C31" w:rsidRPr="004F1086" w:rsidRDefault="00EF4C31" w:rsidP="00BB14C8">
      <w:pPr>
        <w:jc w:val="both"/>
        <w:textAlignment w:val="center"/>
      </w:pPr>
      <w:r w:rsidRPr="004F1086">
        <w:rPr>
          <w:rStyle w:val="FootnoteReference"/>
          <w:sz w:val="20"/>
          <w:szCs w:val="20"/>
        </w:rPr>
        <w:footnoteRef/>
      </w:r>
      <w:r w:rsidRPr="004F1086">
        <w:rPr>
          <w:sz w:val="20"/>
          <w:szCs w:val="20"/>
        </w:rPr>
        <w:t xml:space="preserve"> </w:t>
      </w:r>
      <w:r w:rsidRPr="004F1086">
        <w:rPr>
          <w:color w:val="000000"/>
          <w:sz w:val="20"/>
          <w:szCs w:val="20"/>
        </w:rPr>
        <w:t xml:space="preserve">ПРБ по ДБ не могат да натрупват нови задължения за разходи, както и да поемат ангажименти за разходи над определените им по реда на чл. 86, ал. 2, т. 5 и </w:t>
      </w:r>
      <w:r>
        <w:rPr>
          <w:color w:val="000000"/>
          <w:sz w:val="20"/>
          <w:szCs w:val="20"/>
        </w:rPr>
        <w:t xml:space="preserve">т. </w:t>
      </w:r>
      <w:r w:rsidRPr="004F1086">
        <w:rPr>
          <w:color w:val="000000"/>
          <w:sz w:val="20"/>
          <w:szCs w:val="20"/>
        </w:rPr>
        <w:t xml:space="preserve">6 и ал. 3 </w:t>
      </w:r>
      <w:r>
        <w:rPr>
          <w:color w:val="000000"/>
          <w:sz w:val="20"/>
          <w:szCs w:val="20"/>
        </w:rPr>
        <w:t xml:space="preserve">от ЗПФ </w:t>
      </w:r>
      <w:r w:rsidRPr="004F1086">
        <w:rPr>
          <w:color w:val="000000"/>
          <w:sz w:val="20"/>
          <w:szCs w:val="20"/>
        </w:rPr>
        <w:t>лимити освен при извършени промени за тези показатели по реда на този закон или ако за това има решение на Народното събрание.</w:t>
      </w:r>
    </w:p>
  </w:footnote>
  <w:footnote w:id="66">
    <w:p w14:paraId="0A192F94" w14:textId="6A56A34D" w:rsidR="00EF4C31" w:rsidRDefault="00EF4C31">
      <w:pPr>
        <w:pStyle w:val="FootnoteText"/>
      </w:pPr>
      <w:r>
        <w:rPr>
          <w:rStyle w:val="FootnoteReference"/>
        </w:rPr>
        <w:footnoteRef/>
      </w:r>
      <w:r>
        <w:t xml:space="preserve"> Одитно доказателство № 11</w:t>
      </w:r>
    </w:p>
  </w:footnote>
  <w:footnote w:id="67">
    <w:p w14:paraId="3B7B0351" w14:textId="77777777" w:rsidR="00EF4C31" w:rsidRDefault="00EF4C31" w:rsidP="0047761F">
      <w:pPr>
        <w:pStyle w:val="FootnoteText"/>
      </w:pPr>
      <w:r>
        <w:rPr>
          <w:rStyle w:val="FootnoteReference"/>
        </w:rPr>
        <w:footnoteRef/>
      </w:r>
      <w:r>
        <w:t xml:space="preserve"> Одитно доказателство № </w:t>
      </w:r>
      <w:r w:rsidRPr="00A2132A">
        <w:t>22</w:t>
      </w:r>
    </w:p>
  </w:footnote>
  <w:footnote w:id="68">
    <w:p w14:paraId="6A9C6D2D" w14:textId="71D1D102" w:rsidR="00EF4C31" w:rsidRDefault="00EF4C31">
      <w:pPr>
        <w:pStyle w:val="FootnoteText"/>
      </w:pPr>
      <w:r>
        <w:rPr>
          <w:rStyle w:val="FootnoteReference"/>
        </w:rPr>
        <w:footnoteRef/>
      </w:r>
      <w:r>
        <w:t xml:space="preserve"> Вх. № на СП 03-01-002 от 29.09.2016 г. ОИДБРБ за 2015 г.</w:t>
      </w:r>
    </w:p>
  </w:footnote>
  <w:footnote w:id="69">
    <w:p w14:paraId="793B0C18" w14:textId="4CA8BFD5" w:rsidR="00EF4C31" w:rsidRDefault="00EF4C31" w:rsidP="00DC5BD7">
      <w:pPr>
        <w:pStyle w:val="FootnoteText"/>
      </w:pPr>
      <w:r>
        <w:rPr>
          <w:rStyle w:val="FootnoteReference"/>
        </w:rPr>
        <w:footnoteRef/>
      </w:r>
      <w:r>
        <w:t xml:space="preserve"> Одитно доказателство № 2</w:t>
      </w:r>
    </w:p>
  </w:footnote>
  <w:footnote w:id="70">
    <w:p w14:paraId="694BF478" w14:textId="77777777" w:rsidR="00EF4C31" w:rsidRDefault="00EF4C31" w:rsidP="00DC5BD7">
      <w:pPr>
        <w:pStyle w:val="FootnoteText"/>
      </w:pPr>
      <w:r>
        <w:rPr>
          <w:rStyle w:val="FootnoteReference"/>
        </w:rPr>
        <w:footnoteRef/>
      </w:r>
      <w:r>
        <w:t xml:space="preserve"> Закон за държавните такси</w:t>
      </w:r>
    </w:p>
  </w:footnote>
  <w:footnote w:id="71">
    <w:p w14:paraId="21EE9442" w14:textId="77777777" w:rsidR="00EF4C31" w:rsidRDefault="00EF4C31" w:rsidP="00DC5BD7">
      <w:pPr>
        <w:jc w:val="both"/>
      </w:pPr>
      <w:r>
        <w:rPr>
          <w:rStyle w:val="FootnoteReference"/>
          <w:sz w:val="20"/>
          <w:szCs w:val="20"/>
        </w:rPr>
        <w:footnoteRef/>
      </w:r>
      <w:r>
        <w:rPr>
          <w:sz w:val="20"/>
          <w:szCs w:val="20"/>
        </w:rPr>
        <w:t xml:space="preserve"> Този закон не засяга таксите, събирани от митниците, банките, пощите, телеграфите и телефоните и държавните предприятия, както и таксите, събирани по </w:t>
      </w:r>
      <w:r>
        <w:rPr>
          <w:rStyle w:val="newdocreference"/>
          <w:sz w:val="20"/>
          <w:szCs w:val="20"/>
        </w:rPr>
        <w:t>Закона за опазване на околната среда</w:t>
      </w:r>
      <w:r>
        <w:rPr>
          <w:sz w:val="20"/>
          <w:szCs w:val="20"/>
        </w:rPr>
        <w:t xml:space="preserve">, </w:t>
      </w:r>
      <w:r>
        <w:rPr>
          <w:rStyle w:val="newdocreference"/>
          <w:sz w:val="20"/>
          <w:szCs w:val="20"/>
        </w:rPr>
        <w:t>Закона за железопътния транспорт</w:t>
      </w:r>
      <w:r>
        <w:rPr>
          <w:sz w:val="20"/>
          <w:szCs w:val="20"/>
        </w:rPr>
        <w:t xml:space="preserve">, Закона за пътищата, </w:t>
      </w:r>
      <w:r>
        <w:rPr>
          <w:rStyle w:val="newdocreference"/>
          <w:sz w:val="20"/>
          <w:szCs w:val="20"/>
        </w:rPr>
        <w:t>Закона за безопасно използване на ядрената енергия</w:t>
      </w:r>
      <w:r>
        <w:rPr>
          <w:sz w:val="20"/>
          <w:szCs w:val="20"/>
        </w:rPr>
        <w:t xml:space="preserve">, </w:t>
      </w:r>
      <w:r>
        <w:rPr>
          <w:rStyle w:val="newdocreference"/>
          <w:sz w:val="20"/>
          <w:szCs w:val="20"/>
        </w:rPr>
        <w:t>Закона за управление на отпадъците</w:t>
      </w:r>
      <w:r>
        <w:rPr>
          <w:sz w:val="20"/>
          <w:szCs w:val="20"/>
        </w:rPr>
        <w:t xml:space="preserve">, </w:t>
      </w:r>
      <w:r>
        <w:rPr>
          <w:rStyle w:val="newdocreference"/>
          <w:sz w:val="20"/>
          <w:szCs w:val="20"/>
        </w:rPr>
        <w:t>Закона за морските пространства, вътрешните водни пътища и пристанищата на Република България</w:t>
      </w:r>
      <w:r>
        <w:rPr>
          <w:sz w:val="20"/>
          <w:szCs w:val="20"/>
        </w:rPr>
        <w:t xml:space="preserve"> и </w:t>
      </w:r>
      <w:r>
        <w:rPr>
          <w:rStyle w:val="newdocreference"/>
          <w:sz w:val="20"/>
          <w:szCs w:val="20"/>
        </w:rPr>
        <w:t>Закона за защитените територии</w:t>
      </w:r>
      <w:r>
        <w:rPr>
          <w:sz w:val="20"/>
          <w:szCs w:val="20"/>
        </w:rPr>
        <w:t>. Размерът на таксите, събирани от държавните предприятия, се определя по тарифи, утвърдени от Министерския съвет.</w:t>
      </w:r>
    </w:p>
  </w:footnote>
  <w:footnote w:id="72">
    <w:p w14:paraId="58BA7AB2" w14:textId="77777777" w:rsidR="00EF4C31" w:rsidRDefault="00EF4C31" w:rsidP="00DC5BD7">
      <w:pPr>
        <w:pStyle w:val="FootnoteText"/>
      </w:pPr>
      <w:r>
        <w:rPr>
          <w:rStyle w:val="FootnoteReference"/>
        </w:rPr>
        <w:footnoteRef/>
      </w:r>
      <w:r>
        <w:t xml:space="preserve"> Одитно доказателство № 11</w:t>
      </w:r>
    </w:p>
  </w:footnote>
  <w:footnote w:id="73">
    <w:p w14:paraId="0501ECE3" w14:textId="77777777" w:rsidR="00EF4C31" w:rsidRDefault="00EF4C31" w:rsidP="00DC5BD7">
      <w:pPr>
        <w:pStyle w:val="FootnoteText"/>
        <w:rPr>
          <w:rFonts w:ascii="Tahoma" w:hAnsi="Tahoma" w:cs="Tahoma"/>
        </w:rPr>
      </w:pPr>
      <w:r>
        <w:rPr>
          <w:rStyle w:val="FootnoteReference"/>
        </w:rPr>
        <w:footnoteRef/>
      </w:r>
      <w:r>
        <w:t xml:space="preserve"> ред 2.1. от отчета</w:t>
      </w:r>
    </w:p>
  </w:footnote>
  <w:footnote w:id="74">
    <w:p w14:paraId="35E97B5C" w14:textId="5141C161" w:rsidR="00EF4C31" w:rsidRDefault="00EF4C31" w:rsidP="00DC5BD7">
      <w:pPr>
        <w:pStyle w:val="FootnoteText"/>
      </w:pPr>
      <w:r>
        <w:rPr>
          <w:rStyle w:val="FootnoteReference"/>
        </w:rPr>
        <w:footnoteRef/>
      </w:r>
      <w:r>
        <w:t xml:space="preserve"> ред 2.1. от отчета за изпълнение на ДБ за 2016 г.</w:t>
      </w:r>
    </w:p>
  </w:footnote>
  <w:footnote w:id="75">
    <w:p w14:paraId="592E496B" w14:textId="77777777" w:rsidR="00EF4C31" w:rsidRDefault="00EF4C31" w:rsidP="00DC5BD7">
      <w:pPr>
        <w:pStyle w:val="FootnoteText"/>
      </w:pPr>
      <w:r>
        <w:rPr>
          <w:rStyle w:val="FootnoteReference"/>
        </w:rPr>
        <w:footnoteRef/>
      </w:r>
      <w:r>
        <w:t xml:space="preserve"> </w:t>
      </w:r>
      <w:r>
        <w:rPr>
          <w:lang w:val="en-US"/>
        </w:rPr>
        <w:t>I</w:t>
      </w:r>
      <w:r>
        <w:t>. От отчета за изпълнение на ДБ на РБ за 2016 г.</w:t>
      </w:r>
    </w:p>
  </w:footnote>
  <w:footnote w:id="76">
    <w:p w14:paraId="5FC37545" w14:textId="77777777" w:rsidR="00EF4C31" w:rsidRDefault="00EF4C31" w:rsidP="00DC5BD7">
      <w:pPr>
        <w:pStyle w:val="FootnoteText"/>
      </w:pPr>
      <w:r>
        <w:rPr>
          <w:rStyle w:val="FootnoteReference"/>
        </w:rPr>
        <w:footnoteRef/>
      </w:r>
      <w:r>
        <w:t xml:space="preserve"> ред 2.</w:t>
      </w:r>
      <w:proofErr w:type="spellStart"/>
      <w:r>
        <w:t>2</w:t>
      </w:r>
      <w:proofErr w:type="spellEnd"/>
      <w:r>
        <w:t>. от отчета</w:t>
      </w:r>
    </w:p>
  </w:footnote>
  <w:footnote w:id="77">
    <w:p w14:paraId="6876CB61" w14:textId="77777777" w:rsidR="00EF4C31" w:rsidRDefault="00EF4C31" w:rsidP="00DC5BD7">
      <w:pPr>
        <w:pStyle w:val="FootnoteText"/>
      </w:pPr>
      <w:r>
        <w:rPr>
          <w:rStyle w:val="FootnoteReference"/>
        </w:rPr>
        <w:footnoteRef/>
      </w:r>
      <w:r>
        <w:t xml:space="preserve"> </w:t>
      </w:r>
      <w:r>
        <w:rPr>
          <w:lang w:val="en-US"/>
        </w:rPr>
        <w:t>II</w:t>
      </w:r>
      <w:r>
        <w:t>. Разходи и вноска за бюджета на ЕС</w:t>
      </w:r>
    </w:p>
  </w:footnote>
  <w:footnote w:id="78">
    <w:p w14:paraId="306536FC" w14:textId="77777777" w:rsidR="00EF4C31" w:rsidRPr="0079350A" w:rsidRDefault="00EF4C31" w:rsidP="009F23F9">
      <w:pPr>
        <w:pStyle w:val="FootnoteText"/>
      </w:pPr>
      <w:r w:rsidRPr="00B03CF7">
        <w:rPr>
          <w:rStyle w:val="FootnoteReference"/>
        </w:rPr>
        <w:footnoteRef/>
      </w:r>
      <w:r w:rsidRPr="00B03CF7">
        <w:t xml:space="preserve"> </w:t>
      </w:r>
      <w:r w:rsidRPr="00307AFE">
        <w:t>ч</w:t>
      </w:r>
      <w:r w:rsidRPr="0079350A">
        <w:t>л.16, ал. 4 от ЗПФ</w:t>
      </w:r>
    </w:p>
  </w:footnote>
  <w:footnote w:id="79">
    <w:p w14:paraId="35FB26DB" w14:textId="68BBCC95" w:rsidR="00EF4C31" w:rsidRPr="00A2132A" w:rsidRDefault="00EF4C31" w:rsidP="009F23F9">
      <w:pPr>
        <w:pStyle w:val="ListParagraph"/>
        <w:tabs>
          <w:tab w:val="left" w:pos="0"/>
          <w:tab w:val="left" w:pos="993"/>
          <w:tab w:val="left" w:pos="1134"/>
        </w:tabs>
        <w:ind w:left="0"/>
        <w:jc w:val="both"/>
        <w:rPr>
          <w:rFonts w:ascii="Times New Roman" w:hAnsi="Times New Roman" w:cs="Times New Roman"/>
          <w:sz w:val="20"/>
          <w:szCs w:val="20"/>
          <w:u w:val="single"/>
          <w:lang w:val="bg-BG"/>
        </w:rPr>
      </w:pPr>
      <w:r w:rsidRPr="0079350A">
        <w:rPr>
          <w:rStyle w:val="FootnoteReference"/>
          <w:rFonts w:ascii="Times New Roman" w:hAnsi="Times New Roman" w:cs="Times New Roman"/>
          <w:sz w:val="20"/>
          <w:szCs w:val="20"/>
          <w:u w:val="single"/>
        </w:rPr>
        <w:footnoteRef/>
      </w:r>
      <w:r w:rsidRPr="00A2132A">
        <w:rPr>
          <w:rFonts w:ascii="Times New Roman" w:hAnsi="Times New Roman" w:cs="Times New Roman"/>
          <w:sz w:val="20"/>
          <w:szCs w:val="20"/>
          <w:u w:val="single"/>
          <w:lang w:val="bg-BG"/>
        </w:rPr>
        <w:t xml:space="preserve"> </w:t>
      </w:r>
      <w:hyperlink r:id="rId3" w:history="1">
        <w:r w:rsidRPr="003423D9">
          <w:rPr>
            <w:rStyle w:val="Hyperlink"/>
            <w:rFonts w:ascii="Times New Roman" w:hAnsi="Times New Roman" w:cs="Times New Roman"/>
            <w:sz w:val="20"/>
            <w:szCs w:val="20"/>
            <w:lang w:val="bg-BG"/>
          </w:rPr>
          <w:t>http://www.minfin.bg/bg</w:t>
        </w:r>
        <w:r w:rsidRPr="00FE4168">
          <w:rPr>
            <w:rStyle w:val="Hyperlink"/>
            <w:rFonts w:ascii="Times New Roman" w:hAnsi="Times New Roman" w:cs="Times New Roman"/>
            <w:sz w:val="20"/>
            <w:szCs w:val="20"/>
            <w:lang w:val="bg-BG"/>
          </w:rPr>
          <w:t>/</w:t>
        </w:r>
        <w:r w:rsidRPr="00FE4168">
          <w:rPr>
            <w:rStyle w:val="Hyperlink"/>
            <w:rFonts w:ascii="Times New Roman" w:hAnsi="Times New Roman" w:cs="Times New Roman"/>
            <w:sz w:val="20"/>
            <w:szCs w:val="20"/>
          </w:rPr>
          <w:t>page</w:t>
        </w:r>
        <w:r w:rsidRPr="00FE4168">
          <w:rPr>
            <w:rStyle w:val="Hyperlink"/>
            <w:rFonts w:ascii="Times New Roman" w:hAnsi="Times New Roman" w:cs="Times New Roman"/>
            <w:sz w:val="20"/>
            <w:szCs w:val="20"/>
            <w:lang w:val="bg-BG"/>
          </w:rPr>
          <w:t>/1144</w:t>
        </w:r>
      </w:hyperlink>
    </w:p>
  </w:footnote>
  <w:footnote w:id="80">
    <w:p w14:paraId="7F0E7A12" w14:textId="77777777" w:rsidR="00EF4C31" w:rsidRPr="0024220E" w:rsidRDefault="00EF4C31" w:rsidP="00491148">
      <w:pPr>
        <w:pStyle w:val="FootnoteText"/>
      </w:pPr>
      <w:r>
        <w:rPr>
          <w:rStyle w:val="FootnoteReference"/>
        </w:rPr>
        <w:footnoteRef/>
      </w:r>
      <w:r>
        <w:t xml:space="preserve"> Заповед № ЗМФ-980 от 15.06.2016 г. на министъра на финансите, издадена във връзка с дадена препоръка от Сметната палата при предходен одит.</w:t>
      </w:r>
    </w:p>
  </w:footnote>
  <w:footnote w:id="81">
    <w:p w14:paraId="696DEE8F" w14:textId="77777777" w:rsidR="00EF4C31" w:rsidRPr="00124F4C" w:rsidRDefault="00EF4C31" w:rsidP="009F23F9">
      <w:pPr>
        <w:pStyle w:val="FootnoteText"/>
      </w:pPr>
      <w:r w:rsidRPr="00124F4C">
        <w:rPr>
          <w:rStyle w:val="FootnoteReference"/>
        </w:rPr>
        <w:footnoteRef/>
      </w:r>
      <w:r w:rsidRPr="00124F4C">
        <w:t xml:space="preserve"> </w:t>
      </w:r>
      <w:r w:rsidRPr="00307AFE">
        <w:t>ч</w:t>
      </w:r>
      <w:r w:rsidRPr="00124F4C">
        <w:t xml:space="preserve">л.18, ал. </w:t>
      </w:r>
      <w:r>
        <w:t>3 от ЗПФ</w:t>
      </w:r>
    </w:p>
  </w:footnote>
  <w:footnote w:id="82">
    <w:p w14:paraId="11E0E79E" w14:textId="556B9944" w:rsidR="00EF4C31" w:rsidRDefault="00EF4C31">
      <w:pPr>
        <w:pStyle w:val="FootnoteText"/>
      </w:pPr>
      <w:r>
        <w:rPr>
          <w:rStyle w:val="FootnoteReference"/>
        </w:rPr>
        <w:footnoteRef/>
      </w:r>
      <w:r>
        <w:t xml:space="preserve"> </w:t>
      </w:r>
      <w:proofErr w:type="spellStart"/>
      <w:r>
        <w:t>Конвергентна</w:t>
      </w:r>
      <w:proofErr w:type="spellEnd"/>
      <w:r>
        <w:t xml:space="preserve"> програма 2017-2020 г. т. 3.5., стр. 40</w:t>
      </w:r>
    </w:p>
  </w:footnote>
  <w:footnote w:id="83">
    <w:p w14:paraId="1510FC4A" w14:textId="77777777" w:rsidR="00EF4C31" w:rsidRDefault="00EF4C31">
      <w:pPr>
        <w:pStyle w:val="FootnoteText"/>
      </w:pPr>
      <w:r>
        <w:rPr>
          <w:rStyle w:val="FootnoteReference"/>
        </w:rPr>
        <w:footnoteRef/>
      </w:r>
      <w:r>
        <w:t xml:space="preserve"> Одитно доказателство № 7</w:t>
      </w:r>
    </w:p>
  </w:footnote>
  <w:footnote w:id="84">
    <w:p w14:paraId="0B395BF8" w14:textId="60CCB515" w:rsidR="00EF4C31" w:rsidRDefault="00EF4C31" w:rsidP="00B119A5">
      <w:pPr>
        <w:pStyle w:val="FootnoteText"/>
        <w:jc w:val="both"/>
      </w:pPr>
      <w:r>
        <w:rPr>
          <w:rStyle w:val="FootnoteReference"/>
        </w:rPr>
        <w:footnoteRef/>
      </w:r>
      <w:r>
        <w:t xml:space="preserve"> Към момента на изготвяне на одитния доклад окончателните годишни данни за 2016 г. не са публикувани</w:t>
      </w:r>
    </w:p>
  </w:footnote>
  <w:footnote w:id="85">
    <w:p w14:paraId="3289F3FD" w14:textId="77777777" w:rsidR="00EF4C31" w:rsidRDefault="00EF4C31">
      <w:pPr>
        <w:pStyle w:val="FootnoteText"/>
      </w:pPr>
      <w:r>
        <w:rPr>
          <w:rStyle w:val="FootnoteReference"/>
        </w:rPr>
        <w:footnoteRef/>
      </w:r>
      <w:r>
        <w:t xml:space="preserve"> Одитно доказателство № 7</w:t>
      </w:r>
    </w:p>
  </w:footnote>
  <w:footnote w:id="86">
    <w:p w14:paraId="716201E8" w14:textId="77777777" w:rsidR="00EF4C31" w:rsidRDefault="00EF4C31" w:rsidP="0032432A">
      <w:pPr>
        <w:pStyle w:val="FootnoteText"/>
        <w:jc w:val="both"/>
      </w:pPr>
      <w:r>
        <w:rPr>
          <w:rStyle w:val="FootnoteReference"/>
        </w:rPr>
        <w:footnoteRef/>
      </w:r>
      <w:r>
        <w:t xml:space="preserve"> </w:t>
      </w:r>
      <w:r w:rsidRPr="00307AFE">
        <w:t>ч</w:t>
      </w:r>
      <w:r>
        <w:t>л. 25, ал. 1 и ал. 2 от ЗПФ</w:t>
      </w:r>
    </w:p>
  </w:footnote>
  <w:footnote w:id="87">
    <w:p w14:paraId="57F008AE" w14:textId="77777777" w:rsidR="00EF4C31" w:rsidRDefault="00EF4C31" w:rsidP="0032432A">
      <w:pPr>
        <w:pStyle w:val="FootnoteText"/>
        <w:jc w:val="both"/>
      </w:pPr>
      <w:r w:rsidRPr="00F37370">
        <w:rPr>
          <w:rStyle w:val="FootnoteReference"/>
        </w:rPr>
        <w:footnoteRef/>
      </w:r>
      <w:r w:rsidRPr="00F37370">
        <w:t xml:space="preserve"> </w:t>
      </w:r>
      <w:r>
        <w:t xml:space="preserve">Одитно доказателство № 18 </w:t>
      </w:r>
    </w:p>
  </w:footnote>
  <w:footnote w:id="88">
    <w:p w14:paraId="2E89EE87" w14:textId="77777777" w:rsidR="00EF4C31" w:rsidRPr="00A2132A" w:rsidRDefault="00EF4C31" w:rsidP="0032432A">
      <w:pPr>
        <w:pStyle w:val="FootnoteText"/>
        <w:jc w:val="both"/>
      </w:pPr>
      <w:r>
        <w:rPr>
          <w:rStyle w:val="FootnoteReference"/>
        </w:rPr>
        <w:footnoteRef/>
      </w:r>
      <w:r>
        <w:t xml:space="preserve"> </w:t>
      </w:r>
      <w:hyperlink r:id="rId4" w:history="1">
        <w:r w:rsidRPr="00324C24">
          <w:rPr>
            <w:rStyle w:val="Hyperlink"/>
          </w:rPr>
          <w:t>http://www.nsi.bg/sites/default/files/files/pressreleases/GFS2016p_B4PZ7TU.pdf</w:t>
        </w:r>
      </w:hyperlink>
    </w:p>
  </w:footnote>
  <w:footnote w:id="89">
    <w:p w14:paraId="7C90796C" w14:textId="77777777" w:rsidR="00EF4C31" w:rsidRPr="004C1C41" w:rsidRDefault="00EF4C31" w:rsidP="0032432A">
      <w:pPr>
        <w:pStyle w:val="FootnoteText"/>
        <w:jc w:val="both"/>
      </w:pPr>
      <w:r w:rsidRPr="004C1C41">
        <w:rPr>
          <w:rStyle w:val="FootnoteReference"/>
        </w:rPr>
        <w:footnoteRef/>
      </w:r>
      <w:r w:rsidRPr="004C1C41">
        <w:t xml:space="preserve"> </w:t>
      </w:r>
      <w:r w:rsidRPr="00307AFE">
        <w:t>ч</w:t>
      </w:r>
      <w:r>
        <w:t xml:space="preserve">л. 25, ал. 3 </w:t>
      </w:r>
      <w:r w:rsidRPr="004C1C41">
        <w:t>от ЗПФ</w:t>
      </w:r>
    </w:p>
  </w:footnote>
  <w:footnote w:id="90">
    <w:p w14:paraId="4D8F0FE8" w14:textId="77777777" w:rsidR="00EF4C31" w:rsidRPr="008D14F4" w:rsidRDefault="00EF4C31" w:rsidP="0032432A">
      <w:pPr>
        <w:pStyle w:val="FootnoteText"/>
        <w:jc w:val="both"/>
      </w:pPr>
      <w:r w:rsidRPr="008D14F4">
        <w:rPr>
          <w:rStyle w:val="FootnoteReference"/>
        </w:rPr>
        <w:footnoteRef/>
      </w:r>
      <w:r w:rsidRPr="008D14F4">
        <w:t xml:space="preserve"> </w:t>
      </w:r>
      <w:r w:rsidRPr="00307AFE">
        <w:t>ч</w:t>
      </w:r>
      <w:r w:rsidRPr="008D14F4">
        <w:t>л. 27</w:t>
      </w:r>
      <w:r>
        <w:t>, ал. 1 и ал. 2</w:t>
      </w:r>
      <w:r w:rsidRPr="008D14F4">
        <w:t xml:space="preserve"> от ЗПФ</w:t>
      </w:r>
    </w:p>
  </w:footnote>
  <w:footnote w:id="91">
    <w:p w14:paraId="046211E0" w14:textId="77777777" w:rsidR="00EF4C31" w:rsidRDefault="00EF4C31" w:rsidP="0032432A">
      <w:pPr>
        <w:pStyle w:val="FootnoteText"/>
        <w:jc w:val="both"/>
      </w:pPr>
      <w:r>
        <w:rPr>
          <w:rStyle w:val="FootnoteReference"/>
        </w:rPr>
        <w:footnoteRef/>
      </w:r>
      <w:r>
        <w:t xml:space="preserve"> </w:t>
      </w:r>
      <w:r w:rsidRPr="00307AFE">
        <w:t>ч</w:t>
      </w:r>
      <w:r>
        <w:t>л. 29 от ЗПФ</w:t>
      </w:r>
    </w:p>
  </w:footnote>
  <w:footnote w:id="92">
    <w:p w14:paraId="415462A4" w14:textId="77777777" w:rsidR="00EF4C31" w:rsidRPr="00A62D8C" w:rsidRDefault="00EF4C31" w:rsidP="0032432A">
      <w:pPr>
        <w:pStyle w:val="FootnoteText"/>
      </w:pPr>
      <w:r w:rsidRPr="009A3FE9">
        <w:rPr>
          <w:rStyle w:val="FootnoteReference"/>
        </w:rPr>
        <w:footnoteRef/>
      </w:r>
      <w:r w:rsidRPr="009A3FE9">
        <w:t xml:space="preserve"> </w:t>
      </w:r>
      <w:hyperlink r:id="rId5" w:history="1">
        <w:r w:rsidRPr="00672D58">
          <w:rPr>
            <w:rStyle w:val="Hyperlink"/>
          </w:rPr>
          <w:t>http://www.nsi.bg/bg/content/2206/%D0%B1%D0%B2%D0%BF-%D0%BF%D1%80%D0%BE%D0%B8%D0%B7%D0%B2%D0%BE%D0%B4%D1%81%D1%82%D0%B2%D0%B5%D0%BD-%D0%BC%D0%B5%D1%82%D0%BE%D0%B4-%D0%BD%D0%B0%D1%86%D0%B8%D0%BE%D0%BD%D0%B0%D0%BB%D0%BD%D0%BE-%D0%BD%D0%B8%D0%B2%D0%BE</w:t>
        </w:r>
      </w:hyperlink>
      <w:r>
        <w:t xml:space="preserve"> </w:t>
      </w:r>
    </w:p>
  </w:footnote>
  <w:footnote w:id="93">
    <w:p w14:paraId="5D59041E" w14:textId="77777777" w:rsidR="00EF4C31" w:rsidRPr="00F06948" w:rsidRDefault="00EF4C31" w:rsidP="0032432A">
      <w:pPr>
        <w:pStyle w:val="FootnoteText"/>
        <w:jc w:val="both"/>
      </w:pPr>
      <w:r w:rsidRPr="00F06948">
        <w:rPr>
          <w:rStyle w:val="FootnoteReference"/>
        </w:rPr>
        <w:footnoteRef/>
      </w:r>
      <w:r w:rsidRPr="00F06948">
        <w:t xml:space="preserve"> Одитно доказателство № </w:t>
      </w:r>
      <w:r>
        <w:t>7</w:t>
      </w:r>
    </w:p>
  </w:footnote>
  <w:footnote w:id="94">
    <w:p w14:paraId="06F02BB3" w14:textId="77777777" w:rsidR="00EF4C31" w:rsidRDefault="00EF4C31">
      <w:pPr>
        <w:pStyle w:val="FootnoteText"/>
      </w:pPr>
      <w:r>
        <w:rPr>
          <w:rStyle w:val="FootnoteReference"/>
        </w:rPr>
        <w:footnoteRef/>
      </w:r>
      <w:r>
        <w:t xml:space="preserve"> </w:t>
      </w:r>
      <w:hyperlink r:id="rId6" w:history="1">
        <w:r w:rsidRPr="005E7C7B">
          <w:rPr>
            <w:rStyle w:val="Hyperlink"/>
          </w:rPr>
          <w:t>http://www.minfin.bg/bg/page/860</w:t>
        </w:r>
      </w:hyperlink>
      <w:r>
        <w:t xml:space="preserve"> </w:t>
      </w:r>
    </w:p>
  </w:footnote>
  <w:footnote w:id="95">
    <w:p w14:paraId="46C92FC5" w14:textId="77777777" w:rsidR="00EF4C31" w:rsidRDefault="00EF4C31">
      <w:pPr>
        <w:pStyle w:val="FootnoteText"/>
      </w:pPr>
      <w:r>
        <w:rPr>
          <w:rStyle w:val="FootnoteReference"/>
        </w:rPr>
        <w:footnoteRef/>
      </w:r>
      <w:r>
        <w:t xml:space="preserve"> </w:t>
      </w:r>
      <w:r w:rsidRPr="00CA7118">
        <w:t>http://www.minfin.bg/bg/page/926</w:t>
      </w:r>
    </w:p>
  </w:footnote>
  <w:footnote w:id="96">
    <w:p w14:paraId="2F3A65D2" w14:textId="77777777" w:rsidR="00EF4C31" w:rsidRPr="001859B1" w:rsidRDefault="00EF4C31" w:rsidP="00190846">
      <w:pPr>
        <w:jc w:val="both"/>
        <w:rPr>
          <w:sz w:val="20"/>
          <w:szCs w:val="20"/>
        </w:rPr>
      </w:pPr>
      <w:r w:rsidRPr="001859B1">
        <w:rPr>
          <w:rStyle w:val="FootnoteReference"/>
          <w:sz w:val="20"/>
          <w:szCs w:val="20"/>
        </w:rPr>
        <w:footnoteRef/>
      </w:r>
      <w:r w:rsidRPr="001859B1">
        <w:rPr>
          <w:sz w:val="20"/>
          <w:szCs w:val="20"/>
        </w:rPr>
        <w:t xml:space="preserve"> </w:t>
      </w:r>
      <w:hyperlink r:id="rId7" w:history="1">
        <w:r w:rsidRPr="001859B1">
          <w:rPr>
            <w:bCs/>
            <w:color w:val="0000FF" w:themeColor="hyperlink"/>
            <w:sz w:val="20"/>
            <w:szCs w:val="20"/>
            <w:u w:val="single"/>
          </w:rPr>
          <w:t>http://www.minfin.bg/bg/statistics/20</w:t>
        </w:r>
      </w:hyperlink>
    </w:p>
  </w:footnote>
  <w:footnote w:id="97">
    <w:p w14:paraId="72CC18D2" w14:textId="69A3E720" w:rsidR="00EF4C31" w:rsidRDefault="00EF4C31">
      <w:pPr>
        <w:pStyle w:val="FootnoteText"/>
      </w:pPr>
      <w:r>
        <w:rPr>
          <w:rStyle w:val="FootnoteReference"/>
        </w:rPr>
        <w:footnoteRef/>
      </w:r>
      <w:r>
        <w:t xml:space="preserve"> §1, т. 18 от ПЗР от ЗПФ</w:t>
      </w:r>
    </w:p>
  </w:footnote>
  <w:footnote w:id="98">
    <w:p w14:paraId="6E60E72D" w14:textId="66561248" w:rsidR="00EF4C31" w:rsidRDefault="00EF4C31" w:rsidP="001859B1">
      <w:pPr>
        <w:pStyle w:val="FootnoteText"/>
        <w:jc w:val="both"/>
      </w:pPr>
      <w:r w:rsidRPr="001859B1">
        <w:rPr>
          <w:rStyle w:val="FootnoteReference"/>
        </w:rPr>
        <w:footnoteRef/>
      </w:r>
      <w:r>
        <w:t xml:space="preserve"> Основен източник на информация </w:t>
      </w:r>
      <w:r w:rsidRPr="00F73397">
        <w:t>е официалния регистър на държавния и държавногарантиран дълг, поддържан в Министерство на финансите</w:t>
      </w:r>
      <w:r w:rsidRPr="00F73397">
        <w:rPr>
          <w:szCs w:val="24"/>
        </w:rPr>
        <w:t xml:space="preserve"> съгласно изискванията на чл. 38, ал. 1 от Закона за държавния дълг и централния регистър на общинския дълг, воден на основание на чл.1, ал. 2 от Закона за общинския дълг.</w:t>
      </w:r>
    </w:p>
  </w:footnote>
  <w:footnote w:id="99">
    <w:p w14:paraId="1691AAE7" w14:textId="77777777" w:rsidR="00EF4C31" w:rsidRPr="00E644E2" w:rsidRDefault="00EF4C31" w:rsidP="00BD4E7C">
      <w:pPr>
        <w:pStyle w:val="FootnoteText"/>
      </w:pPr>
      <w:r>
        <w:rPr>
          <w:rStyle w:val="FootnoteReference"/>
        </w:rPr>
        <w:footnoteRef/>
      </w:r>
      <w:r>
        <w:t xml:space="preserve"> </w:t>
      </w:r>
      <w:r w:rsidRPr="00E644E2">
        <w:rPr>
          <w:bCs/>
        </w:rPr>
        <w:t>чл. 37, ал. 1, т. 1, буква „а“</w:t>
      </w:r>
      <w:r>
        <w:rPr>
          <w:bCs/>
        </w:rPr>
        <w:t xml:space="preserve"> от ЗПФ</w:t>
      </w:r>
    </w:p>
  </w:footnote>
  <w:footnote w:id="100">
    <w:p w14:paraId="6D5615A4" w14:textId="77777777" w:rsidR="00EF4C31" w:rsidRDefault="00EF4C31" w:rsidP="00882778">
      <w:pPr>
        <w:pStyle w:val="FootnoteText"/>
      </w:pPr>
      <w:r>
        <w:rPr>
          <w:rStyle w:val="FootnoteReference"/>
        </w:rPr>
        <w:footnoteRef/>
      </w:r>
      <w:r>
        <w:t xml:space="preserve"> </w:t>
      </w:r>
      <w:r w:rsidRPr="00E644E2">
        <w:rPr>
          <w:bCs/>
        </w:rPr>
        <w:t>чл. 37, ал. 1, т. 1, буква „</w:t>
      </w:r>
      <w:r>
        <w:rPr>
          <w:bCs/>
        </w:rPr>
        <w:t>б</w:t>
      </w:r>
      <w:r w:rsidRPr="00E644E2">
        <w:rPr>
          <w:bCs/>
        </w:rPr>
        <w:t>“</w:t>
      </w:r>
      <w:r>
        <w:rPr>
          <w:bCs/>
        </w:rPr>
        <w:t xml:space="preserve"> от ЗПФ</w:t>
      </w:r>
    </w:p>
  </w:footnote>
  <w:footnote w:id="101">
    <w:p w14:paraId="1A89177C" w14:textId="77777777" w:rsidR="00EF4C31" w:rsidRDefault="00EF4C31" w:rsidP="00BD4E7C">
      <w:pPr>
        <w:pStyle w:val="FootnoteText"/>
      </w:pPr>
      <w:r>
        <w:rPr>
          <w:rStyle w:val="FootnoteReference"/>
        </w:rPr>
        <w:footnoteRef/>
      </w:r>
      <w:r>
        <w:t xml:space="preserve"> </w:t>
      </w:r>
      <w:r w:rsidRPr="00E644E2">
        <w:rPr>
          <w:bCs/>
        </w:rPr>
        <w:t>чл. 37, ал. 1, т. </w:t>
      </w:r>
      <w:r>
        <w:rPr>
          <w:bCs/>
        </w:rPr>
        <w:t>2 от ЗПФ</w:t>
      </w:r>
    </w:p>
  </w:footnote>
  <w:footnote w:id="102">
    <w:p w14:paraId="1856C0E6" w14:textId="77777777" w:rsidR="00EF4C31" w:rsidRDefault="00EF4C31" w:rsidP="009B37F0">
      <w:pPr>
        <w:pStyle w:val="FootnoteText"/>
      </w:pPr>
      <w:r>
        <w:rPr>
          <w:rStyle w:val="FootnoteReference"/>
        </w:rPr>
        <w:footnoteRef/>
      </w:r>
      <w:r>
        <w:t xml:space="preserve"> </w:t>
      </w:r>
      <w:r w:rsidRPr="00E644E2">
        <w:rPr>
          <w:bCs/>
        </w:rPr>
        <w:t>чл. 37, ал. 1, т. </w:t>
      </w:r>
      <w:r>
        <w:rPr>
          <w:bCs/>
        </w:rPr>
        <w:t>3 от ЗПФ</w:t>
      </w:r>
    </w:p>
  </w:footnote>
  <w:footnote w:id="103">
    <w:p w14:paraId="5332EAA8" w14:textId="77777777" w:rsidR="00EF4C31" w:rsidRDefault="00EF4C31">
      <w:pPr>
        <w:pStyle w:val="FootnoteText"/>
      </w:pPr>
      <w:r>
        <w:rPr>
          <w:rStyle w:val="FootnoteReference"/>
        </w:rPr>
        <w:footnoteRef/>
      </w:r>
      <w:r>
        <w:t xml:space="preserve"> чл. 37, ал. 2 от ЗПФ</w:t>
      </w:r>
    </w:p>
  </w:footnote>
  <w:footnote w:id="104">
    <w:p w14:paraId="63610439" w14:textId="77777777" w:rsidR="00EF4C31" w:rsidRPr="00AE1183" w:rsidRDefault="00EF4C31" w:rsidP="00B56699">
      <w:pPr>
        <w:pStyle w:val="FootnoteText"/>
      </w:pPr>
      <w:r>
        <w:rPr>
          <w:rStyle w:val="FootnoteReference"/>
          <w:rFonts w:eastAsia="Calibri"/>
        </w:rPr>
        <w:footnoteRef/>
      </w:r>
      <w:r>
        <w:t xml:space="preserve"> </w:t>
      </w:r>
      <w:r w:rsidRPr="00307AFE">
        <w:t>ч</w:t>
      </w:r>
      <w:r w:rsidRPr="00AE1183">
        <w:t>л. 41 от ЗПФ</w:t>
      </w:r>
    </w:p>
  </w:footnote>
  <w:footnote w:id="105">
    <w:p w14:paraId="1BEBECB4" w14:textId="77777777" w:rsidR="00EF4C31" w:rsidRPr="00A94DA7" w:rsidRDefault="00EF4C31">
      <w:pPr>
        <w:pStyle w:val="FootnoteText"/>
      </w:pPr>
      <w:r>
        <w:rPr>
          <w:rStyle w:val="FootnoteReference"/>
        </w:rPr>
        <w:footnoteRef/>
      </w:r>
      <w:r>
        <w:t xml:space="preserve"> </w:t>
      </w:r>
      <w:hyperlink r:id="rId8" w:anchor="2016" w:history="1">
        <w:r w:rsidRPr="00D32EAF">
          <w:rPr>
            <w:rStyle w:val="Hyperlink"/>
          </w:rPr>
          <w:t>https://www.minfin.bg/bg/statistics/4#2016</w:t>
        </w:r>
      </w:hyperlink>
      <w:r>
        <w:t xml:space="preserve"> </w:t>
      </w:r>
      <w:hyperlink r:id="rId9" w:history="1">
        <w:r w:rsidRPr="00A94DA7">
          <w:t>Фискален резерв към 31.12.2016 г. – състояние и доходност</w:t>
        </w:r>
      </w:hyperlink>
    </w:p>
  </w:footnote>
  <w:footnote w:id="106">
    <w:p w14:paraId="44E481BE" w14:textId="77777777" w:rsidR="00EF4C31" w:rsidRPr="00674445" w:rsidRDefault="00EF4C31" w:rsidP="009F23F9">
      <w:pPr>
        <w:pStyle w:val="FootnoteText"/>
        <w:jc w:val="both"/>
      </w:pPr>
      <w:r w:rsidRPr="00674445">
        <w:rPr>
          <w:rStyle w:val="FootnoteReference"/>
        </w:rPr>
        <w:footnoteRef/>
      </w:r>
      <w:r w:rsidRPr="00674445">
        <w:t xml:space="preserve"> </w:t>
      </w:r>
      <w:r w:rsidRPr="00307AFE">
        <w:t>ч</w:t>
      </w:r>
      <w:r w:rsidRPr="00674445">
        <w:t>л. 43, ал.3 от ЗПФ</w:t>
      </w:r>
    </w:p>
  </w:footnote>
  <w:footnote w:id="107">
    <w:p w14:paraId="0D523363" w14:textId="77777777" w:rsidR="00EF4C31" w:rsidRDefault="00EF4C31" w:rsidP="00DA4C78">
      <w:pPr>
        <w:pStyle w:val="FootnoteText"/>
      </w:pPr>
      <w:r>
        <w:rPr>
          <w:rStyle w:val="FootnoteReference"/>
        </w:rPr>
        <w:footnoteRef/>
      </w:r>
      <w:r>
        <w:t xml:space="preserve"> Одитно доказателство № 27</w:t>
      </w:r>
    </w:p>
  </w:footnote>
  <w:footnote w:id="108">
    <w:p w14:paraId="258A1CE1" w14:textId="77777777" w:rsidR="00EF4C31" w:rsidRDefault="00EF4C31" w:rsidP="00CB6B7E">
      <w:pPr>
        <w:pStyle w:val="FootnoteText"/>
      </w:pPr>
      <w:r>
        <w:rPr>
          <w:rStyle w:val="FootnoteReference"/>
        </w:rPr>
        <w:footnoteRef/>
      </w:r>
      <w:r>
        <w:t xml:space="preserve"> </w:t>
      </w:r>
      <w:r w:rsidRPr="00307AFE">
        <w:t>ч</w:t>
      </w:r>
      <w:r>
        <w:t>л. 48 от ЗПФ</w:t>
      </w:r>
    </w:p>
  </w:footnote>
  <w:footnote w:id="109">
    <w:p w14:paraId="3E82BB41" w14:textId="77777777" w:rsidR="00EF4C31" w:rsidRDefault="00EF4C31" w:rsidP="00026D20">
      <w:pPr>
        <w:pStyle w:val="FootnoteText"/>
      </w:pPr>
      <w:r>
        <w:rPr>
          <w:rStyle w:val="FootnoteReference"/>
        </w:rPr>
        <w:footnoteRef/>
      </w:r>
      <w:r>
        <w:t xml:space="preserve"> Одитно доказателство № 22</w:t>
      </w:r>
    </w:p>
  </w:footnote>
  <w:footnote w:id="110">
    <w:p w14:paraId="38568C73" w14:textId="77777777" w:rsidR="00EF4C31" w:rsidRDefault="00EF4C31">
      <w:pPr>
        <w:pStyle w:val="FootnoteText"/>
      </w:pPr>
      <w:r>
        <w:rPr>
          <w:rStyle w:val="FootnoteReference"/>
        </w:rPr>
        <w:footnoteRef/>
      </w:r>
      <w:r>
        <w:t xml:space="preserve"> </w:t>
      </w:r>
      <w:r w:rsidRPr="00307AFE">
        <w:t>ч</w:t>
      </w:r>
      <w:r>
        <w:t>л. 53 от ЗПФ</w:t>
      </w:r>
    </w:p>
  </w:footnote>
  <w:footnote w:id="111">
    <w:p w14:paraId="6F6F7E95" w14:textId="77777777" w:rsidR="00EF4C31" w:rsidRDefault="00EF4C31" w:rsidP="00064050">
      <w:pPr>
        <w:pStyle w:val="FootnoteText"/>
      </w:pPr>
      <w:r>
        <w:rPr>
          <w:rStyle w:val="FootnoteReference"/>
        </w:rPr>
        <w:footnoteRef/>
      </w:r>
      <w:r>
        <w:t xml:space="preserve"> Одитно доказателство № 17</w:t>
      </w:r>
    </w:p>
  </w:footnote>
  <w:footnote w:id="112">
    <w:p w14:paraId="7D94D934" w14:textId="77777777" w:rsidR="00EF4C31" w:rsidRDefault="00EF4C31">
      <w:pPr>
        <w:pStyle w:val="FootnoteText"/>
      </w:pPr>
      <w:r>
        <w:rPr>
          <w:rStyle w:val="FootnoteReference"/>
        </w:rPr>
        <w:footnoteRef/>
      </w:r>
      <w:r>
        <w:t xml:space="preserve"> </w:t>
      </w:r>
      <w:r w:rsidRPr="00307AFE">
        <w:t>ч</w:t>
      </w:r>
      <w:r>
        <w:t>л. 54 от ЗПФ</w:t>
      </w:r>
    </w:p>
  </w:footnote>
  <w:footnote w:id="113">
    <w:p w14:paraId="733E46E1" w14:textId="0B4E23DC" w:rsidR="00EF4C31" w:rsidRDefault="00EF4C31">
      <w:pPr>
        <w:pStyle w:val="FootnoteText"/>
      </w:pPr>
      <w:r>
        <w:rPr>
          <w:rStyle w:val="FootnoteReference"/>
        </w:rPr>
        <w:footnoteRef/>
      </w:r>
      <w:r>
        <w:t xml:space="preserve"> Одитно доказателство № 24</w:t>
      </w:r>
    </w:p>
  </w:footnote>
  <w:footnote w:id="114">
    <w:p w14:paraId="525D8C29" w14:textId="77777777" w:rsidR="00EF4C31" w:rsidRDefault="00EF4C31">
      <w:pPr>
        <w:pStyle w:val="FootnoteText"/>
      </w:pPr>
      <w:r>
        <w:rPr>
          <w:rStyle w:val="FootnoteReference"/>
        </w:rPr>
        <w:footnoteRef/>
      </w:r>
      <w:r>
        <w:t xml:space="preserve"> </w:t>
      </w:r>
      <w:r w:rsidRPr="00307AFE">
        <w:t>ч</w:t>
      </w:r>
      <w:r>
        <w:t>л. 55 от ЗПФ</w:t>
      </w:r>
    </w:p>
  </w:footnote>
  <w:footnote w:id="115">
    <w:p w14:paraId="338EC9DD" w14:textId="1B8AD1D5" w:rsidR="00EF4C31" w:rsidRDefault="00EF4C31">
      <w:pPr>
        <w:pStyle w:val="FootnoteText"/>
      </w:pPr>
      <w:r>
        <w:rPr>
          <w:rStyle w:val="FootnoteReference"/>
        </w:rPr>
        <w:footnoteRef/>
      </w:r>
      <w:r>
        <w:t xml:space="preserve"> Одитно доказателство № 24</w:t>
      </w:r>
    </w:p>
  </w:footnote>
  <w:footnote w:id="116">
    <w:p w14:paraId="69D6ECDD" w14:textId="77777777" w:rsidR="00EF4C31" w:rsidRDefault="00EF4C31" w:rsidP="0014421A">
      <w:pPr>
        <w:pStyle w:val="FootnoteText"/>
      </w:pPr>
      <w:r>
        <w:rPr>
          <w:rStyle w:val="FootnoteReference"/>
        </w:rPr>
        <w:footnoteRef/>
      </w:r>
      <w:r>
        <w:t xml:space="preserve"> </w:t>
      </w:r>
      <w:r w:rsidRPr="00307AFE">
        <w:t>ч</w:t>
      </w:r>
      <w:r>
        <w:t>л. 61 от ЗПФ</w:t>
      </w:r>
    </w:p>
  </w:footnote>
  <w:footnote w:id="117">
    <w:p w14:paraId="7549D0AB" w14:textId="77777777" w:rsidR="00EF4C31" w:rsidRPr="00FF1E60" w:rsidRDefault="00EF4C31" w:rsidP="00FF1E60">
      <w:pPr>
        <w:pStyle w:val="FootnoteText"/>
      </w:pPr>
      <w:r>
        <w:rPr>
          <w:rStyle w:val="FootnoteReference"/>
        </w:rPr>
        <w:footnoteRef/>
      </w:r>
      <w:r>
        <w:t xml:space="preserve"> </w:t>
      </w:r>
      <w:r w:rsidRPr="00307AFE">
        <w:t>ч</w:t>
      </w:r>
      <w:r>
        <w:t>л</w:t>
      </w:r>
      <w:r w:rsidRPr="00FF1E60">
        <w:t>. 66, чл. 67 и чл. 68 от ЗПФ</w:t>
      </w:r>
    </w:p>
  </w:footnote>
  <w:footnote w:id="118">
    <w:p w14:paraId="7A364BF6" w14:textId="47231D2D" w:rsidR="00EF4C31" w:rsidRDefault="00EF4C31" w:rsidP="00435F70">
      <w:pPr>
        <w:pStyle w:val="FootnoteText"/>
        <w:jc w:val="both"/>
      </w:pPr>
      <w:r>
        <w:rPr>
          <w:rStyle w:val="FootnoteReference"/>
        </w:rPr>
        <w:footnoteRef/>
      </w:r>
      <w:r>
        <w:t xml:space="preserve"> </w:t>
      </w:r>
      <w:r>
        <w:rPr>
          <w:rFonts w:eastAsiaTheme="minorHAnsi"/>
          <w:lang w:eastAsia="en-US"/>
        </w:rPr>
        <w:t>БЮ № 1 и БЮ № 3 от 2015 г.</w:t>
      </w:r>
    </w:p>
  </w:footnote>
  <w:footnote w:id="119">
    <w:p w14:paraId="68D5FAF3" w14:textId="77777777" w:rsidR="00EF4C31" w:rsidRPr="00FF1E60" w:rsidRDefault="00EF4C31" w:rsidP="00DC2879">
      <w:pPr>
        <w:pStyle w:val="FootnoteText"/>
      </w:pPr>
      <w:r w:rsidRPr="00FF1E60">
        <w:rPr>
          <w:rStyle w:val="FootnoteReference"/>
        </w:rPr>
        <w:footnoteRef/>
      </w:r>
      <w:r w:rsidRPr="00FF1E60">
        <w:t xml:space="preserve"> Одитно доказателство № 18</w:t>
      </w:r>
    </w:p>
  </w:footnote>
  <w:footnote w:id="120">
    <w:p w14:paraId="144CFD5A" w14:textId="77777777" w:rsidR="00EF4C31" w:rsidRPr="00FF1E60" w:rsidRDefault="00EF4C31" w:rsidP="00FF1E60">
      <w:pPr>
        <w:jc w:val="both"/>
        <w:textAlignment w:val="center"/>
        <w:rPr>
          <w:sz w:val="20"/>
          <w:szCs w:val="20"/>
        </w:rPr>
      </w:pPr>
      <w:r w:rsidRPr="00FF1E60">
        <w:rPr>
          <w:rStyle w:val="FootnoteReference"/>
          <w:sz w:val="20"/>
          <w:szCs w:val="20"/>
        </w:rPr>
        <w:footnoteRef/>
      </w:r>
      <w:r w:rsidRPr="00FF1E60">
        <w:rPr>
          <w:sz w:val="20"/>
          <w:szCs w:val="20"/>
        </w:rPr>
        <w:t xml:space="preserve"> </w:t>
      </w:r>
      <w:hyperlink r:id="rId10" w:history="1">
        <w:r w:rsidRPr="00FF1E60">
          <w:rPr>
            <w:rFonts w:eastAsiaTheme="minorHAnsi"/>
            <w:color w:val="0000FF" w:themeColor="hyperlink"/>
            <w:sz w:val="20"/>
            <w:szCs w:val="20"/>
            <w:u w:val="single"/>
            <w:lang w:eastAsia="en-US"/>
          </w:rPr>
          <w:t>http://www.minfin.bg/bg/page/866</w:t>
        </w:r>
      </w:hyperlink>
    </w:p>
  </w:footnote>
  <w:footnote w:id="121">
    <w:p w14:paraId="68A02E73" w14:textId="77777777" w:rsidR="00EF4C31" w:rsidRDefault="00EF4C31">
      <w:pPr>
        <w:pStyle w:val="FootnoteText"/>
      </w:pPr>
      <w:r>
        <w:rPr>
          <w:rStyle w:val="FootnoteReference"/>
        </w:rPr>
        <w:footnoteRef/>
      </w:r>
      <w:r>
        <w:t xml:space="preserve"> </w:t>
      </w:r>
      <w:r w:rsidRPr="00307AFE">
        <w:t>ч</w:t>
      </w:r>
      <w:r>
        <w:t>л. 74 от ЗПФ</w:t>
      </w:r>
    </w:p>
  </w:footnote>
  <w:footnote w:id="122">
    <w:p w14:paraId="6422D9ED" w14:textId="77777777" w:rsidR="00EF4C31" w:rsidRDefault="00EF4C31" w:rsidP="002F6771">
      <w:pPr>
        <w:pStyle w:val="FootnoteText"/>
      </w:pPr>
      <w:r>
        <w:rPr>
          <w:rStyle w:val="FootnoteReference"/>
        </w:rPr>
        <w:footnoteRef/>
      </w:r>
      <w:r>
        <w:t xml:space="preserve"> Одитно доказателство № 24</w:t>
      </w:r>
    </w:p>
  </w:footnote>
  <w:footnote w:id="123">
    <w:p w14:paraId="280F455F" w14:textId="77777777" w:rsidR="00EF4C31" w:rsidRDefault="00EF4C31" w:rsidP="002F6771">
      <w:pPr>
        <w:pStyle w:val="FootnoteText"/>
      </w:pPr>
      <w:r>
        <w:rPr>
          <w:rStyle w:val="FootnoteReference"/>
        </w:rPr>
        <w:footnoteRef/>
      </w:r>
      <w:r>
        <w:t xml:space="preserve"> Одитно доказателство № 24</w:t>
      </w:r>
    </w:p>
  </w:footnote>
  <w:footnote w:id="124">
    <w:p w14:paraId="6CE5130B" w14:textId="77777777" w:rsidR="00EF4C31" w:rsidRDefault="00EF4C31">
      <w:pPr>
        <w:pStyle w:val="FootnoteText"/>
      </w:pPr>
      <w:r>
        <w:rPr>
          <w:rStyle w:val="FootnoteReference"/>
        </w:rPr>
        <w:footnoteRef/>
      </w:r>
      <w:r>
        <w:t xml:space="preserve"> </w:t>
      </w:r>
      <w:r w:rsidRPr="00307AFE">
        <w:t>ч</w:t>
      </w:r>
      <w:r>
        <w:t>л. 77а от ЗПФ</w:t>
      </w:r>
    </w:p>
  </w:footnote>
  <w:footnote w:id="125">
    <w:p w14:paraId="2B187C6B" w14:textId="77777777" w:rsidR="00EF4C31" w:rsidRDefault="00EF4C31" w:rsidP="005B1104">
      <w:pPr>
        <w:pStyle w:val="FootnoteText"/>
      </w:pPr>
      <w:r>
        <w:rPr>
          <w:rStyle w:val="FootnoteReference"/>
        </w:rPr>
        <w:footnoteRef/>
      </w:r>
      <w:r>
        <w:t xml:space="preserve"> </w:t>
      </w:r>
      <w:hyperlink r:id="rId11" w:history="1">
        <w:r w:rsidRPr="001602F3">
          <w:rPr>
            <w:rStyle w:val="Hyperlink"/>
          </w:rPr>
          <w:t>https://www.minfin.bg/tdocs/1477494616.pdf</w:t>
        </w:r>
      </w:hyperlink>
    </w:p>
  </w:footnote>
  <w:footnote w:id="126">
    <w:p w14:paraId="6569CC3E" w14:textId="77777777" w:rsidR="00EF4C31" w:rsidRDefault="00EF4C31">
      <w:pPr>
        <w:pStyle w:val="FootnoteText"/>
      </w:pPr>
      <w:r>
        <w:rPr>
          <w:rStyle w:val="FootnoteReference"/>
        </w:rPr>
        <w:footnoteRef/>
      </w:r>
      <w:r>
        <w:t xml:space="preserve"> По предварителни данни</w:t>
      </w:r>
    </w:p>
  </w:footnote>
  <w:footnote w:id="127">
    <w:p w14:paraId="26CD4948" w14:textId="77777777" w:rsidR="00EF4C31" w:rsidRDefault="00EF4C31" w:rsidP="003F7802">
      <w:pPr>
        <w:pStyle w:val="FootnoteText"/>
      </w:pPr>
      <w:r>
        <w:rPr>
          <w:rStyle w:val="FootnoteReference"/>
        </w:rPr>
        <w:footnoteRef/>
      </w:r>
      <w:r>
        <w:t xml:space="preserve"> Одитно доказателство № 7</w:t>
      </w:r>
    </w:p>
  </w:footnote>
  <w:footnote w:id="128">
    <w:p w14:paraId="6BDF0AB0" w14:textId="77777777" w:rsidR="00EF4C31" w:rsidRDefault="00EF4C31" w:rsidP="00831AF8">
      <w:pPr>
        <w:pStyle w:val="FootnoteText"/>
      </w:pPr>
      <w:r>
        <w:rPr>
          <w:rStyle w:val="FootnoteReference"/>
        </w:rPr>
        <w:footnoteRef/>
      </w:r>
      <w:r>
        <w:t xml:space="preserve"> Одитно доказателство № 7</w:t>
      </w:r>
    </w:p>
  </w:footnote>
  <w:footnote w:id="129">
    <w:p w14:paraId="2C811212" w14:textId="77777777" w:rsidR="00EF4C31" w:rsidRDefault="00EF4C31" w:rsidP="00FF7807">
      <w:pPr>
        <w:pStyle w:val="FootnoteText"/>
        <w:jc w:val="both"/>
      </w:pPr>
      <w:r>
        <w:rPr>
          <w:rStyle w:val="FootnoteReference"/>
        </w:rPr>
        <w:footnoteRef/>
      </w:r>
      <w:r>
        <w:t xml:space="preserve"> </w:t>
      </w:r>
      <w:r w:rsidRPr="00A43693">
        <w:t>Относно ревизията на данните, виж актуализираната есенна макроикономическа прогноза на Министерство на финансите (</w:t>
      </w:r>
      <w:hyperlink r:id="rId12" w:history="1">
        <w:r w:rsidRPr="00A43693">
          <w:rPr>
            <w:rStyle w:val="Hyperlink"/>
            <w:rFonts w:eastAsiaTheme="majorEastAsia"/>
          </w:rPr>
          <w:t>https://www.minfin.bg/bg/page/866</w:t>
        </w:r>
      </w:hyperlink>
      <w:r w:rsidRPr="00A43693">
        <w:t>)</w:t>
      </w:r>
    </w:p>
  </w:footnote>
  <w:footnote w:id="130">
    <w:p w14:paraId="6E9EF7E1" w14:textId="77777777" w:rsidR="00EF4C31" w:rsidRPr="00C441D8" w:rsidRDefault="00EF4C31" w:rsidP="00737A7E">
      <w:pPr>
        <w:pStyle w:val="FootnoteText"/>
      </w:pPr>
      <w:r>
        <w:rPr>
          <w:rStyle w:val="FootnoteReference"/>
        </w:rPr>
        <w:footnoteRef/>
      </w:r>
      <w:r>
        <w:t xml:space="preserve"> Към април 2017 г.</w:t>
      </w:r>
    </w:p>
  </w:footnote>
  <w:footnote w:id="131">
    <w:p w14:paraId="63986D8B" w14:textId="77777777" w:rsidR="00EF4C31" w:rsidRDefault="00EF4C31" w:rsidP="005442FE">
      <w:pPr>
        <w:pStyle w:val="FootnoteText"/>
      </w:pPr>
      <w:r>
        <w:rPr>
          <w:rStyle w:val="FootnoteReference"/>
        </w:rPr>
        <w:footnoteRef/>
      </w:r>
      <w:r>
        <w:t xml:space="preserve"> Според оценка на МВФ (Световен икономически преглед от януари 2017 г.)</w:t>
      </w:r>
    </w:p>
  </w:footnote>
  <w:footnote w:id="132">
    <w:p w14:paraId="2F627C7A" w14:textId="60A54325" w:rsidR="00EF4C31" w:rsidRDefault="00EF4C31">
      <w:pPr>
        <w:pStyle w:val="FootnoteText"/>
      </w:pPr>
      <w:r>
        <w:rPr>
          <w:rStyle w:val="FootnoteReference"/>
        </w:rPr>
        <w:footnoteRef/>
      </w:r>
      <w:r>
        <w:t xml:space="preserve"> Одитно доказателство № 33</w:t>
      </w:r>
    </w:p>
  </w:footnote>
  <w:footnote w:id="133">
    <w:p w14:paraId="0866D0D8" w14:textId="4F8E2EE6" w:rsidR="00EF4C31" w:rsidRPr="00FF3F30" w:rsidRDefault="00EF4C31" w:rsidP="00D0733B">
      <w:pPr>
        <w:ind w:left="33"/>
        <w:rPr>
          <w:sz w:val="20"/>
          <w:szCs w:val="20"/>
        </w:rPr>
      </w:pPr>
      <w:r w:rsidRPr="00D0733B">
        <w:rPr>
          <w:rStyle w:val="FootnoteReference"/>
          <w:sz w:val="20"/>
          <w:szCs w:val="20"/>
        </w:rPr>
        <w:footnoteRef/>
      </w:r>
      <w:r w:rsidRPr="00D0733B">
        <w:rPr>
          <w:sz w:val="20"/>
          <w:szCs w:val="20"/>
        </w:rPr>
        <w:t xml:space="preserve"> </w:t>
      </w:r>
      <w:proofErr w:type="spellStart"/>
      <w:r w:rsidRPr="00D0733B">
        <w:rPr>
          <w:rFonts w:eastAsiaTheme="minorHAnsi"/>
          <w:sz w:val="20"/>
          <w:szCs w:val="20"/>
          <w:lang w:eastAsia="en-US"/>
        </w:rPr>
        <w:t>обн</w:t>
      </w:r>
      <w:proofErr w:type="spellEnd"/>
      <w:r w:rsidRPr="00D0733B">
        <w:rPr>
          <w:rFonts w:eastAsiaTheme="minorHAnsi"/>
          <w:sz w:val="20"/>
          <w:szCs w:val="20"/>
          <w:lang w:eastAsia="en-US"/>
        </w:rPr>
        <w:t>., ДВ, бр. 96 от 09.12.2015 г., в сила от 01.</w:t>
      </w:r>
      <w:proofErr w:type="spellStart"/>
      <w:r w:rsidRPr="00D0733B">
        <w:rPr>
          <w:rFonts w:eastAsiaTheme="minorHAnsi"/>
          <w:sz w:val="20"/>
          <w:szCs w:val="20"/>
          <w:lang w:eastAsia="en-US"/>
        </w:rPr>
        <w:t>01</w:t>
      </w:r>
      <w:proofErr w:type="spellEnd"/>
      <w:r w:rsidRPr="00D0733B">
        <w:rPr>
          <w:rFonts w:eastAsiaTheme="minorHAnsi"/>
          <w:sz w:val="20"/>
          <w:szCs w:val="20"/>
          <w:lang w:eastAsia="en-US"/>
        </w:rPr>
        <w:t>.</w:t>
      </w:r>
      <w:r w:rsidRPr="00D0733B">
        <w:rPr>
          <w:rFonts w:eastAsiaTheme="minorHAnsi"/>
          <w:bCs/>
          <w:sz w:val="20"/>
          <w:szCs w:val="20"/>
          <w:lang w:eastAsia="en-US"/>
        </w:rPr>
        <w:t>2016</w:t>
      </w:r>
      <w:r w:rsidRPr="00D0733B">
        <w:rPr>
          <w:rFonts w:eastAsiaTheme="minorHAnsi"/>
          <w:b/>
          <w:sz w:val="20"/>
          <w:szCs w:val="20"/>
          <w:lang w:eastAsia="en-US"/>
        </w:rPr>
        <w:t xml:space="preserve"> </w:t>
      </w:r>
      <w:r w:rsidRPr="00D0733B">
        <w:rPr>
          <w:rFonts w:eastAsiaTheme="minorHAnsi"/>
          <w:sz w:val="20"/>
          <w:szCs w:val="20"/>
          <w:lang w:eastAsia="en-US"/>
        </w:rPr>
        <w:t>г</w:t>
      </w:r>
      <w:r w:rsidRPr="00FF3F30">
        <w:rPr>
          <w:rFonts w:eastAsiaTheme="minorHAnsi"/>
          <w:sz w:val="20"/>
          <w:szCs w:val="20"/>
          <w:lang w:eastAsia="en-US"/>
        </w:rPr>
        <w:t xml:space="preserve">., </w:t>
      </w:r>
      <w:r w:rsidRPr="00E00EA9">
        <w:rPr>
          <w:sz w:val="20"/>
          <w:szCs w:val="20"/>
        </w:rPr>
        <w:t>с изтекъл срок на действие</w:t>
      </w:r>
      <w:r>
        <w:rPr>
          <w:sz w:val="20"/>
          <w:szCs w:val="20"/>
        </w:rPr>
        <w:t>.</w:t>
      </w:r>
    </w:p>
  </w:footnote>
  <w:footnote w:id="134">
    <w:p w14:paraId="6B669D99" w14:textId="77777777" w:rsidR="00EF4C31" w:rsidRDefault="00EF4C31">
      <w:pPr>
        <w:pStyle w:val="FootnoteText"/>
      </w:pPr>
      <w:r>
        <w:rPr>
          <w:rStyle w:val="FootnoteReference"/>
        </w:rPr>
        <w:footnoteRef/>
      </w:r>
      <w:r>
        <w:t xml:space="preserve"> </w:t>
      </w:r>
      <w:r w:rsidRPr="00307AFE">
        <w:t>ч</w:t>
      </w:r>
      <w:r>
        <w:t>л. 88 от ЗПФ</w:t>
      </w:r>
    </w:p>
  </w:footnote>
  <w:footnote w:id="135">
    <w:p w14:paraId="5AB8DA16" w14:textId="77777777" w:rsidR="00EF4C31" w:rsidRDefault="00EF4C31" w:rsidP="00866261">
      <w:pPr>
        <w:pStyle w:val="FootnoteText"/>
      </w:pPr>
      <w:r>
        <w:rPr>
          <w:rStyle w:val="FootnoteReference"/>
        </w:rPr>
        <w:footnoteRef/>
      </w:r>
      <w:r>
        <w:t xml:space="preserve"> Писмо на МФ до ПРБ № 91-00-376 от 08.</w:t>
      </w:r>
      <w:proofErr w:type="spellStart"/>
      <w:r>
        <w:t>08</w:t>
      </w:r>
      <w:proofErr w:type="spellEnd"/>
      <w:r>
        <w:t>.2016 г.</w:t>
      </w:r>
    </w:p>
  </w:footnote>
  <w:footnote w:id="136">
    <w:p w14:paraId="0093603A" w14:textId="77777777" w:rsidR="00EF4C31" w:rsidRDefault="00EF4C31" w:rsidP="00866261">
      <w:pPr>
        <w:pStyle w:val="FootnoteText"/>
      </w:pPr>
      <w:r>
        <w:rPr>
          <w:rStyle w:val="FootnoteReference"/>
        </w:rPr>
        <w:footnoteRef/>
      </w:r>
      <w:r>
        <w:t xml:space="preserve"> Одитно доказателство № 19</w:t>
      </w:r>
    </w:p>
  </w:footnote>
  <w:footnote w:id="137">
    <w:p w14:paraId="30DF4991" w14:textId="77777777" w:rsidR="00EF4C31" w:rsidRDefault="00EF4C31" w:rsidP="00FC5A2C">
      <w:pPr>
        <w:pStyle w:val="FootnoteText"/>
        <w:jc w:val="both"/>
      </w:pPr>
      <w:r>
        <w:rPr>
          <w:rStyle w:val="FootnoteReference"/>
        </w:rPr>
        <w:footnoteRef/>
      </w:r>
      <w:r>
        <w:t xml:space="preserve"> Писма на МФ до ПРБ № 04-16-1301 от 10.11.2016 г.; 04-18-472 от 10.11.2016 г.; 03-00-1430 от 10.11.2016 г.;</w:t>
      </w:r>
      <w:r w:rsidRPr="00857281">
        <w:t xml:space="preserve"> </w:t>
      </w:r>
      <w:r>
        <w:t>04-04-272 от 10.11.2016 г.;</w:t>
      </w:r>
      <w:r w:rsidRPr="00857281">
        <w:t xml:space="preserve"> </w:t>
      </w:r>
      <w:r>
        <w:t>37-00-385 от 10.11.2016 г.; 37-00-384 от 10.11.2016 г.; 61-00-83 от 10.11.2016 г.</w:t>
      </w:r>
    </w:p>
  </w:footnote>
  <w:footnote w:id="138">
    <w:p w14:paraId="011617DF" w14:textId="77777777" w:rsidR="00EF4C31" w:rsidRDefault="00EF4C31" w:rsidP="00866261">
      <w:pPr>
        <w:pStyle w:val="FootnoteText"/>
      </w:pPr>
      <w:r>
        <w:rPr>
          <w:rStyle w:val="FootnoteReference"/>
        </w:rPr>
        <w:footnoteRef/>
      </w:r>
      <w:r>
        <w:t xml:space="preserve"> Одитно доказателство № 11</w:t>
      </w:r>
    </w:p>
  </w:footnote>
  <w:footnote w:id="139">
    <w:p w14:paraId="479E7CF9" w14:textId="77777777" w:rsidR="00EF4C31" w:rsidRPr="00935786" w:rsidRDefault="00EF4C31" w:rsidP="009F23F9">
      <w:pPr>
        <w:pStyle w:val="FootnoteText"/>
      </w:pPr>
      <w:r w:rsidRPr="00935786">
        <w:rPr>
          <w:rStyle w:val="FootnoteReference"/>
        </w:rPr>
        <w:footnoteRef/>
      </w:r>
      <w:r w:rsidRPr="00935786">
        <w:t xml:space="preserve"> </w:t>
      </w:r>
      <w:r w:rsidRPr="00307AFE">
        <w:t>ч</w:t>
      </w:r>
      <w:r w:rsidRPr="00935786">
        <w:t>л. 102 от ЗПФ</w:t>
      </w:r>
    </w:p>
  </w:footnote>
  <w:footnote w:id="140">
    <w:p w14:paraId="262D2C12" w14:textId="77777777" w:rsidR="00EF4C31" w:rsidRDefault="00EF4C31">
      <w:pPr>
        <w:pStyle w:val="FootnoteText"/>
      </w:pPr>
      <w:r>
        <w:rPr>
          <w:rStyle w:val="FootnoteReference"/>
        </w:rPr>
        <w:footnoteRef/>
      </w:r>
      <w:r>
        <w:t xml:space="preserve"> Одитно доказателство № 31</w:t>
      </w:r>
    </w:p>
  </w:footnote>
  <w:footnote w:id="141">
    <w:p w14:paraId="2E008070" w14:textId="77777777" w:rsidR="00EF4C31" w:rsidRDefault="00EF4C31">
      <w:pPr>
        <w:pStyle w:val="FootnoteText"/>
      </w:pPr>
      <w:r>
        <w:rPr>
          <w:rStyle w:val="FootnoteReference"/>
        </w:rPr>
        <w:footnoteRef/>
      </w:r>
      <w:r>
        <w:t xml:space="preserve"> </w:t>
      </w:r>
      <w:r w:rsidRPr="00307AFE">
        <w:t>ч</w:t>
      </w:r>
      <w:r>
        <w:t>л. 109, чл. 110 и чл. 112 от ЗПФ</w:t>
      </w:r>
    </w:p>
  </w:footnote>
  <w:footnote w:id="142">
    <w:p w14:paraId="644C109E" w14:textId="77777777" w:rsidR="00EF4C31" w:rsidRDefault="00EF4C31" w:rsidP="00CC35D8">
      <w:pPr>
        <w:pStyle w:val="FootnoteText"/>
      </w:pPr>
      <w:r>
        <w:rPr>
          <w:rStyle w:val="FootnoteReference"/>
        </w:rPr>
        <w:footnoteRef/>
      </w:r>
      <w:r>
        <w:t xml:space="preserve"> Одитно доказателство № 19</w:t>
      </w:r>
    </w:p>
  </w:footnote>
  <w:footnote w:id="143">
    <w:p w14:paraId="3D157800" w14:textId="77777777" w:rsidR="00EF4C31" w:rsidRDefault="00EF4C31" w:rsidP="001C3D08">
      <w:pPr>
        <w:pStyle w:val="FootnoteText"/>
      </w:pPr>
      <w:r>
        <w:rPr>
          <w:rStyle w:val="FootnoteReference"/>
        </w:rPr>
        <w:footnoteRef/>
      </w:r>
      <w:r>
        <w:t xml:space="preserve"> Одитно доказателство № 5</w:t>
      </w:r>
    </w:p>
  </w:footnote>
  <w:footnote w:id="144">
    <w:p w14:paraId="7BA97FC6" w14:textId="77777777" w:rsidR="00EF4C31" w:rsidRDefault="00EF4C31" w:rsidP="001C3D08">
      <w:pPr>
        <w:pStyle w:val="FootnoteText"/>
      </w:pPr>
      <w:r>
        <w:rPr>
          <w:rStyle w:val="FootnoteReference"/>
        </w:rPr>
        <w:footnoteRef/>
      </w:r>
      <w:r>
        <w:t xml:space="preserve"> </w:t>
      </w:r>
      <w:hyperlink r:id="rId13" w:history="1">
        <w:r w:rsidRPr="001602F3">
          <w:rPr>
            <w:rStyle w:val="Hyperlink"/>
          </w:rPr>
          <w:t>https://www.minfin.bg/bg/page/810</w:t>
        </w:r>
      </w:hyperlink>
    </w:p>
  </w:footnote>
  <w:footnote w:id="145">
    <w:p w14:paraId="3097BEB9" w14:textId="77777777" w:rsidR="00EF4C31" w:rsidRDefault="00EF4C31">
      <w:pPr>
        <w:pStyle w:val="FootnoteText"/>
      </w:pPr>
      <w:r>
        <w:rPr>
          <w:rStyle w:val="FootnoteReference"/>
        </w:rPr>
        <w:footnoteRef/>
      </w:r>
      <w:r>
        <w:t xml:space="preserve"> </w:t>
      </w:r>
      <w:r w:rsidRPr="00307AFE">
        <w:t>ч</w:t>
      </w:r>
      <w:r>
        <w:t>л. 130г от ЗПФ</w:t>
      </w:r>
    </w:p>
  </w:footnote>
  <w:footnote w:id="146">
    <w:p w14:paraId="487C9958" w14:textId="77777777" w:rsidR="00EF4C31" w:rsidRDefault="00EF4C31" w:rsidP="00244DBC">
      <w:pPr>
        <w:pStyle w:val="FootnoteText"/>
      </w:pPr>
      <w:r>
        <w:rPr>
          <w:rStyle w:val="FootnoteReference"/>
        </w:rPr>
        <w:footnoteRef/>
      </w:r>
      <w:r>
        <w:t xml:space="preserve"> </w:t>
      </w:r>
      <w:r w:rsidRPr="006922C5">
        <w:t>https://www.minfin.bg/bg/page/810</w:t>
      </w:r>
    </w:p>
  </w:footnote>
  <w:footnote w:id="147">
    <w:p w14:paraId="61B43ADB" w14:textId="77777777" w:rsidR="00EF4C31" w:rsidRDefault="00EF4C31" w:rsidP="0035732E">
      <w:pPr>
        <w:pStyle w:val="FootnoteText"/>
      </w:pPr>
      <w:r>
        <w:rPr>
          <w:rStyle w:val="FootnoteReference"/>
        </w:rPr>
        <w:footnoteRef/>
      </w:r>
      <w:r>
        <w:t xml:space="preserve"> </w:t>
      </w:r>
      <w:r w:rsidRPr="00307AFE">
        <w:t>ч</w:t>
      </w:r>
      <w:r>
        <w:t>л. 130е от ЗПФ</w:t>
      </w:r>
    </w:p>
  </w:footnote>
  <w:footnote w:id="148">
    <w:p w14:paraId="5A42D9B8" w14:textId="77777777" w:rsidR="00EF4C31" w:rsidRDefault="00EF4C31" w:rsidP="0035732E">
      <w:pPr>
        <w:pStyle w:val="FootnoteText"/>
      </w:pPr>
      <w:r>
        <w:rPr>
          <w:rStyle w:val="FootnoteReference"/>
        </w:rPr>
        <w:footnoteRef/>
      </w:r>
      <w:r>
        <w:t xml:space="preserve"> Одитно доказателство № 5</w:t>
      </w:r>
    </w:p>
  </w:footnote>
  <w:footnote w:id="149">
    <w:p w14:paraId="51A752D7" w14:textId="77777777" w:rsidR="00EF4C31" w:rsidRDefault="00EF4C31" w:rsidP="00C9070C">
      <w:pPr>
        <w:pStyle w:val="FootnoteText"/>
      </w:pPr>
      <w:r>
        <w:rPr>
          <w:rStyle w:val="FootnoteReference"/>
        </w:rPr>
        <w:footnoteRef/>
      </w:r>
      <w:r>
        <w:t xml:space="preserve"> Одитно доказателство № 5</w:t>
      </w:r>
    </w:p>
  </w:footnote>
  <w:footnote w:id="150">
    <w:p w14:paraId="1B21EAA2" w14:textId="77777777" w:rsidR="00EF4C31" w:rsidRDefault="00EF4C31" w:rsidP="00721DC5">
      <w:pPr>
        <w:pStyle w:val="FootnoteText"/>
      </w:pPr>
      <w:r>
        <w:rPr>
          <w:rStyle w:val="FootnoteReference"/>
        </w:rPr>
        <w:footnoteRef/>
      </w:r>
      <w:r>
        <w:t xml:space="preserve"> </w:t>
      </w:r>
      <w:r w:rsidRPr="00307AFE">
        <w:t>ч</w:t>
      </w:r>
      <w:r>
        <w:t>л. 130и от ЗПФ</w:t>
      </w:r>
    </w:p>
  </w:footnote>
  <w:footnote w:id="151">
    <w:p w14:paraId="7F330B3C" w14:textId="77777777" w:rsidR="00EF4C31" w:rsidRDefault="00EF4C31">
      <w:pPr>
        <w:pStyle w:val="FootnoteText"/>
      </w:pPr>
      <w:r>
        <w:rPr>
          <w:rStyle w:val="FootnoteReference"/>
        </w:rPr>
        <w:footnoteRef/>
      </w:r>
      <w:r>
        <w:t xml:space="preserve"> </w:t>
      </w:r>
      <w:r w:rsidRPr="00307AFE">
        <w:t>ч</w:t>
      </w:r>
      <w:r>
        <w:t>л. 130к от ЗПФ</w:t>
      </w:r>
    </w:p>
  </w:footnote>
  <w:footnote w:id="152">
    <w:p w14:paraId="6442FA73" w14:textId="77777777" w:rsidR="00EF4C31" w:rsidRPr="00F62855" w:rsidRDefault="00EF4C31" w:rsidP="00721DC5">
      <w:pPr>
        <w:pStyle w:val="FootnoteText"/>
      </w:pPr>
      <w:r w:rsidRPr="00F62855">
        <w:rPr>
          <w:rStyle w:val="FootnoteReference"/>
        </w:rPr>
        <w:footnoteRef/>
      </w:r>
      <w:r w:rsidRPr="00F62855">
        <w:t xml:space="preserve"> </w:t>
      </w:r>
      <w:r>
        <w:rPr>
          <w:szCs w:val="24"/>
        </w:rPr>
        <w:t>Одитно доказателство № 5</w:t>
      </w:r>
    </w:p>
  </w:footnote>
  <w:footnote w:id="153">
    <w:p w14:paraId="788EFF24" w14:textId="77777777" w:rsidR="00EF4C31" w:rsidRPr="00B31F3A" w:rsidRDefault="00EF4C31" w:rsidP="009F23F9">
      <w:pPr>
        <w:pStyle w:val="FootnoteText"/>
      </w:pPr>
      <w:r w:rsidRPr="00B31F3A">
        <w:rPr>
          <w:rStyle w:val="FootnoteReference"/>
        </w:rPr>
        <w:footnoteRef/>
      </w:r>
      <w:r w:rsidRPr="00B31F3A">
        <w:t xml:space="preserve"> </w:t>
      </w:r>
      <w:r w:rsidRPr="00307AFE">
        <w:t>ч</w:t>
      </w:r>
      <w:r w:rsidRPr="00B31F3A">
        <w:t>л. 131-136 от ЗПФ</w:t>
      </w:r>
    </w:p>
  </w:footnote>
  <w:footnote w:id="154">
    <w:p w14:paraId="20DF0177" w14:textId="029F9530" w:rsidR="00EF4C31" w:rsidRPr="00935786" w:rsidRDefault="00EF4C31" w:rsidP="00820364">
      <w:pPr>
        <w:jc w:val="both"/>
        <w:textAlignment w:val="center"/>
        <w:rPr>
          <w:sz w:val="20"/>
          <w:szCs w:val="20"/>
        </w:rPr>
      </w:pPr>
      <w:r w:rsidRPr="00935786">
        <w:rPr>
          <w:rStyle w:val="FootnoteReference"/>
          <w:sz w:val="20"/>
          <w:szCs w:val="20"/>
        </w:rPr>
        <w:footnoteRef/>
      </w:r>
      <w:r>
        <w:rPr>
          <w:sz w:val="20"/>
          <w:szCs w:val="20"/>
        </w:rPr>
        <w:t xml:space="preserve"> Одитни доказателства № 6 и № 19</w:t>
      </w:r>
    </w:p>
  </w:footnote>
  <w:footnote w:id="155">
    <w:p w14:paraId="2647EF99" w14:textId="77777777" w:rsidR="00EF4C31" w:rsidRDefault="00EF4C31">
      <w:pPr>
        <w:pStyle w:val="FootnoteText"/>
      </w:pPr>
      <w:r>
        <w:rPr>
          <w:rStyle w:val="FootnoteReference"/>
        </w:rPr>
        <w:footnoteRef/>
      </w:r>
      <w:r>
        <w:t xml:space="preserve"> Одитно доказателство № 6</w:t>
      </w:r>
    </w:p>
  </w:footnote>
  <w:footnote w:id="156">
    <w:p w14:paraId="30BF915B" w14:textId="77777777" w:rsidR="00EF4C31" w:rsidRDefault="00EF4C31" w:rsidP="009F23F9">
      <w:pPr>
        <w:pStyle w:val="FootnoteText"/>
      </w:pPr>
      <w:r>
        <w:rPr>
          <w:rStyle w:val="FootnoteReference"/>
        </w:rPr>
        <w:footnoteRef/>
      </w:r>
      <w:r>
        <w:t xml:space="preserve"> </w:t>
      </w:r>
      <w:r w:rsidRPr="00307AFE">
        <w:t>ч</w:t>
      </w:r>
      <w:r>
        <w:t>л. 173 от ЗПФ</w:t>
      </w:r>
    </w:p>
  </w:footnote>
  <w:footnote w:id="157">
    <w:p w14:paraId="4038228E" w14:textId="5FF2A181" w:rsidR="00EF4C31" w:rsidRDefault="00EF4C31" w:rsidP="00704C91">
      <w:pPr>
        <w:pStyle w:val="FootnoteText"/>
      </w:pPr>
      <w:r>
        <w:rPr>
          <w:rStyle w:val="FootnoteReference"/>
        </w:rPr>
        <w:footnoteRef/>
      </w:r>
      <w:r>
        <w:t xml:space="preserve"> Одитни доказателства № 5, № 6 и № 19</w:t>
      </w:r>
    </w:p>
  </w:footnote>
  <w:footnote w:id="158">
    <w:p w14:paraId="44927AE7" w14:textId="77777777" w:rsidR="00EF4C31" w:rsidRDefault="00EF4C31" w:rsidP="00552DFB">
      <w:pPr>
        <w:pStyle w:val="FootnoteText"/>
        <w:tabs>
          <w:tab w:val="left" w:pos="6240"/>
        </w:tabs>
        <w:jc w:val="both"/>
      </w:pPr>
      <w:r>
        <w:rPr>
          <w:rStyle w:val="FootnoteReference"/>
        </w:rPr>
        <w:footnoteRef/>
      </w:r>
      <w:r>
        <w:t xml:space="preserve"> Приет с Решение № 190 от 06.10.2016 г. на Сметната палата</w:t>
      </w:r>
    </w:p>
  </w:footnote>
  <w:footnote w:id="159">
    <w:p w14:paraId="4281B72D" w14:textId="77777777" w:rsidR="00EF4C31" w:rsidRDefault="00EF4C31" w:rsidP="00552DFB">
      <w:pPr>
        <w:pStyle w:val="FootnoteText"/>
        <w:jc w:val="both"/>
      </w:pPr>
      <w:r>
        <w:rPr>
          <w:rStyle w:val="FootnoteReference"/>
        </w:rPr>
        <w:footnoteRef/>
      </w:r>
      <w:r>
        <w:t xml:space="preserve"> Одитно доказателство № 29</w:t>
      </w:r>
    </w:p>
  </w:footnote>
  <w:footnote w:id="160">
    <w:p w14:paraId="055D093A" w14:textId="77777777" w:rsidR="00EF4C31" w:rsidRDefault="00EF4C31" w:rsidP="00552DFB">
      <w:pPr>
        <w:pStyle w:val="FootnoteText"/>
        <w:jc w:val="both"/>
      </w:pPr>
      <w:r>
        <w:rPr>
          <w:rStyle w:val="FootnoteReference"/>
        </w:rPr>
        <w:footnoteRef/>
      </w:r>
      <w:r>
        <w:t xml:space="preserve"> ДР № 1 от 2017 г. за изпълнение на държавния бюджет и на сметките за средствата от ЕС за 2017 г., раздел IX „Извършване на промени по ЗПФ“</w:t>
      </w:r>
    </w:p>
  </w:footnote>
  <w:footnote w:id="161">
    <w:p w14:paraId="5D379B4F" w14:textId="77777777" w:rsidR="00EF4C31" w:rsidRDefault="00EF4C31" w:rsidP="00552DFB">
      <w:pPr>
        <w:pStyle w:val="FootnoteText"/>
        <w:jc w:val="both"/>
      </w:pPr>
      <w:r>
        <w:rPr>
          <w:rStyle w:val="FootnoteReference"/>
        </w:rPr>
        <w:footnoteRef/>
      </w:r>
      <w:r>
        <w:t xml:space="preserve"> Одитен доклад № 0600200616 извършен одит на „Отчета на изпълнението на държавния бюджет на Република България за периода от 01.</w:t>
      </w:r>
      <w:proofErr w:type="spellStart"/>
      <w:r>
        <w:t>01</w:t>
      </w:r>
      <w:proofErr w:type="spellEnd"/>
      <w:r>
        <w:t>.2015 г. до 31.12.2015 г.“</w:t>
      </w:r>
    </w:p>
  </w:footnote>
  <w:footnote w:id="162">
    <w:p w14:paraId="394E0A1B" w14:textId="77777777" w:rsidR="00EF4C31" w:rsidRDefault="00EF4C31" w:rsidP="00552DFB">
      <w:pPr>
        <w:pStyle w:val="FootnoteText"/>
        <w:jc w:val="both"/>
      </w:pPr>
      <w:r>
        <w:rPr>
          <w:rStyle w:val="FootnoteReference"/>
        </w:rPr>
        <w:footnoteRef/>
      </w:r>
      <w:r>
        <w:t xml:space="preserve"> Одитно доказателство № 19</w:t>
      </w:r>
    </w:p>
  </w:footnote>
  <w:footnote w:id="163">
    <w:p w14:paraId="0E0CF2A7" w14:textId="09AD716C" w:rsidR="00EF4C31" w:rsidRDefault="00EF4C31">
      <w:pPr>
        <w:pStyle w:val="FootnoteText"/>
      </w:pPr>
      <w:r>
        <w:rPr>
          <w:rStyle w:val="FootnoteReference"/>
        </w:rPr>
        <w:footnoteRef/>
      </w:r>
      <w:r>
        <w:t xml:space="preserve"> Одитно доказателство № 33</w:t>
      </w:r>
    </w:p>
  </w:footnote>
  <w:footnote w:id="164">
    <w:p w14:paraId="01E67093" w14:textId="77777777" w:rsidR="00EF4C31" w:rsidRDefault="00EF4C31" w:rsidP="00552DFB">
      <w:pPr>
        <w:pStyle w:val="FootnoteText"/>
        <w:jc w:val="both"/>
      </w:pPr>
      <w:r>
        <w:rPr>
          <w:rStyle w:val="FootnoteReference"/>
        </w:rPr>
        <w:footnoteRef/>
      </w:r>
      <w:r>
        <w:t xml:space="preserve"> Писма с изх. №№ 91-00-376 от 08.</w:t>
      </w:r>
      <w:proofErr w:type="spellStart"/>
      <w:r>
        <w:t>08</w:t>
      </w:r>
      <w:proofErr w:type="spellEnd"/>
      <w:r>
        <w:t>.2016 г., 37-00-384 от 10.11.2016 г., 04-04-272 от 10.11.2016 г., 04-16-1301 от 10.11.2016 г., 04-18-472 от 10.11.2016 г., 37-00-385 от 10.11.2016 г., 03-00-1480 от 10.11.2016 г., 61-00-83 от 16.11.2016 г.</w:t>
      </w:r>
    </w:p>
  </w:footnote>
  <w:footnote w:id="165">
    <w:p w14:paraId="007964D0" w14:textId="77777777" w:rsidR="00EF4C31" w:rsidRDefault="00EF4C31" w:rsidP="00552DFB">
      <w:pPr>
        <w:pStyle w:val="FootnoteText"/>
        <w:jc w:val="both"/>
      </w:pPr>
      <w:r>
        <w:rPr>
          <w:rStyle w:val="FootnoteReference"/>
        </w:rPr>
        <w:footnoteRef/>
      </w:r>
      <w:r>
        <w:t xml:space="preserve"> Заповед № ЗМФ-980 от 25.10.2016 г.</w:t>
      </w:r>
    </w:p>
  </w:footnote>
  <w:footnote w:id="166">
    <w:p w14:paraId="127BF361" w14:textId="6E7A7A27" w:rsidR="00EF4C31" w:rsidRDefault="00EF4C31">
      <w:pPr>
        <w:pStyle w:val="FootnoteText"/>
      </w:pPr>
      <w:r>
        <w:rPr>
          <w:rStyle w:val="FootnoteReference"/>
        </w:rPr>
        <w:footnoteRef/>
      </w:r>
      <w:r>
        <w:t xml:space="preserve"> Одитно доказателство № 29</w:t>
      </w:r>
    </w:p>
  </w:footnote>
  <w:footnote w:id="167">
    <w:p w14:paraId="4C1D35E3" w14:textId="77777777" w:rsidR="00EF4C31" w:rsidRDefault="00EF4C31" w:rsidP="00552DFB">
      <w:pPr>
        <w:pStyle w:val="FootnoteText"/>
      </w:pPr>
      <w:r>
        <w:rPr>
          <w:rStyle w:val="FootnoteReference"/>
        </w:rPr>
        <w:footnoteRef/>
      </w:r>
      <w:r>
        <w:t xml:space="preserve"> Електронна страница на МФ/ Данъчна политика/ Данъчна политика в цифри </w:t>
      </w:r>
      <w:hyperlink r:id="rId14" w:history="1">
        <w:r>
          <w:rPr>
            <w:rStyle w:val="Hyperlink"/>
          </w:rPr>
          <w:t>https://www.minfin.bg/bg/page/1144</w:t>
        </w:r>
      </w:hyperlink>
      <w:r>
        <w:t xml:space="preserve"> </w:t>
      </w:r>
    </w:p>
  </w:footnote>
  <w:footnote w:id="168">
    <w:p w14:paraId="17A92A64" w14:textId="77777777" w:rsidR="00EF4C31" w:rsidRDefault="00EF4C31" w:rsidP="00552DFB">
      <w:pPr>
        <w:pStyle w:val="FootnoteText"/>
      </w:pPr>
      <w:r>
        <w:rPr>
          <w:rStyle w:val="FootnoteReference"/>
        </w:rPr>
        <w:footnoteRef/>
      </w:r>
      <w:r>
        <w:t xml:space="preserve"> Електронна страница на МФ/ Данъчна политика/ Данъчна политика в цифри </w:t>
      </w:r>
      <w:hyperlink r:id="rId15" w:history="1">
        <w:r>
          <w:rPr>
            <w:rStyle w:val="Hyperlink"/>
          </w:rPr>
          <w:t>https://www.minfin.bg/bg/page/1144</w:t>
        </w:r>
      </w:hyperlink>
      <w:r>
        <w:t xml:space="preserve"> </w:t>
      </w:r>
    </w:p>
  </w:footnote>
  <w:footnote w:id="169">
    <w:p w14:paraId="4FCBF866" w14:textId="77777777" w:rsidR="00EF4C31" w:rsidRDefault="00EF4C31" w:rsidP="00552DFB">
      <w:pPr>
        <w:pStyle w:val="FootnoteText"/>
        <w:jc w:val="both"/>
      </w:pPr>
      <w:r>
        <w:rPr>
          <w:rStyle w:val="FootnoteReference"/>
        </w:rPr>
        <w:footnoteRef/>
      </w:r>
      <w:r>
        <w:t xml:space="preserve"> Заповеди №№ ЗМФ-1114 от 24.11.2016 г., ЗМФ-172 от 21.02.2017 г., ЗМФ-169 от 21.02.2017 г., ЗМФ-62 от 23.01.2017 г., ЗМФ-212 от 07.03.2017 г. и ЗМФ-213 от 07.03.2017 г.</w:t>
      </w:r>
    </w:p>
  </w:footnote>
  <w:footnote w:id="170">
    <w:p w14:paraId="5F053220" w14:textId="77777777" w:rsidR="00EF4C31" w:rsidRDefault="00EF4C31" w:rsidP="00552DFB">
      <w:pPr>
        <w:pStyle w:val="FootnoteText"/>
        <w:jc w:val="both"/>
      </w:pPr>
      <w:r>
        <w:rPr>
          <w:rStyle w:val="FootnoteReference"/>
        </w:rPr>
        <w:footnoteRef/>
      </w:r>
      <w:r>
        <w:t xml:space="preserve"> Заповед № ЗМФ-165 от 17.02.2017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B86A0" w14:textId="5984A4F9" w:rsidR="00EF4C31" w:rsidRPr="008E4711" w:rsidRDefault="00EF4C31" w:rsidP="008E4711">
    <w:pPr>
      <w:pStyle w:val="Heading1"/>
      <w:jc w:val="right"/>
      <w:rPr>
        <w:rFonts w:ascii="Times New Roman" w:hAnsi="Times New Roman" w:cs="Times New Roman"/>
        <w:b/>
        <w:i/>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10063" w14:textId="6F2D3525" w:rsidR="00EF4C31" w:rsidRPr="008E4711" w:rsidRDefault="00EF4C31" w:rsidP="008E4711">
    <w:pPr>
      <w:pStyle w:val="Header"/>
      <w:jc w:val="right"/>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7FF"/>
    <w:multiLevelType w:val="multilevel"/>
    <w:tmpl w:val="BB123C0A"/>
    <w:lvl w:ilvl="0">
      <w:start w:val="2"/>
      <w:numFmt w:val="decimal"/>
      <w:lvlText w:val="%1."/>
      <w:lvlJc w:val="left"/>
      <w:pPr>
        <w:ind w:left="540" w:hanging="540"/>
      </w:pPr>
      <w:rPr>
        <w:rFonts w:hint="default"/>
      </w:rPr>
    </w:lvl>
    <w:lvl w:ilvl="1">
      <w:start w:val="4"/>
      <w:numFmt w:val="decimal"/>
      <w:lvlText w:val="%1.%2."/>
      <w:lvlJc w:val="left"/>
      <w:pPr>
        <w:ind w:left="1391" w:hanging="540"/>
      </w:pPr>
      <w:rPr>
        <w:rFonts w:ascii="Times New Roman" w:hAnsi="Times New Roman" w:cs="Times New Roman" w:hint="default"/>
        <w:sz w:val="24"/>
        <w:szCs w:val="24"/>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B46B42"/>
    <w:multiLevelType w:val="multilevel"/>
    <w:tmpl w:val="C25CD1B4"/>
    <w:lvl w:ilvl="0">
      <w:start w:val="4"/>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4"/>
      <w:numFmt w:val="decimal"/>
      <w:lvlText w:val="%1.%2.%3."/>
      <w:lvlJc w:val="left"/>
      <w:pPr>
        <w:ind w:left="960" w:hanging="720"/>
      </w:pPr>
      <w:rPr>
        <w:rFonts w:hint="default"/>
        <w:b w:val="0"/>
        <w:i w:val="0"/>
        <w:sz w:val="24"/>
        <w:szCs w:val="24"/>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nsid w:val="064E1362"/>
    <w:multiLevelType w:val="hybridMultilevel"/>
    <w:tmpl w:val="B65EE0B8"/>
    <w:lvl w:ilvl="0" w:tplc="0540D27E">
      <w:start w:val="3"/>
      <w:numFmt w:val="bullet"/>
      <w:lvlText w:val="-"/>
      <w:lvlJc w:val="left"/>
      <w:pPr>
        <w:ind w:left="1070"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nsid w:val="090B27B9"/>
    <w:multiLevelType w:val="hybridMultilevel"/>
    <w:tmpl w:val="537C53A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91A6CCD"/>
    <w:multiLevelType w:val="hybridMultilevel"/>
    <w:tmpl w:val="826E5868"/>
    <w:lvl w:ilvl="0" w:tplc="CE52DC7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B655E78"/>
    <w:multiLevelType w:val="multilevel"/>
    <w:tmpl w:val="C9BA7590"/>
    <w:lvl w:ilvl="0">
      <w:start w:val="7"/>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FAE37AD"/>
    <w:multiLevelType w:val="hybridMultilevel"/>
    <w:tmpl w:val="E69688B2"/>
    <w:lvl w:ilvl="0" w:tplc="04020001">
      <w:start w:val="1"/>
      <w:numFmt w:val="bullet"/>
      <w:lvlText w:val=""/>
      <w:lvlJc w:val="left"/>
      <w:pPr>
        <w:ind w:left="393" w:hanging="360"/>
      </w:pPr>
      <w:rPr>
        <w:rFonts w:ascii="Symbol" w:hAnsi="Symbol" w:hint="default"/>
        <w:b w:val="0"/>
        <w:color w:val="auto"/>
      </w:rPr>
    </w:lvl>
    <w:lvl w:ilvl="1" w:tplc="04020019" w:tentative="1">
      <w:start w:val="1"/>
      <w:numFmt w:val="lowerLetter"/>
      <w:lvlText w:val="%2."/>
      <w:lvlJc w:val="left"/>
      <w:pPr>
        <w:ind w:left="1113" w:hanging="360"/>
      </w:pPr>
    </w:lvl>
    <w:lvl w:ilvl="2" w:tplc="0402001B" w:tentative="1">
      <w:start w:val="1"/>
      <w:numFmt w:val="lowerRoman"/>
      <w:lvlText w:val="%3."/>
      <w:lvlJc w:val="right"/>
      <w:pPr>
        <w:ind w:left="1833" w:hanging="180"/>
      </w:pPr>
    </w:lvl>
    <w:lvl w:ilvl="3" w:tplc="0402000F" w:tentative="1">
      <w:start w:val="1"/>
      <w:numFmt w:val="decimal"/>
      <w:lvlText w:val="%4."/>
      <w:lvlJc w:val="left"/>
      <w:pPr>
        <w:ind w:left="2553" w:hanging="360"/>
      </w:pPr>
    </w:lvl>
    <w:lvl w:ilvl="4" w:tplc="04020019" w:tentative="1">
      <w:start w:val="1"/>
      <w:numFmt w:val="lowerLetter"/>
      <w:lvlText w:val="%5."/>
      <w:lvlJc w:val="left"/>
      <w:pPr>
        <w:ind w:left="3273" w:hanging="360"/>
      </w:pPr>
    </w:lvl>
    <w:lvl w:ilvl="5" w:tplc="0402001B" w:tentative="1">
      <w:start w:val="1"/>
      <w:numFmt w:val="lowerRoman"/>
      <w:lvlText w:val="%6."/>
      <w:lvlJc w:val="right"/>
      <w:pPr>
        <w:ind w:left="3993" w:hanging="180"/>
      </w:pPr>
    </w:lvl>
    <w:lvl w:ilvl="6" w:tplc="0402000F" w:tentative="1">
      <w:start w:val="1"/>
      <w:numFmt w:val="decimal"/>
      <w:lvlText w:val="%7."/>
      <w:lvlJc w:val="left"/>
      <w:pPr>
        <w:ind w:left="4713" w:hanging="360"/>
      </w:pPr>
    </w:lvl>
    <w:lvl w:ilvl="7" w:tplc="04020019" w:tentative="1">
      <w:start w:val="1"/>
      <w:numFmt w:val="lowerLetter"/>
      <w:lvlText w:val="%8."/>
      <w:lvlJc w:val="left"/>
      <w:pPr>
        <w:ind w:left="5433" w:hanging="360"/>
      </w:pPr>
    </w:lvl>
    <w:lvl w:ilvl="8" w:tplc="0402001B" w:tentative="1">
      <w:start w:val="1"/>
      <w:numFmt w:val="lowerRoman"/>
      <w:lvlText w:val="%9."/>
      <w:lvlJc w:val="right"/>
      <w:pPr>
        <w:ind w:left="6153" w:hanging="180"/>
      </w:pPr>
    </w:lvl>
  </w:abstractNum>
  <w:abstractNum w:abstractNumId="7">
    <w:nsid w:val="0FF85704"/>
    <w:multiLevelType w:val="hybridMultilevel"/>
    <w:tmpl w:val="C1705B8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06A6D37"/>
    <w:multiLevelType w:val="multilevel"/>
    <w:tmpl w:val="4C165640"/>
    <w:lvl w:ilvl="0">
      <w:start w:val="1"/>
      <w:numFmt w:val="decimal"/>
      <w:lvlText w:val="%1."/>
      <w:lvlJc w:val="left"/>
      <w:pPr>
        <w:ind w:left="720" w:hanging="360"/>
      </w:pPr>
    </w:lvl>
    <w:lvl w:ilvl="1">
      <w:start w:val="1"/>
      <w:numFmt w:val="decimal"/>
      <w:isLgl/>
      <w:lvlText w:val="%1.%2."/>
      <w:lvlJc w:val="left"/>
      <w:pPr>
        <w:ind w:left="1494" w:hanging="360"/>
      </w:pPr>
    </w:lvl>
    <w:lvl w:ilvl="2">
      <w:start w:val="1"/>
      <w:numFmt w:val="decimal"/>
      <w:isLgl/>
      <w:lvlText w:val="%1.%2.%3."/>
      <w:lvlJc w:val="left"/>
      <w:pPr>
        <w:ind w:left="1855" w:hanging="720"/>
      </w:pPr>
    </w:lvl>
    <w:lvl w:ilvl="3">
      <w:start w:val="1"/>
      <w:numFmt w:val="decimal"/>
      <w:isLgl/>
      <w:lvlText w:val="%1.%2.%3.%4."/>
      <w:lvlJc w:val="left"/>
      <w:pPr>
        <w:ind w:left="3402" w:hanging="720"/>
      </w:pPr>
      <w:rPr>
        <w:b/>
      </w:rPr>
    </w:lvl>
    <w:lvl w:ilvl="4">
      <w:start w:val="1"/>
      <w:numFmt w:val="decimal"/>
      <w:isLgl/>
      <w:lvlText w:val="%1.%2.%3.%4.%5."/>
      <w:lvlJc w:val="left"/>
      <w:pPr>
        <w:ind w:left="4536" w:hanging="1080"/>
      </w:pPr>
    </w:lvl>
    <w:lvl w:ilvl="5">
      <w:start w:val="1"/>
      <w:numFmt w:val="decimal"/>
      <w:isLgl/>
      <w:lvlText w:val="%1.%2.%3.%4.%5.%6."/>
      <w:lvlJc w:val="left"/>
      <w:pPr>
        <w:ind w:left="5310" w:hanging="1080"/>
      </w:pPr>
    </w:lvl>
    <w:lvl w:ilvl="6">
      <w:start w:val="1"/>
      <w:numFmt w:val="decimal"/>
      <w:isLgl/>
      <w:lvlText w:val="%1.%2.%3.%4.%5.%6.%7."/>
      <w:lvlJc w:val="left"/>
      <w:pPr>
        <w:ind w:left="6444" w:hanging="1440"/>
      </w:pPr>
    </w:lvl>
    <w:lvl w:ilvl="7">
      <w:start w:val="1"/>
      <w:numFmt w:val="decimal"/>
      <w:isLgl/>
      <w:lvlText w:val="%1.%2.%3.%4.%5.%6.%7.%8."/>
      <w:lvlJc w:val="left"/>
      <w:pPr>
        <w:ind w:left="7218" w:hanging="1440"/>
      </w:pPr>
    </w:lvl>
    <w:lvl w:ilvl="8">
      <w:start w:val="1"/>
      <w:numFmt w:val="decimal"/>
      <w:isLgl/>
      <w:lvlText w:val="%1.%2.%3.%4.%5.%6.%7.%8.%9."/>
      <w:lvlJc w:val="left"/>
      <w:pPr>
        <w:ind w:left="8352" w:hanging="1800"/>
      </w:pPr>
    </w:lvl>
  </w:abstractNum>
  <w:abstractNum w:abstractNumId="9">
    <w:nsid w:val="14D90ACF"/>
    <w:multiLevelType w:val="hybridMultilevel"/>
    <w:tmpl w:val="14E63882"/>
    <w:lvl w:ilvl="0" w:tplc="57CCC1C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76D6D5E"/>
    <w:multiLevelType w:val="hybridMultilevel"/>
    <w:tmpl w:val="585642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E803D8D"/>
    <w:multiLevelType w:val="multilevel"/>
    <w:tmpl w:val="12221E48"/>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2067516C"/>
    <w:multiLevelType w:val="hybridMultilevel"/>
    <w:tmpl w:val="D9DC8D6E"/>
    <w:lvl w:ilvl="0" w:tplc="BCE2B622">
      <w:start w:val="1"/>
      <w:numFmt w:val="upperRoman"/>
      <w:lvlText w:val="%1."/>
      <w:lvlJc w:val="left"/>
      <w:pPr>
        <w:ind w:left="862"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3327001"/>
    <w:multiLevelType w:val="hybridMultilevel"/>
    <w:tmpl w:val="9746F9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A00783D"/>
    <w:multiLevelType w:val="hybridMultilevel"/>
    <w:tmpl w:val="2076A4CE"/>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15">
    <w:nsid w:val="2A4D02ED"/>
    <w:multiLevelType w:val="hybridMultilevel"/>
    <w:tmpl w:val="BC06A650"/>
    <w:lvl w:ilvl="0" w:tplc="ED64D3A0">
      <w:start w:val="3"/>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CF31B0E"/>
    <w:multiLevelType w:val="hybridMultilevel"/>
    <w:tmpl w:val="330C9F2A"/>
    <w:lvl w:ilvl="0" w:tplc="0402000F">
      <w:start w:val="1"/>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D5A7FCB"/>
    <w:multiLevelType w:val="hybridMultilevel"/>
    <w:tmpl w:val="ACCEE93E"/>
    <w:lvl w:ilvl="0" w:tplc="6AB62264">
      <w:start w:val="1"/>
      <w:numFmt w:val="decimal"/>
      <w:lvlText w:val="(%1)"/>
      <w:lvlJc w:val="left"/>
      <w:pPr>
        <w:ind w:left="685" w:hanging="750"/>
      </w:pPr>
      <w:rPr>
        <w:rFonts w:hint="default"/>
      </w:rPr>
    </w:lvl>
    <w:lvl w:ilvl="1" w:tplc="04020019" w:tentative="1">
      <w:start w:val="1"/>
      <w:numFmt w:val="lowerLetter"/>
      <w:lvlText w:val="%2."/>
      <w:lvlJc w:val="left"/>
      <w:pPr>
        <w:ind w:left="1015" w:hanging="360"/>
      </w:pPr>
    </w:lvl>
    <w:lvl w:ilvl="2" w:tplc="0402001B" w:tentative="1">
      <w:start w:val="1"/>
      <w:numFmt w:val="lowerRoman"/>
      <w:lvlText w:val="%3."/>
      <w:lvlJc w:val="right"/>
      <w:pPr>
        <w:ind w:left="1735" w:hanging="180"/>
      </w:pPr>
    </w:lvl>
    <w:lvl w:ilvl="3" w:tplc="0402000F" w:tentative="1">
      <w:start w:val="1"/>
      <w:numFmt w:val="decimal"/>
      <w:lvlText w:val="%4."/>
      <w:lvlJc w:val="left"/>
      <w:pPr>
        <w:ind w:left="2455" w:hanging="360"/>
      </w:pPr>
    </w:lvl>
    <w:lvl w:ilvl="4" w:tplc="04020019" w:tentative="1">
      <w:start w:val="1"/>
      <w:numFmt w:val="lowerLetter"/>
      <w:lvlText w:val="%5."/>
      <w:lvlJc w:val="left"/>
      <w:pPr>
        <w:ind w:left="3175" w:hanging="360"/>
      </w:pPr>
    </w:lvl>
    <w:lvl w:ilvl="5" w:tplc="0402001B" w:tentative="1">
      <w:start w:val="1"/>
      <w:numFmt w:val="lowerRoman"/>
      <w:lvlText w:val="%6."/>
      <w:lvlJc w:val="right"/>
      <w:pPr>
        <w:ind w:left="3895" w:hanging="180"/>
      </w:pPr>
    </w:lvl>
    <w:lvl w:ilvl="6" w:tplc="0402000F" w:tentative="1">
      <w:start w:val="1"/>
      <w:numFmt w:val="decimal"/>
      <w:lvlText w:val="%7."/>
      <w:lvlJc w:val="left"/>
      <w:pPr>
        <w:ind w:left="4615" w:hanging="360"/>
      </w:pPr>
    </w:lvl>
    <w:lvl w:ilvl="7" w:tplc="04020019" w:tentative="1">
      <w:start w:val="1"/>
      <w:numFmt w:val="lowerLetter"/>
      <w:lvlText w:val="%8."/>
      <w:lvlJc w:val="left"/>
      <w:pPr>
        <w:ind w:left="5335" w:hanging="360"/>
      </w:pPr>
    </w:lvl>
    <w:lvl w:ilvl="8" w:tplc="0402001B" w:tentative="1">
      <w:start w:val="1"/>
      <w:numFmt w:val="lowerRoman"/>
      <w:lvlText w:val="%9."/>
      <w:lvlJc w:val="right"/>
      <w:pPr>
        <w:ind w:left="6055" w:hanging="180"/>
      </w:pPr>
    </w:lvl>
  </w:abstractNum>
  <w:abstractNum w:abstractNumId="18">
    <w:nsid w:val="2F4406ED"/>
    <w:multiLevelType w:val="multilevel"/>
    <w:tmpl w:val="7F52EBBC"/>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b w:val="0"/>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2B17671"/>
    <w:multiLevelType w:val="hybridMultilevel"/>
    <w:tmpl w:val="FE3AB148"/>
    <w:lvl w:ilvl="0" w:tplc="7DB40966">
      <w:start w:val="1"/>
      <w:numFmt w:val="bullet"/>
      <w:lvlText w:val="-"/>
      <w:lvlJc w:val="left"/>
      <w:pPr>
        <w:ind w:left="1069" w:hanging="360"/>
      </w:pPr>
      <w:rPr>
        <w:rFonts w:ascii="Times New Roman" w:eastAsia="Calibri"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0">
    <w:nsid w:val="350841C6"/>
    <w:multiLevelType w:val="multilevel"/>
    <w:tmpl w:val="B0B80E90"/>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36E70D96"/>
    <w:multiLevelType w:val="hybridMultilevel"/>
    <w:tmpl w:val="74FECD32"/>
    <w:lvl w:ilvl="0" w:tplc="7C204EDC">
      <w:start w:val="1"/>
      <w:numFmt w:val="bullet"/>
      <w:lvlText w:val=""/>
      <w:lvlJc w:val="left"/>
      <w:pPr>
        <w:ind w:left="765" w:hanging="360"/>
      </w:pPr>
      <w:rPr>
        <w:rFonts w:ascii="Symbol" w:hAnsi="Symbol" w:hint="default"/>
        <w:color w:val="auto"/>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2">
    <w:nsid w:val="37255185"/>
    <w:multiLevelType w:val="hybridMultilevel"/>
    <w:tmpl w:val="9AAC5E98"/>
    <w:lvl w:ilvl="0" w:tplc="37A63D06">
      <w:start w:val="1"/>
      <w:numFmt w:val="decimal"/>
      <w:lvlText w:val="%1."/>
      <w:lvlJc w:val="left"/>
      <w:pPr>
        <w:ind w:left="567" w:hanging="207"/>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38595B49"/>
    <w:multiLevelType w:val="multilevel"/>
    <w:tmpl w:val="F6E4445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414835DE"/>
    <w:multiLevelType w:val="hybridMultilevel"/>
    <w:tmpl w:val="94F4E6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1813F48"/>
    <w:multiLevelType w:val="hybridMultilevel"/>
    <w:tmpl w:val="8B441392"/>
    <w:lvl w:ilvl="0" w:tplc="04020001">
      <w:start w:val="1"/>
      <w:numFmt w:val="bullet"/>
      <w:lvlText w:val=""/>
      <w:lvlJc w:val="left"/>
      <w:pPr>
        <w:ind w:left="393" w:hanging="360"/>
      </w:pPr>
      <w:rPr>
        <w:rFonts w:ascii="Symbol" w:hAnsi="Symbol" w:hint="default"/>
      </w:rPr>
    </w:lvl>
    <w:lvl w:ilvl="1" w:tplc="04020019" w:tentative="1">
      <w:start w:val="1"/>
      <w:numFmt w:val="lowerLetter"/>
      <w:lvlText w:val="%2."/>
      <w:lvlJc w:val="left"/>
      <w:pPr>
        <w:ind w:left="1113" w:hanging="360"/>
      </w:pPr>
    </w:lvl>
    <w:lvl w:ilvl="2" w:tplc="0402001B" w:tentative="1">
      <w:start w:val="1"/>
      <w:numFmt w:val="lowerRoman"/>
      <w:lvlText w:val="%3."/>
      <w:lvlJc w:val="right"/>
      <w:pPr>
        <w:ind w:left="1833" w:hanging="180"/>
      </w:pPr>
    </w:lvl>
    <w:lvl w:ilvl="3" w:tplc="0402000F" w:tentative="1">
      <w:start w:val="1"/>
      <w:numFmt w:val="decimal"/>
      <w:lvlText w:val="%4."/>
      <w:lvlJc w:val="left"/>
      <w:pPr>
        <w:ind w:left="2553" w:hanging="360"/>
      </w:pPr>
    </w:lvl>
    <w:lvl w:ilvl="4" w:tplc="04020019" w:tentative="1">
      <w:start w:val="1"/>
      <w:numFmt w:val="lowerLetter"/>
      <w:lvlText w:val="%5."/>
      <w:lvlJc w:val="left"/>
      <w:pPr>
        <w:ind w:left="3273" w:hanging="360"/>
      </w:pPr>
    </w:lvl>
    <w:lvl w:ilvl="5" w:tplc="0402001B" w:tentative="1">
      <w:start w:val="1"/>
      <w:numFmt w:val="lowerRoman"/>
      <w:lvlText w:val="%6."/>
      <w:lvlJc w:val="right"/>
      <w:pPr>
        <w:ind w:left="3993" w:hanging="180"/>
      </w:pPr>
    </w:lvl>
    <w:lvl w:ilvl="6" w:tplc="0402000F" w:tentative="1">
      <w:start w:val="1"/>
      <w:numFmt w:val="decimal"/>
      <w:lvlText w:val="%7."/>
      <w:lvlJc w:val="left"/>
      <w:pPr>
        <w:ind w:left="4713" w:hanging="360"/>
      </w:pPr>
    </w:lvl>
    <w:lvl w:ilvl="7" w:tplc="04020019" w:tentative="1">
      <w:start w:val="1"/>
      <w:numFmt w:val="lowerLetter"/>
      <w:lvlText w:val="%8."/>
      <w:lvlJc w:val="left"/>
      <w:pPr>
        <w:ind w:left="5433" w:hanging="360"/>
      </w:pPr>
    </w:lvl>
    <w:lvl w:ilvl="8" w:tplc="0402001B" w:tentative="1">
      <w:start w:val="1"/>
      <w:numFmt w:val="lowerRoman"/>
      <w:lvlText w:val="%9."/>
      <w:lvlJc w:val="right"/>
      <w:pPr>
        <w:ind w:left="6153" w:hanging="180"/>
      </w:pPr>
    </w:lvl>
  </w:abstractNum>
  <w:abstractNum w:abstractNumId="26">
    <w:nsid w:val="44AB1272"/>
    <w:multiLevelType w:val="multilevel"/>
    <w:tmpl w:val="5A52639A"/>
    <w:lvl w:ilvl="0">
      <w:start w:val="1"/>
      <w:numFmt w:val="upperRoman"/>
      <w:lvlText w:val="%1."/>
      <w:lvlJc w:val="left"/>
      <w:pPr>
        <w:ind w:left="1571"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462A0EE4"/>
    <w:multiLevelType w:val="hybridMultilevel"/>
    <w:tmpl w:val="66F683E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nsid w:val="4A0A1DF3"/>
    <w:multiLevelType w:val="hybridMultilevel"/>
    <w:tmpl w:val="CA9A2820"/>
    <w:lvl w:ilvl="0" w:tplc="C6DEAF2C">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6A668D6"/>
    <w:multiLevelType w:val="multilevel"/>
    <w:tmpl w:val="34609678"/>
    <w:lvl w:ilvl="0">
      <w:start w:val="1"/>
      <w:numFmt w:val="decimal"/>
      <w:lvlText w:val="%1."/>
      <w:lvlJc w:val="left"/>
      <w:pPr>
        <w:ind w:left="510" w:hanging="510"/>
      </w:pPr>
      <w:rPr>
        <w:rFonts w:hint="default"/>
      </w:rPr>
    </w:lvl>
    <w:lvl w:ilvl="1">
      <w:start w:val="1"/>
      <w:numFmt w:val="decimal"/>
      <w:lvlText w:val="%1.%2."/>
      <w:lvlJc w:val="left"/>
      <w:pPr>
        <w:ind w:left="1644" w:hanging="51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nsid w:val="582F3FEC"/>
    <w:multiLevelType w:val="hybridMultilevel"/>
    <w:tmpl w:val="1346A792"/>
    <w:lvl w:ilvl="0" w:tplc="D56633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nsid w:val="5B910FC0"/>
    <w:multiLevelType w:val="hybridMultilevel"/>
    <w:tmpl w:val="FB7443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F8F2EE4"/>
    <w:multiLevelType w:val="hybridMultilevel"/>
    <w:tmpl w:val="5370825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nsid w:val="60417136"/>
    <w:multiLevelType w:val="multilevel"/>
    <w:tmpl w:val="0C2EBEA2"/>
    <w:lvl w:ilvl="0">
      <w:start w:val="2"/>
      <w:numFmt w:val="decimal"/>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4">
    <w:nsid w:val="605C6279"/>
    <w:multiLevelType w:val="hybridMultilevel"/>
    <w:tmpl w:val="A9107A54"/>
    <w:lvl w:ilvl="0" w:tplc="B26C6D2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638D6CA0"/>
    <w:multiLevelType w:val="hybridMultilevel"/>
    <w:tmpl w:val="400C88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4415783"/>
    <w:multiLevelType w:val="multilevel"/>
    <w:tmpl w:val="E5663C60"/>
    <w:lvl w:ilvl="0">
      <w:start w:val="5"/>
      <w:numFmt w:val="decimal"/>
      <w:lvlText w:val="%1."/>
      <w:lvlJc w:val="left"/>
      <w:pPr>
        <w:ind w:left="540" w:hanging="540"/>
      </w:pPr>
      <w:rPr>
        <w:rFonts w:hint="default"/>
      </w:rPr>
    </w:lvl>
    <w:lvl w:ilvl="1">
      <w:start w:val="7"/>
      <w:numFmt w:val="decimal"/>
      <w:lvlText w:val="%1.%2."/>
      <w:lvlJc w:val="left"/>
      <w:pPr>
        <w:ind w:left="1533"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6B85E98"/>
    <w:multiLevelType w:val="multilevel"/>
    <w:tmpl w:val="499E8078"/>
    <w:lvl w:ilvl="0">
      <w:start w:val="5"/>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8">
    <w:nsid w:val="66C72BD9"/>
    <w:multiLevelType w:val="hybridMultilevel"/>
    <w:tmpl w:val="043021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A591CFD"/>
    <w:multiLevelType w:val="hybridMultilevel"/>
    <w:tmpl w:val="A1E207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AB15A41"/>
    <w:multiLevelType w:val="hybridMultilevel"/>
    <w:tmpl w:val="8D14BF48"/>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1">
    <w:nsid w:val="6AD41D84"/>
    <w:multiLevelType w:val="multilevel"/>
    <w:tmpl w:val="0DFCDA72"/>
    <w:lvl w:ilvl="0">
      <w:start w:val="1"/>
      <w:numFmt w:val="decimal"/>
      <w:lvlText w:val="%1."/>
      <w:lvlJc w:val="left"/>
      <w:pPr>
        <w:ind w:left="1069"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2">
    <w:nsid w:val="6CA65B9E"/>
    <w:multiLevelType w:val="multilevel"/>
    <w:tmpl w:val="71B0CEB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3">
    <w:nsid w:val="6DBF18E8"/>
    <w:multiLevelType w:val="multilevel"/>
    <w:tmpl w:val="343E9614"/>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nsid w:val="71E813EF"/>
    <w:multiLevelType w:val="hybridMultilevel"/>
    <w:tmpl w:val="E256B078"/>
    <w:lvl w:ilvl="0" w:tplc="04020001">
      <w:start w:val="1"/>
      <w:numFmt w:val="bullet"/>
      <w:lvlText w:val=""/>
      <w:lvlJc w:val="left"/>
      <w:pPr>
        <w:ind w:left="393" w:hanging="360"/>
      </w:pPr>
      <w:rPr>
        <w:rFonts w:ascii="Symbol" w:hAnsi="Symbol" w:hint="default"/>
      </w:rPr>
    </w:lvl>
    <w:lvl w:ilvl="1" w:tplc="04020019" w:tentative="1">
      <w:start w:val="1"/>
      <w:numFmt w:val="lowerLetter"/>
      <w:lvlText w:val="%2."/>
      <w:lvlJc w:val="left"/>
      <w:pPr>
        <w:ind w:left="1113" w:hanging="360"/>
      </w:pPr>
    </w:lvl>
    <w:lvl w:ilvl="2" w:tplc="0402001B" w:tentative="1">
      <w:start w:val="1"/>
      <w:numFmt w:val="lowerRoman"/>
      <w:lvlText w:val="%3."/>
      <w:lvlJc w:val="right"/>
      <w:pPr>
        <w:ind w:left="1833" w:hanging="180"/>
      </w:pPr>
    </w:lvl>
    <w:lvl w:ilvl="3" w:tplc="0402000F" w:tentative="1">
      <w:start w:val="1"/>
      <w:numFmt w:val="decimal"/>
      <w:lvlText w:val="%4."/>
      <w:lvlJc w:val="left"/>
      <w:pPr>
        <w:ind w:left="2553" w:hanging="360"/>
      </w:pPr>
    </w:lvl>
    <w:lvl w:ilvl="4" w:tplc="04020019" w:tentative="1">
      <w:start w:val="1"/>
      <w:numFmt w:val="lowerLetter"/>
      <w:lvlText w:val="%5."/>
      <w:lvlJc w:val="left"/>
      <w:pPr>
        <w:ind w:left="3273" w:hanging="360"/>
      </w:pPr>
    </w:lvl>
    <w:lvl w:ilvl="5" w:tplc="0402001B" w:tentative="1">
      <w:start w:val="1"/>
      <w:numFmt w:val="lowerRoman"/>
      <w:lvlText w:val="%6."/>
      <w:lvlJc w:val="right"/>
      <w:pPr>
        <w:ind w:left="3993" w:hanging="180"/>
      </w:pPr>
    </w:lvl>
    <w:lvl w:ilvl="6" w:tplc="0402000F" w:tentative="1">
      <w:start w:val="1"/>
      <w:numFmt w:val="decimal"/>
      <w:lvlText w:val="%7."/>
      <w:lvlJc w:val="left"/>
      <w:pPr>
        <w:ind w:left="4713" w:hanging="360"/>
      </w:pPr>
    </w:lvl>
    <w:lvl w:ilvl="7" w:tplc="04020019" w:tentative="1">
      <w:start w:val="1"/>
      <w:numFmt w:val="lowerLetter"/>
      <w:lvlText w:val="%8."/>
      <w:lvlJc w:val="left"/>
      <w:pPr>
        <w:ind w:left="5433" w:hanging="360"/>
      </w:pPr>
    </w:lvl>
    <w:lvl w:ilvl="8" w:tplc="0402001B" w:tentative="1">
      <w:start w:val="1"/>
      <w:numFmt w:val="lowerRoman"/>
      <w:lvlText w:val="%9."/>
      <w:lvlJc w:val="right"/>
      <w:pPr>
        <w:ind w:left="6153" w:hanging="180"/>
      </w:pPr>
    </w:lvl>
  </w:abstractNum>
  <w:abstractNum w:abstractNumId="45">
    <w:nsid w:val="770955BA"/>
    <w:multiLevelType w:val="hybridMultilevel"/>
    <w:tmpl w:val="4D0C49DC"/>
    <w:lvl w:ilvl="0" w:tplc="E96EC288">
      <w:start w:val="1"/>
      <w:numFmt w:val="decimal"/>
      <w:lvlText w:val="%1."/>
      <w:lvlJc w:val="left"/>
      <w:pPr>
        <w:ind w:left="720" w:hanging="360"/>
      </w:pPr>
      <w:rPr>
        <w:rFonts w:ascii="Times New Roman"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DD52DE2"/>
    <w:multiLevelType w:val="multilevel"/>
    <w:tmpl w:val="726C01A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9"/>
  </w:num>
  <w:num w:numId="2">
    <w:abstractNumId w:val="26"/>
  </w:num>
  <w:num w:numId="3">
    <w:abstractNumId w:val="23"/>
  </w:num>
  <w:num w:numId="4">
    <w:abstractNumId w:val="28"/>
  </w:num>
  <w:num w:numId="5">
    <w:abstractNumId w:val="19"/>
  </w:num>
  <w:num w:numId="6">
    <w:abstractNumId w:val="45"/>
  </w:num>
  <w:num w:numId="7">
    <w:abstractNumId w:val="20"/>
  </w:num>
  <w:num w:numId="8">
    <w:abstractNumId w:val="0"/>
  </w:num>
  <w:num w:numId="9">
    <w:abstractNumId w:val="11"/>
  </w:num>
  <w:num w:numId="10">
    <w:abstractNumId w:val="37"/>
  </w:num>
  <w:num w:numId="11">
    <w:abstractNumId w:val="36"/>
  </w:num>
  <w:num w:numId="12">
    <w:abstractNumId w:val="2"/>
  </w:num>
  <w:num w:numId="13">
    <w:abstractNumId w:val="33"/>
  </w:num>
  <w:num w:numId="14">
    <w:abstractNumId w:val="3"/>
  </w:num>
  <w:num w:numId="15">
    <w:abstractNumId w:val="12"/>
  </w:num>
  <w:num w:numId="16">
    <w:abstractNumId w:val="1"/>
  </w:num>
  <w:num w:numId="17">
    <w:abstractNumId w:val="43"/>
  </w:num>
  <w:num w:numId="18">
    <w:abstractNumId w:val="16"/>
  </w:num>
  <w:num w:numId="19">
    <w:abstractNumId w:val="6"/>
  </w:num>
  <w:num w:numId="20">
    <w:abstractNumId w:val="25"/>
  </w:num>
  <w:num w:numId="21">
    <w:abstractNumId w:val="44"/>
  </w:num>
  <w:num w:numId="22">
    <w:abstractNumId w:val="35"/>
  </w:num>
  <w:num w:numId="23">
    <w:abstractNumId w:val="17"/>
  </w:num>
  <w:num w:numId="24">
    <w:abstractNumId w:val="9"/>
  </w:num>
  <w:num w:numId="25">
    <w:abstractNumId w:val="42"/>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30"/>
  </w:num>
  <w:num w:numId="31">
    <w:abstractNumId w:val="38"/>
  </w:num>
  <w:num w:numId="32">
    <w:abstractNumId w:val="24"/>
  </w:num>
  <w:num w:numId="33">
    <w:abstractNumId w:val="21"/>
  </w:num>
  <w:num w:numId="34">
    <w:abstractNumId w:val="14"/>
  </w:num>
  <w:num w:numId="35">
    <w:abstractNumId w:val="40"/>
  </w:num>
  <w:num w:numId="36">
    <w:abstractNumId w:val="31"/>
  </w:num>
  <w:num w:numId="37">
    <w:abstractNumId w:val="27"/>
  </w:num>
  <w:num w:numId="38">
    <w:abstractNumId w:val="32"/>
  </w:num>
  <w:num w:numId="39">
    <w:abstractNumId w:val="7"/>
  </w:num>
  <w:num w:numId="40">
    <w:abstractNumId w:val="4"/>
  </w:num>
  <w:num w:numId="41">
    <w:abstractNumId w:val="22"/>
  </w:num>
  <w:num w:numId="42">
    <w:abstractNumId w:val="15"/>
  </w:num>
  <w:num w:numId="43">
    <w:abstractNumId w:val="5"/>
  </w:num>
  <w:num w:numId="44">
    <w:abstractNumId w:val="41"/>
  </w:num>
  <w:num w:numId="45">
    <w:abstractNumId w:val="29"/>
  </w:num>
  <w:num w:numId="46">
    <w:abstractNumId w:val="34"/>
  </w:num>
  <w:num w:numId="47">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65"/>
    <w:rsid w:val="00000028"/>
    <w:rsid w:val="000013D3"/>
    <w:rsid w:val="00002114"/>
    <w:rsid w:val="00002E83"/>
    <w:rsid w:val="0000327A"/>
    <w:rsid w:val="000038B7"/>
    <w:rsid w:val="00003C88"/>
    <w:rsid w:val="00004572"/>
    <w:rsid w:val="00006ECF"/>
    <w:rsid w:val="00011B13"/>
    <w:rsid w:val="00011F97"/>
    <w:rsid w:val="0001376E"/>
    <w:rsid w:val="00015BA7"/>
    <w:rsid w:val="00015D48"/>
    <w:rsid w:val="0001670C"/>
    <w:rsid w:val="000215C7"/>
    <w:rsid w:val="00021A21"/>
    <w:rsid w:val="00021AC8"/>
    <w:rsid w:val="0002206D"/>
    <w:rsid w:val="000224D1"/>
    <w:rsid w:val="00023538"/>
    <w:rsid w:val="00026AEB"/>
    <w:rsid w:val="00026D20"/>
    <w:rsid w:val="00027CEC"/>
    <w:rsid w:val="000331A6"/>
    <w:rsid w:val="00033715"/>
    <w:rsid w:val="0003372D"/>
    <w:rsid w:val="00035415"/>
    <w:rsid w:val="00035CF6"/>
    <w:rsid w:val="0004139B"/>
    <w:rsid w:val="0004188C"/>
    <w:rsid w:val="0004242E"/>
    <w:rsid w:val="000443E1"/>
    <w:rsid w:val="000455DF"/>
    <w:rsid w:val="00045FC5"/>
    <w:rsid w:val="00046D3F"/>
    <w:rsid w:val="00047290"/>
    <w:rsid w:val="000501B3"/>
    <w:rsid w:val="00050A70"/>
    <w:rsid w:val="000517FB"/>
    <w:rsid w:val="000518D3"/>
    <w:rsid w:val="00052916"/>
    <w:rsid w:val="00053314"/>
    <w:rsid w:val="00053DB9"/>
    <w:rsid w:val="00054A66"/>
    <w:rsid w:val="0005787B"/>
    <w:rsid w:val="00061CF1"/>
    <w:rsid w:val="0006265B"/>
    <w:rsid w:val="00062725"/>
    <w:rsid w:val="0006313F"/>
    <w:rsid w:val="00064050"/>
    <w:rsid w:val="00067131"/>
    <w:rsid w:val="00067C91"/>
    <w:rsid w:val="0007016E"/>
    <w:rsid w:val="000704F5"/>
    <w:rsid w:val="00073887"/>
    <w:rsid w:val="000745FB"/>
    <w:rsid w:val="00074997"/>
    <w:rsid w:val="00074E55"/>
    <w:rsid w:val="00075DB8"/>
    <w:rsid w:val="00076572"/>
    <w:rsid w:val="000849DC"/>
    <w:rsid w:val="00085679"/>
    <w:rsid w:val="00085761"/>
    <w:rsid w:val="00087681"/>
    <w:rsid w:val="00087AA6"/>
    <w:rsid w:val="0009323E"/>
    <w:rsid w:val="00093B44"/>
    <w:rsid w:val="00094A42"/>
    <w:rsid w:val="00095193"/>
    <w:rsid w:val="00096BE6"/>
    <w:rsid w:val="0009779B"/>
    <w:rsid w:val="00097B53"/>
    <w:rsid w:val="000A21FB"/>
    <w:rsid w:val="000A29AF"/>
    <w:rsid w:val="000A35D0"/>
    <w:rsid w:val="000A56FD"/>
    <w:rsid w:val="000A67DA"/>
    <w:rsid w:val="000B3934"/>
    <w:rsid w:val="000B3CAC"/>
    <w:rsid w:val="000B40C6"/>
    <w:rsid w:val="000B426B"/>
    <w:rsid w:val="000B48F9"/>
    <w:rsid w:val="000B49E4"/>
    <w:rsid w:val="000B545C"/>
    <w:rsid w:val="000B7240"/>
    <w:rsid w:val="000C1192"/>
    <w:rsid w:val="000C18D9"/>
    <w:rsid w:val="000C1D5F"/>
    <w:rsid w:val="000C247F"/>
    <w:rsid w:val="000C27AC"/>
    <w:rsid w:val="000C33CE"/>
    <w:rsid w:val="000C3D5B"/>
    <w:rsid w:val="000C4C26"/>
    <w:rsid w:val="000C571E"/>
    <w:rsid w:val="000C60F9"/>
    <w:rsid w:val="000C6A12"/>
    <w:rsid w:val="000C7FD6"/>
    <w:rsid w:val="000D1B68"/>
    <w:rsid w:val="000D2279"/>
    <w:rsid w:val="000D2371"/>
    <w:rsid w:val="000D2F8E"/>
    <w:rsid w:val="000D30B4"/>
    <w:rsid w:val="000D336E"/>
    <w:rsid w:val="000D3719"/>
    <w:rsid w:val="000D4801"/>
    <w:rsid w:val="000D5BE7"/>
    <w:rsid w:val="000D5CFC"/>
    <w:rsid w:val="000D61B0"/>
    <w:rsid w:val="000D6BCF"/>
    <w:rsid w:val="000D75C8"/>
    <w:rsid w:val="000D76C4"/>
    <w:rsid w:val="000E0511"/>
    <w:rsid w:val="000E41D0"/>
    <w:rsid w:val="000E5B9B"/>
    <w:rsid w:val="000E61E1"/>
    <w:rsid w:val="000F03FC"/>
    <w:rsid w:val="000F0C3B"/>
    <w:rsid w:val="000F1102"/>
    <w:rsid w:val="000F2FC0"/>
    <w:rsid w:val="000F5038"/>
    <w:rsid w:val="000F7ED0"/>
    <w:rsid w:val="001005B1"/>
    <w:rsid w:val="00100EDB"/>
    <w:rsid w:val="001021E9"/>
    <w:rsid w:val="00104316"/>
    <w:rsid w:val="001076A0"/>
    <w:rsid w:val="00110451"/>
    <w:rsid w:val="00110A97"/>
    <w:rsid w:val="00111D03"/>
    <w:rsid w:val="001120D2"/>
    <w:rsid w:val="001125B1"/>
    <w:rsid w:val="00112DBF"/>
    <w:rsid w:val="001138B8"/>
    <w:rsid w:val="00114730"/>
    <w:rsid w:val="00114901"/>
    <w:rsid w:val="0011507B"/>
    <w:rsid w:val="001157A2"/>
    <w:rsid w:val="00116331"/>
    <w:rsid w:val="0012042B"/>
    <w:rsid w:val="00120BD0"/>
    <w:rsid w:val="00121CB9"/>
    <w:rsid w:val="00122B4D"/>
    <w:rsid w:val="00123DCC"/>
    <w:rsid w:val="00124CED"/>
    <w:rsid w:val="001306EC"/>
    <w:rsid w:val="0013083F"/>
    <w:rsid w:val="00130FC5"/>
    <w:rsid w:val="001313AD"/>
    <w:rsid w:val="001315AC"/>
    <w:rsid w:val="00133C3B"/>
    <w:rsid w:val="00135AF4"/>
    <w:rsid w:val="001361C6"/>
    <w:rsid w:val="001363FB"/>
    <w:rsid w:val="001427E3"/>
    <w:rsid w:val="00143ECC"/>
    <w:rsid w:val="0014421A"/>
    <w:rsid w:val="00145F7D"/>
    <w:rsid w:val="001477A0"/>
    <w:rsid w:val="00151B10"/>
    <w:rsid w:val="00152213"/>
    <w:rsid w:val="00154AEE"/>
    <w:rsid w:val="001551A5"/>
    <w:rsid w:val="00155A1B"/>
    <w:rsid w:val="00160020"/>
    <w:rsid w:val="00161165"/>
    <w:rsid w:val="00161301"/>
    <w:rsid w:val="00162242"/>
    <w:rsid w:val="00162701"/>
    <w:rsid w:val="001629F9"/>
    <w:rsid w:val="00162F76"/>
    <w:rsid w:val="00163006"/>
    <w:rsid w:val="00163015"/>
    <w:rsid w:val="0016339D"/>
    <w:rsid w:val="00163E4E"/>
    <w:rsid w:val="00164615"/>
    <w:rsid w:val="00166EE5"/>
    <w:rsid w:val="00167A09"/>
    <w:rsid w:val="0017104E"/>
    <w:rsid w:val="0017308A"/>
    <w:rsid w:val="00174C27"/>
    <w:rsid w:val="00175098"/>
    <w:rsid w:val="001758E9"/>
    <w:rsid w:val="00175F43"/>
    <w:rsid w:val="00180632"/>
    <w:rsid w:val="00182C22"/>
    <w:rsid w:val="00182F17"/>
    <w:rsid w:val="00183D9A"/>
    <w:rsid w:val="00184066"/>
    <w:rsid w:val="0018464A"/>
    <w:rsid w:val="001848DA"/>
    <w:rsid w:val="001859B1"/>
    <w:rsid w:val="00185DDB"/>
    <w:rsid w:val="001863F5"/>
    <w:rsid w:val="0018668B"/>
    <w:rsid w:val="00187472"/>
    <w:rsid w:val="00187AC7"/>
    <w:rsid w:val="00190846"/>
    <w:rsid w:val="00192076"/>
    <w:rsid w:val="001947C2"/>
    <w:rsid w:val="00195244"/>
    <w:rsid w:val="001967C5"/>
    <w:rsid w:val="0019750B"/>
    <w:rsid w:val="00197706"/>
    <w:rsid w:val="001A0FF9"/>
    <w:rsid w:val="001A11EB"/>
    <w:rsid w:val="001A20C2"/>
    <w:rsid w:val="001A28D2"/>
    <w:rsid w:val="001A297C"/>
    <w:rsid w:val="001A41B7"/>
    <w:rsid w:val="001A42A4"/>
    <w:rsid w:val="001A6F91"/>
    <w:rsid w:val="001B0B49"/>
    <w:rsid w:val="001B0CEF"/>
    <w:rsid w:val="001B1176"/>
    <w:rsid w:val="001B20F9"/>
    <w:rsid w:val="001B28D6"/>
    <w:rsid w:val="001B2B50"/>
    <w:rsid w:val="001B3AC9"/>
    <w:rsid w:val="001B61D7"/>
    <w:rsid w:val="001B77F8"/>
    <w:rsid w:val="001C0150"/>
    <w:rsid w:val="001C0E4B"/>
    <w:rsid w:val="001C21EB"/>
    <w:rsid w:val="001C36F6"/>
    <w:rsid w:val="001C3D08"/>
    <w:rsid w:val="001C6402"/>
    <w:rsid w:val="001C68E2"/>
    <w:rsid w:val="001C7840"/>
    <w:rsid w:val="001D3FAA"/>
    <w:rsid w:val="001D417A"/>
    <w:rsid w:val="001D64A2"/>
    <w:rsid w:val="001D6F21"/>
    <w:rsid w:val="001D7079"/>
    <w:rsid w:val="001E3710"/>
    <w:rsid w:val="001E5BAB"/>
    <w:rsid w:val="001E5C54"/>
    <w:rsid w:val="001E618F"/>
    <w:rsid w:val="001E6E1F"/>
    <w:rsid w:val="001E6E9E"/>
    <w:rsid w:val="001E74C3"/>
    <w:rsid w:val="001E76CB"/>
    <w:rsid w:val="001F1E77"/>
    <w:rsid w:val="001F27A6"/>
    <w:rsid w:val="001F402D"/>
    <w:rsid w:val="001F4289"/>
    <w:rsid w:val="001F4346"/>
    <w:rsid w:val="001F50BE"/>
    <w:rsid w:val="001F5AF9"/>
    <w:rsid w:val="001F5FDD"/>
    <w:rsid w:val="001F6B85"/>
    <w:rsid w:val="00200850"/>
    <w:rsid w:val="00200CA8"/>
    <w:rsid w:val="00200CD0"/>
    <w:rsid w:val="00201F1D"/>
    <w:rsid w:val="0020234D"/>
    <w:rsid w:val="002024BE"/>
    <w:rsid w:val="00206DCE"/>
    <w:rsid w:val="00210067"/>
    <w:rsid w:val="0021015B"/>
    <w:rsid w:val="00210906"/>
    <w:rsid w:val="002109E9"/>
    <w:rsid w:val="00211F71"/>
    <w:rsid w:val="002120A5"/>
    <w:rsid w:val="002127BE"/>
    <w:rsid w:val="002146AD"/>
    <w:rsid w:val="002152A2"/>
    <w:rsid w:val="0021676B"/>
    <w:rsid w:val="0021780D"/>
    <w:rsid w:val="00217FD1"/>
    <w:rsid w:val="002206F5"/>
    <w:rsid w:val="0022090E"/>
    <w:rsid w:val="00221619"/>
    <w:rsid w:val="00221DF1"/>
    <w:rsid w:val="002240D7"/>
    <w:rsid w:val="00226CC8"/>
    <w:rsid w:val="00227112"/>
    <w:rsid w:val="00227171"/>
    <w:rsid w:val="00227469"/>
    <w:rsid w:val="002274EE"/>
    <w:rsid w:val="00227779"/>
    <w:rsid w:val="00227C91"/>
    <w:rsid w:val="002300CD"/>
    <w:rsid w:val="00232B6B"/>
    <w:rsid w:val="00234AAA"/>
    <w:rsid w:val="0023516B"/>
    <w:rsid w:val="00235A43"/>
    <w:rsid w:val="00240C97"/>
    <w:rsid w:val="00242270"/>
    <w:rsid w:val="00242C6E"/>
    <w:rsid w:val="002440E9"/>
    <w:rsid w:val="00244DBC"/>
    <w:rsid w:val="00245379"/>
    <w:rsid w:val="002477CD"/>
    <w:rsid w:val="00247F46"/>
    <w:rsid w:val="00251258"/>
    <w:rsid w:val="002520C6"/>
    <w:rsid w:val="0025301E"/>
    <w:rsid w:val="00254423"/>
    <w:rsid w:val="002550D1"/>
    <w:rsid w:val="002551DE"/>
    <w:rsid w:val="00255347"/>
    <w:rsid w:val="0025579B"/>
    <w:rsid w:val="00257C2D"/>
    <w:rsid w:val="00260691"/>
    <w:rsid w:val="00261756"/>
    <w:rsid w:val="002625B8"/>
    <w:rsid w:val="00262A8B"/>
    <w:rsid w:val="00263616"/>
    <w:rsid w:val="00264F6E"/>
    <w:rsid w:val="002650DA"/>
    <w:rsid w:val="00267388"/>
    <w:rsid w:val="00270A93"/>
    <w:rsid w:val="0027124D"/>
    <w:rsid w:val="00271C8D"/>
    <w:rsid w:val="00271C9E"/>
    <w:rsid w:val="00280428"/>
    <w:rsid w:val="002831A0"/>
    <w:rsid w:val="0028334B"/>
    <w:rsid w:val="002845B2"/>
    <w:rsid w:val="00285A34"/>
    <w:rsid w:val="002872A4"/>
    <w:rsid w:val="0029062A"/>
    <w:rsid w:val="00292329"/>
    <w:rsid w:val="00293F12"/>
    <w:rsid w:val="002965C3"/>
    <w:rsid w:val="002979DD"/>
    <w:rsid w:val="00297B52"/>
    <w:rsid w:val="002A174B"/>
    <w:rsid w:val="002A1B71"/>
    <w:rsid w:val="002A2488"/>
    <w:rsid w:val="002A3421"/>
    <w:rsid w:val="002B0FEC"/>
    <w:rsid w:val="002B1D02"/>
    <w:rsid w:val="002B2C27"/>
    <w:rsid w:val="002B3110"/>
    <w:rsid w:val="002B58B7"/>
    <w:rsid w:val="002B59F2"/>
    <w:rsid w:val="002B69E5"/>
    <w:rsid w:val="002C0344"/>
    <w:rsid w:val="002C03B1"/>
    <w:rsid w:val="002C1FB6"/>
    <w:rsid w:val="002C2156"/>
    <w:rsid w:val="002C21D3"/>
    <w:rsid w:val="002C3045"/>
    <w:rsid w:val="002C32D7"/>
    <w:rsid w:val="002C5AA0"/>
    <w:rsid w:val="002C7BA6"/>
    <w:rsid w:val="002D5C4E"/>
    <w:rsid w:val="002D69BA"/>
    <w:rsid w:val="002D6E61"/>
    <w:rsid w:val="002D7C33"/>
    <w:rsid w:val="002E1D05"/>
    <w:rsid w:val="002E2191"/>
    <w:rsid w:val="002E241F"/>
    <w:rsid w:val="002E3826"/>
    <w:rsid w:val="002E4EE0"/>
    <w:rsid w:val="002E57C0"/>
    <w:rsid w:val="002E649D"/>
    <w:rsid w:val="002E7230"/>
    <w:rsid w:val="002E79BC"/>
    <w:rsid w:val="002F07A3"/>
    <w:rsid w:val="002F1B67"/>
    <w:rsid w:val="002F1D24"/>
    <w:rsid w:val="002F2848"/>
    <w:rsid w:val="002F2E6E"/>
    <w:rsid w:val="002F3AE0"/>
    <w:rsid w:val="002F49D4"/>
    <w:rsid w:val="002F6771"/>
    <w:rsid w:val="0030009D"/>
    <w:rsid w:val="00301436"/>
    <w:rsid w:val="00301800"/>
    <w:rsid w:val="00301BD4"/>
    <w:rsid w:val="0030205E"/>
    <w:rsid w:val="0030227D"/>
    <w:rsid w:val="003035B1"/>
    <w:rsid w:val="00303718"/>
    <w:rsid w:val="00305ED5"/>
    <w:rsid w:val="00307AFE"/>
    <w:rsid w:val="00313022"/>
    <w:rsid w:val="003131B1"/>
    <w:rsid w:val="0031342D"/>
    <w:rsid w:val="0031595F"/>
    <w:rsid w:val="003165B7"/>
    <w:rsid w:val="00316843"/>
    <w:rsid w:val="003172EE"/>
    <w:rsid w:val="003174B6"/>
    <w:rsid w:val="00317B31"/>
    <w:rsid w:val="00317BBB"/>
    <w:rsid w:val="00320895"/>
    <w:rsid w:val="00323190"/>
    <w:rsid w:val="0032432A"/>
    <w:rsid w:val="00324769"/>
    <w:rsid w:val="003256AF"/>
    <w:rsid w:val="00326AC4"/>
    <w:rsid w:val="00327E48"/>
    <w:rsid w:val="00331736"/>
    <w:rsid w:val="00331B26"/>
    <w:rsid w:val="00334438"/>
    <w:rsid w:val="00336B17"/>
    <w:rsid w:val="0033797D"/>
    <w:rsid w:val="003423D9"/>
    <w:rsid w:val="0034419C"/>
    <w:rsid w:val="00344A4D"/>
    <w:rsid w:val="00346511"/>
    <w:rsid w:val="00346D47"/>
    <w:rsid w:val="00346E2D"/>
    <w:rsid w:val="003476EF"/>
    <w:rsid w:val="003507EA"/>
    <w:rsid w:val="003522C5"/>
    <w:rsid w:val="00352E5B"/>
    <w:rsid w:val="00354331"/>
    <w:rsid w:val="00355566"/>
    <w:rsid w:val="00355A01"/>
    <w:rsid w:val="003562E8"/>
    <w:rsid w:val="00357324"/>
    <w:rsid w:val="0035732E"/>
    <w:rsid w:val="00360373"/>
    <w:rsid w:val="00360C11"/>
    <w:rsid w:val="003620FA"/>
    <w:rsid w:val="00362319"/>
    <w:rsid w:val="003646E8"/>
    <w:rsid w:val="00364946"/>
    <w:rsid w:val="003668F5"/>
    <w:rsid w:val="00367541"/>
    <w:rsid w:val="00371FF2"/>
    <w:rsid w:val="00373A80"/>
    <w:rsid w:val="0037424F"/>
    <w:rsid w:val="00374921"/>
    <w:rsid w:val="0037517D"/>
    <w:rsid w:val="003766DF"/>
    <w:rsid w:val="00376855"/>
    <w:rsid w:val="00376CE6"/>
    <w:rsid w:val="00380A85"/>
    <w:rsid w:val="00381B05"/>
    <w:rsid w:val="003825A8"/>
    <w:rsid w:val="00382A42"/>
    <w:rsid w:val="00383A94"/>
    <w:rsid w:val="003904AF"/>
    <w:rsid w:val="00390E1D"/>
    <w:rsid w:val="00391304"/>
    <w:rsid w:val="003958EB"/>
    <w:rsid w:val="00397D87"/>
    <w:rsid w:val="003A12A5"/>
    <w:rsid w:val="003A30DE"/>
    <w:rsid w:val="003A44D0"/>
    <w:rsid w:val="003A502E"/>
    <w:rsid w:val="003A57E7"/>
    <w:rsid w:val="003A6B65"/>
    <w:rsid w:val="003A7000"/>
    <w:rsid w:val="003A730C"/>
    <w:rsid w:val="003A7D85"/>
    <w:rsid w:val="003B3965"/>
    <w:rsid w:val="003B39CD"/>
    <w:rsid w:val="003B54A0"/>
    <w:rsid w:val="003B555B"/>
    <w:rsid w:val="003B5792"/>
    <w:rsid w:val="003B5F41"/>
    <w:rsid w:val="003B6A75"/>
    <w:rsid w:val="003C4ECF"/>
    <w:rsid w:val="003C5339"/>
    <w:rsid w:val="003C6ADA"/>
    <w:rsid w:val="003C7481"/>
    <w:rsid w:val="003D0691"/>
    <w:rsid w:val="003D1B9E"/>
    <w:rsid w:val="003D26CE"/>
    <w:rsid w:val="003D2A5D"/>
    <w:rsid w:val="003D47F2"/>
    <w:rsid w:val="003D5E4A"/>
    <w:rsid w:val="003D65DD"/>
    <w:rsid w:val="003E123F"/>
    <w:rsid w:val="003E18D6"/>
    <w:rsid w:val="003E1913"/>
    <w:rsid w:val="003E19A6"/>
    <w:rsid w:val="003E2249"/>
    <w:rsid w:val="003E296C"/>
    <w:rsid w:val="003E2D27"/>
    <w:rsid w:val="003E3756"/>
    <w:rsid w:val="003E40ED"/>
    <w:rsid w:val="003E448F"/>
    <w:rsid w:val="003E4FDA"/>
    <w:rsid w:val="003E5472"/>
    <w:rsid w:val="003E68A0"/>
    <w:rsid w:val="003E6FFF"/>
    <w:rsid w:val="003F0FEF"/>
    <w:rsid w:val="003F15DB"/>
    <w:rsid w:val="003F48D6"/>
    <w:rsid w:val="003F592D"/>
    <w:rsid w:val="003F69C6"/>
    <w:rsid w:val="003F7802"/>
    <w:rsid w:val="004012F2"/>
    <w:rsid w:val="004017A2"/>
    <w:rsid w:val="00403298"/>
    <w:rsid w:val="00403F7F"/>
    <w:rsid w:val="004056B7"/>
    <w:rsid w:val="004058A7"/>
    <w:rsid w:val="00406016"/>
    <w:rsid w:val="00406F42"/>
    <w:rsid w:val="0041094F"/>
    <w:rsid w:val="004123C6"/>
    <w:rsid w:val="0041306C"/>
    <w:rsid w:val="00413A00"/>
    <w:rsid w:val="004144F3"/>
    <w:rsid w:val="0041519F"/>
    <w:rsid w:val="00415BB7"/>
    <w:rsid w:val="004161F9"/>
    <w:rsid w:val="00416876"/>
    <w:rsid w:val="0041780E"/>
    <w:rsid w:val="004178B7"/>
    <w:rsid w:val="0042024B"/>
    <w:rsid w:val="004210AA"/>
    <w:rsid w:val="00421720"/>
    <w:rsid w:val="00421FE9"/>
    <w:rsid w:val="00422709"/>
    <w:rsid w:val="00423500"/>
    <w:rsid w:val="00423FAE"/>
    <w:rsid w:val="00424726"/>
    <w:rsid w:val="00425260"/>
    <w:rsid w:val="004259DF"/>
    <w:rsid w:val="00427338"/>
    <w:rsid w:val="00427B48"/>
    <w:rsid w:val="00427C6B"/>
    <w:rsid w:val="00431865"/>
    <w:rsid w:val="004347E3"/>
    <w:rsid w:val="00435477"/>
    <w:rsid w:val="00435E83"/>
    <w:rsid w:val="00435F70"/>
    <w:rsid w:val="0044139E"/>
    <w:rsid w:val="00442CA0"/>
    <w:rsid w:val="004433A3"/>
    <w:rsid w:val="00445B8C"/>
    <w:rsid w:val="00446BE3"/>
    <w:rsid w:val="004508FB"/>
    <w:rsid w:val="00454100"/>
    <w:rsid w:val="004560BD"/>
    <w:rsid w:val="00456CD9"/>
    <w:rsid w:val="004578F8"/>
    <w:rsid w:val="004579C9"/>
    <w:rsid w:val="004600BC"/>
    <w:rsid w:val="00460155"/>
    <w:rsid w:val="00460D30"/>
    <w:rsid w:val="00460D8B"/>
    <w:rsid w:val="004610CA"/>
    <w:rsid w:val="00462633"/>
    <w:rsid w:val="0046316D"/>
    <w:rsid w:val="00464D50"/>
    <w:rsid w:val="00465CD2"/>
    <w:rsid w:val="0046625A"/>
    <w:rsid w:val="00466C0B"/>
    <w:rsid w:val="00467007"/>
    <w:rsid w:val="004672B6"/>
    <w:rsid w:val="00467968"/>
    <w:rsid w:val="00467F55"/>
    <w:rsid w:val="0047265C"/>
    <w:rsid w:val="004727B1"/>
    <w:rsid w:val="004727B4"/>
    <w:rsid w:val="00472DFB"/>
    <w:rsid w:val="00475C2A"/>
    <w:rsid w:val="00476F51"/>
    <w:rsid w:val="00477531"/>
    <w:rsid w:val="0047761F"/>
    <w:rsid w:val="00480E95"/>
    <w:rsid w:val="004824F2"/>
    <w:rsid w:val="00482859"/>
    <w:rsid w:val="00482A72"/>
    <w:rsid w:val="00483223"/>
    <w:rsid w:val="00483FB6"/>
    <w:rsid w:val="0048421B"/>
    <w:rsid w:val="00485CD6"/>
    <w:rsid w:val="0048775A"/>
    <w:rsid w:val="00490567"/>
    <w:rsid w:val="00490C07"/>
    <w:rsid w:val="00491148"/>
    <w:rsid w:val="004915D4"/>
    <w:rsid w:val="0049332D"/>
    <w:rsid w:val="0049396E"/>
    <w:rsid w:val="00493AE5"/>
    <w:rsid w:val="00495C90"/>
    <w:rsid w:val="004962C2"/>
    <w:rsid w:val="004971EB"/>
    <w:rsid w:val="00497656"/>
    <w:rsid w:val="004977DE"/>
    <w:rsid w:val="00497C9E"/>
    <w:rsid w:val="00497D74"/>
    <w:rsid w:val="004A34FA"/>
    <w:rsid w:val="004A3A22"/>
    <w:rsid w:val="004A48C4"/>
    <w:rsid w:val="004A5077"/>
    <w:rsid w:val="004A704A"/>
    <w:rsid w:val="004A74F2"/>
    <w:rsid w:val="004B03A3"/>
    <w:rsid w:val="004B1780"/>
    <w:rsid w:val="004B23CA"/>
    <w:rsid w:val="004B71B8"/>
    <w:rsid w:val="004C1087"/>
    <w:rsid w:val="004C19CB"/>
    <w:rsid w:val="004C19D7"/>
    <w:rsid w:val="004C1C0C"/>
    <w:rsid w:val="004C1C41"/>
    <w:rsid w:val="004C3CD6"/>
    <w:rsid w:val="004C6A5D"/>
    <w:rsid w:val="004C6BB3"/>
    <w:rsid w:val="004D1FAA"/>
    <w:rsid w:val="004D225A"/>
    <w:rsid w:val="004D2BB5"/>
    <w:rsid w:val="004D2E02"/>
    <w:rsid w:val="004D59E0"/>
    <w:rsid w:val="004D5A22"/>
    <w:rsid w:val="004D6D8D"/>
    <w:rsid w:val="004E08F6"/>
    <w:rsid w:val="004E159F"/>
    <w:rsid w:val="004E2C53"/>
    <w:rsid w:val="004E4360"/>
    <w:rsid w:val="004E6135"/>
    <w:rsid w:val="004E7C24"/>
    <w:rsid w:val="004F07B8"/>
    <w:rsid w:val="004F2371"/>
    <w:rsid w:val="004F24F4"/>
    <w:rsid w:val="004F26B4"/>
    <w:rsid w:val="004F2A08"/>
    <w:rsid w:val="004F386B"/>
    <w:rsid w:val="004F63CC"/>
    <w:rsid w:val="00502E41"/>
    <w:rsid w:val="00502F92"/>
    <w:rsid w:val="00503BE3"/>
    <w:rsid w:val="00503F6A"/>
    <w:rsid w:val="0050527C"/>
    <w:rsid w:val="005057A3"/>
    <w:rsid w:val="00505BCD"/>
    <w:rsid w:val="005065F3"/>
    <w:rsid w:val="00507545"/>
    <w:rsid w:val="005076D9"/>
    <w:rsid w:val="005076E2"/>
    <w:rsid w:val="00510141"/>
    <w:rsid w:val="0051187D"/>
    <w:rsid w:val="00514B45"/>
    <w:rsid w:val="00514EEB"/>
    <w:rsid w:val="00515425"/>
    <w:rsid w:val="00516CDE"/>
    <w:rsid w:val="00520CE1"/>
    <w:rsid w:val="005212F8"/>
    <w:rsid w:val="00521908"/>
    <w:rsid w:val="00522D49"/>
    <w:rsid w:val="0052364C"/>
    <w:rsid w:val="0052403C"/>
    <w:rsid w:val="00524422"/>
    <w:rsid w:val="00524617"/>
    <w:rsid w:val="00524B52"/>
    <w:rsid w:val="00525A68"/>
    <w:rsid w:val="0052686E"/>
    <w:rsid w:val="00527F4F"/>
    <w:rsid w:val="00531EEB"/>
    <w:rsid w:val="00532A2A"/>
    <w:rsid w:val="00532CD2"/>
    <w:rsid w:val="00533C80"/>
    <w:rsid w:val="00533D29"/>
    <w:rsid w:val="00534DE9"/>
    <w:rsid w:val="00535E03"/>
    <w:rsid w:val="0053627A"/>
    <w:rsid w:val="005412A1"/>
    <w:rsid w:val="00542818"/>
    <w:rsid w:val="005442FE"/>
    <w:rsid w:val="00545FF5"/>
    <w:rsid w:val="00546762"/>
    <w:rsid w:val="005469D5"/>
    <w:rsid w:val="005521A5"/>
    <w:rsid w:val="00552DFB"/>
    <w:rsid w:val="00553575"/>
    <w:rsid w:val="00555EA3"/>
    <w:rsid w:val="0056024A"/>
    <w:rsid w:val="00561244"/>
    <w:rsid w:val="00562620"/>
    <w:rsid w:val="00562808"/>
    <w:rsid w:val="0056488C"/>
    <w:rsid w:val="00564E74"/>
    <w:rsid w:val="00565BF8"/>
    <w:rsid w:val="00565DDC"/>
    <w:rsid w:val="005668CE"/>
    <w:rsid w:val="005671C1"/>
    <w:rsid w:val="00570848"/>
    <w:rsid w:val="00570EA1"/>
    <w:rsid w:val="00573548"/>
    <w:rsid w:val="005742B1"/>
    <w:rsid w:val="00576773"/>
    <w:rsid w:val="00577B00"/>
    <w:rsid w:val="005815AD"/>
    <w:rsid w:val="00581747"/>
    <w:rsid w:val="00581B9D"/>
    <w:rsid w:val="0058292E"/>
    <w:rsid w:val="005842A3"/>
    <w:rsid w:val="00584582"/>
    <w:rsid w:val="005846D0"/>
    <w:rsid w:val="00586804"/>
    <w:rsid w:val="00586C59"/>
    <w:rsid w:val="005906C0"/>
    <w:rsid w:val="005908C7"/>
    <w:rsid w:val="00591B01"/>
    <w:rsid w:val="00591F28"/>
    <w:rsid w:val="0059249E"/>
    <w:rsid w:val="005924F5"/>
    <w:rsid w:val="00592971"/>
    <w:rsid w:val="005930D6"/>
    <w:rsid w:val="00593DDB"/>
    <w:rsid w:val="00593DE5"/>
    <w:rsid w:val="00595EC1"/>
    <w:rsid w:val="00596D98"/>
    <w:rsid w:val="005A2614"/>
    <w:rsid w:val="005A2EE9"/>
    <w:rsid w:val="005A4BDD"/>
    <w:rsid w:val="005A5013"/>
    <w:rsid w:val="005A51EC"/>
    <w:rsid w:val="005B01EC"/>
    <w:rsid w:val="005B0E45"/>
    <w:rsid w:val="005B1104"/>
    <w:rsid w:val="005B1293"/>
    <w:rsid w:val="005B27CE"/>
    <w:rsid w:val="005B4E84"/>
    <w:rsid w:val="005C61A1"/>
    <w:rsid w:val="005C668A"/>
    <w:rsid w:val="005C6A16"/>
    <w:rsid w:val="005C75C8"/>
    <w:rsid w:val="005D07FE"/>
    <w:rsid w:val="005D2DD2"/>
    <w:rsid w:val="005D3703"/>
    <w:rsid w:val="005D3DBF"/>
    <w:rsid w:val="005D7073"/>
    <w:rsid w:val="005D713B"/>
    <w:rsid w:val="005E38A7"/>
    <w:rsid w:val="005E6DA0"/>
    <w:rsid w:val="005E6E8A"/>
    <w:rsid w:val="005E7EC9"/>
    <w:rsid w:val="005F24B4"/>
    <w:rsid w:val="005F29A5"/>
    <w:rsid w:val="005F43BC"/>
    <w:rsid w:val="005F5935"/>
    <w:rsid w:val="005F600A"/>
    <w:rsid w:val="00602286"/>
    <w:rsid w:val="0060355B"/>
    <w:rsid w:val="00604B48"/>
    <w:rsid w:val="00605B2E"/>
    <w:rsid w:val="00607560"/>
    <w:rsid w:val="006102AE"/>
    <w:rsid w:val="00611093"/>
    <w:rsid w:val="006118C1"/>
    <w:rsid w:val="00613690"/>
    <w:rsid w:val="00615AC0"/>
    <w:rsid w:val="006160A4"/>
    <w:rsid w:val="00616D1F"/>
    <w:rsid w:val="0062316E"/>
    <w:rsid w:val="0062499D"/>
    <w:rsid w:val="00626516"/>
    <w:rsid w:val="00632785"/>
    <w:rsid w:val="00632F3D"/>
    <w:rsid w:val="00635B80"/>
    <w:rsid w:val="0063727E"/>
    <w:rsid w:val="00637CD0"/>
    <w:rsid w:val="00641054"/>
    <w:rsid w:val="00641FC8"/>
    <w:rsid w:val="006421EA"/>
    <w:rsid w:val="006428D4"/>
    <w:rsid w:val="00642A4A"/>
    <w:rsid w:val="006442D9"/>
    <w:rsid w:val="0064497A"/>
    <w:rsid w:val="00645AD2"/>
    <w:rsid w:val="0064672B"/>
    <w:rsid w:val="00647EFA"/>
    <w:rsid w:val="00650574"/>
    <w:rsid w:val="006513E0"/>
    <w:rsid w:val="00652C42"/>
    <w:rsid w:val="006533DB"/>
    <w:rsid w:val="00653D92"/>
    <w:rsid w:val="0065494E"/>
    <w:rsid w:val="00655436"/>
    <w:rsid w:val="006561B2"/>
    <w:rsid w:val="00656246"/>
    <w:rsid w:val="0065633E"/>
    <w:rsid w:val="00657307"/>
    <w:rsid w:val="006575D4"/>
    <w:rsid w:val="00660040"/>
    <w:rsid w:val="00663792"/>
    <w:rsid w:val="00667BC9"/>
    <w:rsid w:val="0067295F"/>
    <w:rsid w:val="006729C7"/>
    <w:rsid w:val="00672D58"/>
    <w:rsid w:val="006752D6"/>
    <w:rsid w:val="00675562"/>
    <w:rsid w:val="00675B7A"/>
    <w:rsid w:val="00675BE3"/>
    <w:rsid w:val="00676FF6"/>
    <w:rsid w:val="00683AD9"/>
    <w:rsid w:val="00684918"/>
    <w:rsid w:val="006857A8"/>
    <w:rsid w:val="00686C91"/>
    <w:rsid w:val="00692A94"/>
    <w:rsid w:val="006945A9"/>
    <w:rsid w:val="00695172"/>
    <w:rsid w:val="00695F7E"/>
    <w:rsid w:val="006965E0"/>
    <w:rsid w:val="0069673C"/>
    <w:rsid w:val="0069774F"/>
    <w:rsid w:val="006A02F5"/>
    <w:rsid w:val="006A08C0"/>
    <w:rsid w:val="006A0A4F"/>
    <w:rsid w:val="006A3061"/>
    <w:rsid w:val="006A34AB"/>
    <w:rsid w:val="006A38D6"/>
    <w:rsid w:val="006A5E5B"/>
    <w:rsid w:val="006A662C"/>
    <w:rsid w:val="006A78FB"/>
    <w:rsid w:val="006B015E"/>
    <w:rsid w:val="006B0D4E"/>
    <w:rsid w:val="006B61AB"/>
    <w:rsid w:val="006B6E7B"/>
    <w:rsid w:val="006C0D7B"/>
    <w:rsid w:val="006C13E9"/>
    <w:rsid w:val="006C2D91"/>
    <w:rsid w:val="006C358C"/>
    <w:rsid w:val="006C40CD"/>
    <w:rsid w:val="006C6282"/>
    <w:rsid w:val="006D165F"/>
    <w:rsid w:val="006D3920"/>
    <w:rsid w:val="006D3E19"/>
    <w:rsid w:val="006D52CF"/>
    <w:rsid w:val="006D5BDD"/>
    <w:rsid w:val="006D647B"/>
    <w:rsid w:val="006D6D39"/>
    <w:rsid w:val="006E1254"/>
    <w:rsid w:val="006E3C61"/>
    <w:rsid w:val="006E69DE"/>
    <w:rsid w:val="006F1A9B"/>
    <w:rsid w:val="006F2A17"/>
    <w:rsid w:val="006F2BB8"/>
    <w:rsid w:val="006F3D3E"/>
    <w:rsid w:val="006F487D"/>
    <w:rsid w:val="006F492A"/>
    <w:rsid w:val="006F6E4A"/>
    <w:rsid w:val="006F6FED"/>
    <w:rsid w:val="006F7D83"/>
    <w:rsid w:val="00702232"/>
    <w:rsid w:val="00703A80"/>
    <w:rsid w:val="00704C91"/>
    <w:rsid w:val="00705FB3"/>
    <w:rsid w:val="0070603B"/>
    <w:rsid w:val="00706DCD"/>
    <w:rsid w:val="0070771E"/>
    <w:rsid w:val="007106E5"/>
    <w:rsid w:val="0071074D"/>
    <w:rsid w:val="00710E6A"/>
    <w:rsid w:val="0071116C"/>
    <w:rsid w:val="007125B2"/>
    <w:rsid w:val="00714F6C"/>
    <w:rsid w:val="00715354"/>
    <w:rsid w:val="007155A5"/>
    <w:rsid w:val="00715F49"/>
    <w:rsid w:val="0071777F"/>
    <w:rsid w:val="007213AA"/>
    <w:rsid w:val="0072167A"/>
    <w:rsid w:val="00721DC5"/>
    <w:rsid w:val="00722BC1"/>
    <w:rsid w:val="00723D68"/>
    <w:rsid w:val="00724607"/>
    <w:rsid w:val="00724640"/>
    <w:rsid w:val="00726ED1"/>
    <w:rsid w:val="00727B69"/>
    <w:rsid w:val="0073051E"/>
    <w:rsid w:val="00733178"/>
    <w:rsid w:val="00733DAC"/>
    <w:rsid w:val="00733F0F"/>
    <w:rsid w:val="00737509"/>
    <w:rsid w:val="0073778F"/>
    <w:rsid w:val="00737A7E"/>
    <w:rsid w:val="0074053E"/>
    <w:rsid w:val="00740559"/>
    <w:rsid w:val="007409BD"/>
    <w:rsid w:val="00741B63"/>
    <w:rsid w:val="00744391"/>
    <w:rsid w:val="007451B6"/>
    <w:rsid w:val="00746A38"/>
    <w:rsid w:val="00746CB0"/>
    <w:rsid w:val="0074741E"/>
    <w:rsid w:val="00747B6A"/>
    <w:rsid w:val="00751653"/>
    <w:rsid w:val="00751A65"/>
    <w:rsid w:val="00751AE7"/>
    <w:rsid w:val="00752C23"/>
    <w:rsid w:val="00755697"/>
    <w:rsid w:val="00756CD1"/>
    <w:rsid w:val="00761087"/>
    <w:rsid w:val="00762291"/>
    <w:rsid w:val="00763069"/>
    <w:rsid w:val="007658E7"/>
    <w:rsid w:val="00765EE4"/>
    <w:rsid w:val="007666C7"/>
    <w:rsid w:val="00767368"/>
    <w:rsid w:val="007727A6"/>
    <w:rsid w:val="00772817"/>
    <w:rsid w:val="007748C8"/>
    <w:rsid w:val="00774CE5"/>
    <w:rsid w:val="00775160"/>
    <w:rsid w:val="00777ED9"/>
    <w:rsid w:val="00780061"/>
    <w:rsid w:val="007805CA"/>
    <w:rsid w:val="0078102D"/>
    <w:rsid w:val="00784DE6"/>
    <w:rsid w:val="00786795"/>
    <w:rsid w:val="007869D4"/>
    <w:rsid w:val="00787CC2"/>
    <w:rsid w:val="00790494"/>
    <w:rsid w:val="00791846"/>
    <w:rsid w:val="0079350A"/>
    <w:rsid w:val="00794A69"/>
    <w:rsid w:val="00795AC5"/>
    <w:rsid w:val="00795E6E"/>
    <w:rsid w:val="007975DD"/>
    <w:rsid w:val="007A08B9"/>
    <w:rsid w:val="007A1009"/>
    <w:rsid w:val="007A1B4E"/>
    <w:rsid w:val="007A272B"/>
    <w:rsid w:val="007A3F6F"/>
    <w:rsid w:val="007A4343"/>
    <w:rsid w:val="007A4CF8"/>
    <w:rsid w:val="007A675B"/>
    <w:rsid w:val="007B0A6F"/>
    <w:rsid w:val="007B0FF4"/>
    <w:rsid w:val="007B288C"/>
    <w:rsid w:val="007B38C1"/>
    <w:rsid w:val="007B52F5"/>
    <w:rsid w:val="007B6343"/>
    <w:rsid w:val="007C1088"/>
    <w:rsid w:val="007C1852"/>
    <w:rsid w:val="007C2035"/>
    <w:rsid w:val="007C2418"/>
    <w:rsid w:val="007C2EE8"/>
    <w:rsid w:val="007C4445"/>
    <w:rsid w:val="007C7583"/>
    <w:rsid w:val="007C790C"/>
    <w:rsid w:val="007C79E5"/>
    <w:rsid w:val="007C7C37"/>
    <w:rsid w:val="007D0090"/>
    <w:rsid w:val="007D10FD"/>
    <w:rsid w:val="007D1172"/>
    <w:rsid w:val="007D2741"/>
    <w:rsid w:val="007D5772"/>
    <w:rsid w:val="007D7735"/>
    <w:rsid w:val="007E0569"/>
    <w:rsid w:val="007E0CC3"/>
    <w:rsid w:val="007E25CE"/>
    <w:rsid w:val="007E48E6"/>
    <w:rsid w:val="007E6102"/>
    <w:rsid w:val="007E77CC"/>
    <w:rsid w:val="007F1BD2"/>
    <w:rsid w:val="007F2005"/>
    <w:rsid w:val="007F2041"/>
    <w:rsid w:val="007F2482"/>
    <w:rsid w:val="007F2996"/>
    <w:rsid w:val="007F36A6"/>
    <w:rsid w:val="007F4074"/>
    <w:rsid w:val="007F67E5"/>
    <w:rsid w:val="007F6C87"/>
    <w:rsid w:val="007F742D"/>
    <w:rsid w:val="007F7964"/>
    <w:rsid w:val="008018CE"/>
    <w:rsid w:val="00802D58"/>
    <w:rsid w:val="00803DAB"/>
    <w:rsid w:val="0080530E"/>
    <w:rsid w:val="00805583"/>
    <w:rsid w:val="00805BE1"/>
    <w:rsid w:val="00806302"/>
    <w:rsid w:val="00806362"/>
    <w:rsid w:val="008067B4"/>
    <w:rsid w:val="00807241"/>
    <w:rsid w:val="00810402"/>
    <w:rsid w:val="00810EDB"/>
    <w:rsid w:val="008115A7"/>
    <w:rsid w:val="00814A2A"/>
    <w:rsid w:val="00815EE1"/>
    <w:rsid w:val="008175E1"/>
    <w:rsid w:val="00817619"/>
    <w:rsid w:val="00820364"/>
    <w:rsid w:val="008205D2"/>
    <w:rsid w:val="00820CDC"/>
    <w:rsid w:val="008257F3"/>
    <w:rsid w:val="008266B2"/>
    <w:rsid w:val="00826A9C"/>
    <w:rsid w:val="00830AB8"/>
    <w:rsid w:val="00831AF8"/>
    <w:rsid w:val="00831F56"/>
    <w:rsid w:val="00832ABC"/>
    <w:rsid w:val="0083468D"/>
    <w:rsid w:val="00835456"/>
    <w:rsid w:val="008357D5"/>
    <w:rsid w:val="00835D4B"/>
    <w:rsid w:val="008360D3"/>
    <w:rsid w:val="008369C3"/>
    <w:rsid w:val="00837ABB"/>
    <w:rsid w:val="00840326"/>
    <w:rsid w:val="00843459"/>
    <w:rsid w:val="008440D5"/>
    <w:rsid w:val="008460C6"/>
    <w:rsid w:val="00850FC3"/>
    <w:rsid w:val="0085276D"/>
    <w:rsid w:val="00852D47"/>
    <w:rsid w:val="0085440B"/>
    <w:rsid w:val="0085572E"/>
    <w:rsid w:val="008557A6"/>
    <w:rsid w:val="008559B6"/>
    <w:rsid w:val="0086060B"/>
    <w:rsid w:val="00860EC3"/>
    <w:rsid w:val="0086202E"/>
    <w:rsid w:val="00862BDF"/>
    <w:rsid w:val="0086367D"/>
    <w:rsid w:val="00864834"/>
    <w:rsid w:val="008651A3"/>
    <w:rsid w:val="00866261"/>
    <w:rsid w:val="00870BD0"/>
    <w:rsid w:val="008715F7"/>
    <w:rsid w:val="00873123"/>
    <w:rsid w:val="008757CE"/>
    <w:rsid w:val="00875904"/>
    <w:rsid w:val="00875C3C"/>
    <w:rsid w:val="00876498"/>
    <w:rsid w:val="00877170"/>
    <w:rsid w:val="00880A9F"/>
    <w:rsid w:val="00880C3E"/>
    <w:rsid w:val="008816C4"/>
    <w:rsid w:val="008820C6"/>
    <w:rsid w:val="00882246"/>
    <w:rsid w:val="00882469"/>
    <w:rsid w:val="00882778"/>
    <w:rsid w:val="00883B7A"/>
    <w:rsid w:val="00884923"/>
    <w:rsid w:val="008852C8"/>
    <w:rsid w:val="00885D61"/>
    <w:rsid w:val="00887902"/>
    <w:rsid w:val="00887E04"/>
    <w:rsid w:val="0089293D"/>
    <w:rsid w:val="00893261"/>
    <w:rsid w:val="00894A59"/>
    <w:rsid w:val="008978F0"/>
    <w:rsid w:val="008A114E"/>
    <w:rsid w:val="008A1445"/>
    <w:rsid w:val="008A1780"/>
    <w:rsid w:val="008A1D22"/>
    <w:rsid w:val="008A2C35"/>
    <w:rsid w:val="008A31AC"/>
    <w:rsid w:val="008A4C84"/>
    <w:rsid w:val="008A5365"/>
    <w:rsid w:val="008A68BF"/>
    <w:rsid w:val="008B023D"/>
    <w:rsid w:val="008B05B4"/>
    <w:rsid w:val="008B323D"/>
    <w:rsid w:val="008B45BF"/>
    <w:rsid w:val="008B618F"/>
    <w:rsid w:val="008B6B45"/>
    <w:rsid w:val="008B6C34"/>
    <w:rsid w:val="008B782B"/>
    <w:rsid w:val="008B78BE"/>
    <w:rsid w:val="008C02FB"/>
    <w:rsid w:val="008C0FC6"/>
    <w:rsid w:val="008C1758"/>
    <w:rsid w:val="008C1A69"/>
    <w:rsid w:val="008C3F8C"/>
    <w:rsid w:val="008C4663"/>
    <w:rsid w:val="008C596D"/>
    <w:rsid w:val="008C604A"/>
    <w:rsid w:val="008C6625"/>
    <w:rsid w:val="008C69A7"/>
    <w:rsid w:val="008D2233"/>
    <w:rsid w:val="008D7C3A"/>
    <w:rsid w:val="008E025A"/>
    <w:rsid w:val="008E2B57"/>
    <w:rsid w:val="008E3085"/>
    <w:rsid w:val="008E3F08"/>
    <w:rsid w:val="008E4711"/>
    <w:rsid w:val="008E496E"/>
    <w:rsid w:val="008E4D98"/>
    <w:rsid w:val="008E517A"/>
    <w:rsid w:val="008E5E68"/>
    <w:rsid w:val="008E62B2"/>
    <w:rsid w:val="008E73E2"/>
    <w:rsid w:val="008F0BDE"/>
    <w:rsid w:val="008F2514"/>
    <w:rsid w:val="008F2B53"/>
    <w:rsid w:val="008F369A"/>
    <w:rsid w:val="008F42C5"/>
    <w:rsid w:val="008F45D0"/>
    <w:rsid w:val="008F730C"/>
    <w:rsid w:val="00900240"/>
    <w:rsid w:val="009004E2"/>
    <w:rsid w:val="00900ACC"/>
    <w:rsid w:val="00900C2C"/>
    <w:rsid w:val="00901361"/>
    <w:rsid w:val="009017D5"/>
    <w:rsid w:val="00904C0B"/>
    <w:rsid w:val="009053FD"/>
    <w:rsid w:val="00910124"/>
    <w:rsid w:val="0091021F"/>
    <w:rsid w:val="00910C4B"/>
    <w:rsid w:val="009122C0"/>
    <w:rsid w:val="00912543"/>
    <w:rsid w:val="009141B1"/>
    <w:rsid w:val="009153DC"/>
    <w:rsid w:val="0091554A"/>
    <w:rsid w:val="0091572A"/>
    <w:rsid w:val="0092172A"/>
    <w:rsid w:val="009219BB"/>
    <w:rsid w:val="00923AC1"/>
    <w:rsid w:val="00923E99"/>
    <w:rsid w:val="009248ED"/>
    <w:rsid w:val="00925AB8"/>
    <w:rsid w:val="0093050D"/>
    <w:rsid w:val="00930DA6"/>
    <w:rsid w:val="00931C85"/>
    <w:rsid w:val="00931CDF"/>
    <w:rsid w:val="0093305A"/>
    <w:rsid w:val="00933772"/>
    <w:rsid w:val="0093634D"/>
    <w:rsid w:val="00936E54"/>
    <w:rsid w:val="00937545"/>
    <w:rsid w:val="0094056E"/>
    <w:rsid w:val="00940D03"/>
    <w:rsid w:val="00941978"/>
    <w:rsid w:val="00942012"/>
    <w:rsid w:val="009432AF"/>
    <w:rsid w:val="00943A56"/>
    <w:rsid w:val="00943B7B"/>
    <w:rsid w:val="009446E7"/>
    <w:rsid w:val="00944F85"/>
    <w:rsid w:val="00945228"/>
    <w:rsid w:val="00946623"/>
    <w:rsid w:val="0094676F"/>
    <w:rsid w:val="0094768E"/>
    <w:rsid w:val="00950312"/>
    <w:rsid w:val="009506B1"/>
    <w:rsid w:val="00950D37"/>
    <w:rsid w:val="00952AA7"/>
    <w:rsid w:val="00953659"/>
    <w:rsid w:val="00953701"/>
    <w:rsid w:val="00954A97"/>
    <w:rsid w:val="00954D87"/>
    <w:rsid w:val="0095642B"/>
    <w:rsid w:val="00957017"/>
    <w:rsid w:val="00957885"/>
    <w:rsid w:val="00960C1D"/>
    <w:rsid w:val="00961A49"/>
    <w:rsid w:val="00961BF8"/>
    <w:rsid w:val="00963CEB"/>
    <w:rsid w:val="009661F1"/>
    <w:rsid w:val="0097022C"/>
    <w:rsid w:val="00970A5A"/>
    <w:rsid w:val="00970A68"/>
    <w:rsid w:val="00970F15"/>
    <w:rsid w:val="00972526"/>
    <w:rsid w:val="00973E5E"/>
    <w:rsid w:val="00975202"/>
    <w:rsid w:val="0097677D"/>
    <w:rsid w:val="0097693F"/>
    <w:rsid w:val="0097730E"/>
    <w:rsid w:val="00977F85"/>
    <w:rsid w:val="00980140"/>
    <w:rsid w:val="00980BCC"/>
    <w:rsid w:val="00981823"/>
    <w:rsid w:val="00982930"/>
    <w:rsid w:val="00983766"/>
    <w:rsid w:val="009855D8"/>
    <w:rsid w:val="00986FF3"/>
    <w:rsid w:val="009872EE"/>
    <w:rsid w:val="00987E32"/>
    <w:rsid w:val="00991F5D"/>
    <w:rsid w:val="009923D7"/>
    <w:rsid w:val="00992C84"/>
    <w:rsid w:val="009935D8"/>
    <w:rsid w:val="00993689"/>
    <w:rsid w:val="0099456D"/>
    <w:rsid w:val="00994A8F"/>
    <w:rsid w:val="00995B87"/>
    <w:rsid w:val="009965CC"/>
    <w:rsid w:val="009A0472"/>
    <w:rsid w:val="009A1689"/>
    <w:rsid w:val="009A3402"/>
    <w:rsid w:val="009A3646"/>
    <w:rsid w:val="009A3FE9"/>
    <w:rsid w:val="009A4867"/>
    <w:rsid w:val="009A5E09"/>
    <w:rsid w:val="009A6AAC"/>
    <w:rsid w:val="009A6F76"/>
    <w:rsid w:val="009A7EC1"/>
    <w:rsid w:val="009B0A78"/>
    <w:rsid w:val="009B2C69"/>
    <w:rsid w:val="009B37F0"/>
    <w:rsid w:val="009B4272"/>
    <w:rsid w:val="009B4938"/>
    <w:rsid w:val="009C00DA"/>
    <w:rsid w:val="009C18D9"/>
    <w:rsid w:val="009C35BE"/>
    <w:rsid w:val="009C3A2A"/>
    <w:rsid w:val="009C42CE"/>
    <w:rsid w:val="009C6CDB"/>
    <w:rsid w:val="009C7951"/>
    <w:rsid w:val="009D3474"/>
    <w:rsid w:val="009D477F"/>
    <w:rsid w:val="009D5920"/>
    <w:rsid w:val="009D5B31"/>
    <w:rsid w:val="009D64F2"/>
    <w:rsid w:val="009D7789"/>
    <w:rsid w:val="009D7A18"/>
    <w:rsid w:val="009D7E4D"/>
    <w:rsid w:val="009E2378"/>
    <w:rsid w:val="009E352C"/>
    <w:rsid w:val="009E370F"/>
    <w:rsid w:val="009E4B25"/>
    <w:rsid w:val="009E4C44"/>
    <w:rsid w:val="009E5535"/>
    <w:rsid w:val="009E64EC"/>
    <w:rsid w:val="009E674B"/>
    <w:rsid w:val="009F0D36"/>
    <w:rsid w:val="009F1727"/>
    <w:rsid w:val="009F23F9"/>
    <w:rsid w:val="009F2DE1"/>
    <w:rsid w:val="009F3C70"/>
    <w:rsid w:val="009F3CCA"/>
    <w:rsid w:val="009F7788"/>
    <w:rsid w:val="009F7DCC"/>
    <w:rsid w:val="00A0250B"/>
    <w:rsid w:val="00A026BC"/>
    <w:rsid w:val="00A02E00"/>
    <w:rsid w:val="00A03B9E"/>
    <w:rsid w:val="00A0479A"/>
    <w:rsid w:val="00A065E7"/>
    <w:rsid w:val="00A06A92"/>
    <w:rsid w:val="00A1235E"/>
    <w:rsid w:val="00A12AF4"/>
    <w:rsid w:val="00A131F9"/>
    <w:rsid w:val="00A13EDF"/>
    <w:rsid w:val="00A16243"/>
    <w:rsid w:val="00A162B8"/>
    <w:rsid w:val="00A16363"/>
    <w:rsid w:val="00A2132A"/>
    <w:rsid w:val="00A2233E"/>
    <w:rsid w:val="00A230D4"/>
    <w:rsid w:val="00A24194"/>
    <w:rsid w:val="00A241B3"/>
    <w:rsid w:val="00A2547F"/>
    <w:rsid w:val="00A26D79"/>
    <w:rsid w:val="00A26DBF"/>
    <w:rsid w:val="00A30313"/>
    <w:rsid w:val="00A30ED6"/>
    <w:rsid w:val="00A30FFD"/>
    <w:rsid w:val="00A34887"/>
    <w:rsid w:val="00A35AF9"/>
    <w:rsid w:val="00A3683B"/>
    <w:rsid w:val="00A3748B"/>
    <w:rsid w:val="00A37B61"/>
    <w:rsid w:val="00A42281"/>
    <w:rsid w:val="00A4352E"/>
    <w:rsid w:val="00A45F34"/>
    <w:rsid w:val="00A51967"/>
    <w:rsid w:val="00A52565"/>
    <w:rsid w:val="00A57EA1"/>
    <w:rsid w:val="00A60079"/>
    <w:rsid w:val="00A6355F"/>
    <w:rsid w:val="00A63827"/>
    <w:rsid w:val="00A63BE0"/>
    <w:rsid w:val="00A658A4"/>
    <w:rsid w:val="00A66D9B"/>
    <w:rsid w:val="00A70F3D"/>
    <w:rsid w:val="00A72A74"/>
    <w:rsid w:val="00A75747"/>
    <w:rsid w:val="00A77C50"/>
    <w:rsid w:val="00A80248"/>
    <w:rsid w:val="00A80D48"/>
    <w:rsid w:val="00A83304"/>
    <w:rsid w:val="00A83504"/>
    <w:rsid w:val="00A83F77"/>
    <w:rsid w:val="00A87AB4"/>
    <w:rsid w:val="00A90C68"/>
    <w:rsid w:val="00A93191"/>
    <w:rsid w:val="00A94995"/>
    <w:rsid w:val="00A94DA7"/>
    <w:rsid w:val="00A94FE5"/>
    <w:rsid w:val="00A95370"/>
    <w:rsid w:val="00A95443"/>
    <w:rsid w:val="00A959F7"/>
    <w:rsid w:val="00AA02DB"/>
    <w:rsid w:val="00AA0C74"/>
    <w:rsid w:val="00AA1A76"/>
    <w:rsid w:val="00AA2171"/>
    <w:rsid w:val="00AA35A9"/>
    <w:rsid w:val="00AA3FC3"/>
    <w:rsid w:val="00AA4410"/>
    <w:rsid w:val="00AA5FDE"/>
    <w:rsid w:val="00AB1F19"/>
    <w:rsid w:val="00AB318E"/>
    <w:rsid w:val="00AB390A"/>
    <w:rsid w:val="00AB44A4"/>
    <w:rsid w:val="00AB4C64"/>
    <w:rsid w:val="00AB50C4"/>
    <w:rsid w:val="00AB5469"/>
    <w:rsid w:val="00AB5BBD"/>
    <w:rsid w:val="00AB78F2"/>
    <w:rsid w:val="00AC015F"/>
    <w:rsid w:val="00AC0544"/>
    <w:rsid w:val="00AC1F4D"/>
    <w:rsid w:val="00AC3B3D"/>
    <w:rsid w:val="00AC4D1E"/>
    <w:rsid w:val="00AC7224"/>
    <w:rsid w:val="00AC7D75"/>
    <w:rsid w:val="00AD0BF9"/>
    <w:rsid w:val="00AD22AE"/>
    <w:rsid w:val="00AD38B5"/>
    <w:rsid w:val="00AD5E19"/>
    <w:rsid w:val="00AD5EC4"/>
    <w:rsid w:val="00AD7DBC"/>
    <w:rsid w:val="00AE1825"/>
    <w:rsid w:val="00AE1D11"/>
    <w:rsid w:val="00AE1E39"/>
    <w:rsid w:val="00AE25F4"/>
    <w:rsid w:val="00AE4976"/>
    <w:rsid w:val="00AE4A7B"/>
    <w:rsid w:val="00AE6CF4"/>
    <w:rsid w:val="00AE6DAD"/>
    <w:rsid w:val="00AF0212"/>
    <w:rsid w:val="00AF09F6"/>
    <w:rsid w:val="00AF18C9"/>
    <w:rsid w:val="00AF192B"/>
    <w:rsid w:val="00AF395B"/>
    <w:rsid w:val="00AF3E9A"/>
    <w:rsid w:val="00AF4D4F"/>
    <w:rsid w:val="00AF4F32"/>
    <w:rsid w:val="00B001C5"/>
    <w:rsid w:val="00B0200C"/>
    <w:rsid w:val="00B03927"/>
    <w:rsid w:val="00B044D0"/>
    <w:rsid w:val="00B0508B"/>
    <w:rsid w:val="00B052F9"/>
    <w:rsid w:val="00B05717"/>
    <w:rsid w:val="00B0648E"/>
    <w:rsid w:val="00B06D57"/>
    <w:rsid w:val="00B102C5"/>
    <w:rsid w:val="00B119A5"/>
    <w:rsid w:val="00B16519"/>
    <w:rsid w:val="00B20C15"/>
    <w:rsid w:val="00B218FF"/>
    <w:rsid w:val="00B23797"/>
    <w:rsid w:val="00B24736"/>
    <w:rsid w:val="00B24C9B"/>
    <w:rsid w:val="00B24DD7"/>
    <w:rsid w:val="00B24F0C"/>
    <w:rsid w:val="00B25914"/>
    <w:rsid w:val="00B26871"/>
    <w:rsid w:val="00B3095B"/>
    <w:rsid w:val="00B31883"/>
    <w:rsid w:val="00B31ED0"/>
    <w:rsid w:val="00B332A1"/>
    <w:rsid w:val="00B33DDE"/>
    <w:rsid w:val="00B34904"/>
    <w:rsid w:val="00B378E1"/>
    <w:rsid w:val="00B402DE"/>
    <w:rsid w:val="00B4391D"/>
    <w:rsid w:val="00B43B21"/>
    <w:rsid w:val="00B45102"/>
    <w:rsid w:val="00B50A56"/>
    <w:rsid w:val="00B50B64"/>
    <w:rsid w:val="00B51B74"/>
    <w:rsid w:val="00B522AF"/>
    <w:rsid w:val="00B5448D"/>
    <w:rsid w:val="00B546B4"/>
    <w:rsid w:val="00B55742"/>
    <w:rsid w:val="00B56630"/>
    <w:rsid w:val="00B56699"/>
    <w:rsid w:val="00B602B5"/>
    <w:rsid w:val="00B605D0"/>
    <w:rsid w:val="00B60B09"/>
    <w:rsid w:val="00B62600"/>
    <w:rsid w:val="00B6272B"/>
    <w:rsid w:val="00B62C62"/>
    <w:rsid w:val="00B6422E"/>
    <w:rsid w:val="00B650E5"/>
    <w:rsid w:val="00B662C5"/>
    <w:rsid w:val="00B66421"/>
    <w:rsid w:val="00B666C5"/>
    <w:rsid w:val="00B70784"/>
    <w:rsid w:val="00B709CD"/>
    <w:rsid w:val="00B72777"/>
    <w:rsid w:val="00B730D3"/>
    <w:rsid w:val="00B734DF"/>
    <w:rsid w:val="00B73C6F"/>
    <w:rsid w:val="00B73FAB"/>
    <w:rsid w:val="00B77F1A"/>
    <w:rsid w:val="00B82939"/>
    <w:rsid w:val="00B83621"/>
    <w:rsid w:val="00B83710"/>
    <w:rsid w:val="00B83C2B"/>
    <w:rsid w:val="00B8457A"/>
    <w:rsid w:val="00B8468A"/>
    <w:rsid w:val="00B8557C"/>
    <w:rsid w:val="00B85A0F"/>
    <w:rsid w:val="00B87888"/>
    <w:rsid w:val="00B9075F"/>
    <w:rsid w:val="00B90AAD"/>
    <w:rsid w:val="00B90F3B"/>
    <w:rsid w:val="00B91164"/>
    <w:rsid w:val="00B9133B"/>
    <w:rsid w:val="00B921D9"/>
    <w:rsid w:val="00B94C43"/>
    <w:rsid w:val="00B94F17"/>
    <w:rsid w:val="00B9610E"/>
    <w:rsid w:val="00B97070"/>
    <w:rsid w:val="00B97B7A"/>
    <w:rsid w:val="00BA0484"/>
    <w:rsid w:val="00BA1CF3"/>
    <w:rsid w:val="00BA455B"/>
    <w:rsid w:val="00BA46E7"/>
    <w:rsid w:val="00BB14C8"/>
    <w:rsid w:val="00BB23CF"/>
    <w:rsid w:val="00BB2420"/>
    <w:rsid w:val="00BB289C"/>
    <w:rsid w:val="00BB2EB4"/>
    <w:rsid w:val="00BB631E"/>
    <w:rsid w:val="00BB7564"/>
    <w:rsid w:val="00BC0410"/>
    <w:rsid w:val="00BC1988"/>
    <w:rsid w:val="00BC1DBB"/>
    <w:rsid w:val="00BC2A98"/>
    <w:rsid w:val="00BC2C0B"/>
    <w:rsid w:val="00BC5E06"/>
    <w:rsid w:val="00BC62AA"/>
    <w:rsid w:val="00BC631D"/>
    <w:rsid w:val="00BD09AE"/>
    <w:rsid w:val="00BD20C1"/>
    <w:rsid w:val="00BD3DBC"/>
    <w:rsid w:val="00BD4E7C"/>
    <w:rsid w:val="00BD7B13"/>
    <w:rsid w:val="00BE0A50"/>
    <w:rsid w:val="00BE0C73"/>
    <w:rsid w:val="00BE0F2F"/>
    <w:rsid w:val="00BE1872"/>
    <w:rsid w:val="00BE2B2F"/>
    <w:rsid w:val="00BE2FC0"/>
    <w:rsid w:val="00BE69DA"/>
    <w:rsid w:val="00BF0570"/>
    <w:rsid w:val="00BF07F1"/>
    <w:rsid w:val="00BF0C45"/>
    <w:rsid w:val="00BF1496"/>
    <w:rsid w:val="00BF1943"/>
    <w:rsid w:val="00BF3377"/>
    <w:rsid w:val="00BF6F5F"/>
    <w:rsid w:val="00BF7203"/>
    <w:rsid w:val="00BF7496"/>
    <w:rsid w:val="00BF7AE6"/>
    <w:rsid w:val="00C0016A"/>
    <w:rsid w:val="00C0247A"/>
    <w:rsid w:val="00C03E94"/>
    <w:rsid w:val="00C05307"/>
    <w:rsid w:val="00C056AC"/>
    <w:rsid w:val="00C065B1"/>
    <w:rsid w:val="00C06F50"/>
    <w:rsid w:val="00C076D2"/>
    <w:rsid w:val="00C07756"/>
    <w:rsid w:val="00C105C6"/>
    <w:rsid w:val="00C10625"/>
    <w:rsid w:val="00C107DD"/>
    <w:rsid w:val="00C113F3"/>
    <w:rsid w:val="00C12383"/>
    <w:rsid w:val="00C133D0"/>
    <w:rsid w:val="00C135D2"/>
    <w:rsid w:val="00C13B68"/>
    <w:rsid w:val="00C15100"/>
    <w:rsid w:val="00C175C8"/>
    <w:rsid w:val="00C20A60"/>
    <w:rsid w:val="00C21390"/>
    <w:rsid w:val="00C22ECA"/>
    <w:rsid w:val="00C23CC9"/>
    <w:rsid w:val="00C24FE6"/>
    <w:rsid w:val="00C2525B"/>
    <w:rsid w:val="00C264BF"/>
    <w:rsid w:val="00C30EF2"/>
    <w:rsid w:val="00C32F6E"/>
    <w:rsid w:val="00C33F78"/>
    <w:rsid w:val="00C36267"/>
    <w:rsid w:val="00C37993"/>
    <w:rsid w:val="00C42459"/>
    <w:rsid w:val="00C429DA"/>
    <w:rsid w:val="00C432D4"/>
    <w:rsid w:val="00C44A96"/>
    <w:rsid w:val="00C4556C"/>
    <w:rsid w:val="00C45730"/>
    <w:rsid w:val="00C476A1"/>
    <w:rsid w:val="00C47FC5"/>
    <w:rsid w:val="00C51222"/>
    <w:rsid w:val="00C5501D"/>
    <w:rsid w:val="00C5516F"/>
    <w:rsid w:val="00C553D0"/>
    <w:rsid w:val="00C5632E"/>
    <w:rsid w:val="00C5662C"/>
    <w:rsid w:val="00C5682F"/>
    <w:rsid w:val="00C57A74"/>
    <w:rsid w:val="00C57E7D"/>
    <w:rsid w:val="00C6034C"/>
    <w:rsid w:val="00C604D9"/>
    <w:rsid w:val="00C60BE2"/>
    <w:rsid w:val="00C60D11"/>
    <w:rsid w:val="00C61991"/>
    <w:rsid w:val="00C63C96"/>
    <w:rsid w:val="00C64115"/>
    <w:rsid w:val="00C651AA"/>
    <w:rsid w:val="00C65D97"/>
    <w:rsid w:val="00C65DAD"/>
    <w:rsid w:val="00C67363"/>
    <w:rsid w:val="00C713C6"/>
    <w:rsid w:val="00C81D9C"/>
    <w:rsid w:val="00C82D8C"/>
    <w:rsid w:val="00C8451C"/>
    <w:rsid w:val="00C85496"/>
    <w:rsid w:val="00C85E51"/>
    <w:rsid w:val="00C8736E"/>
    <w:rsid w:val="00C8783C"/>
    <w:rsid w:val="00C9070C"/>
    <w:rsid w:val="00C913C5"/>
    <w:rsid w:val="00C9142C"/>
    <w:rsid w:val="00C93E94"/>
    <w:rsid w:val="00C94130"/>
    <w:rsid w:val="00C95889"/>
    <w:rsid w:val="00C97293"/>
    <w:rsid w:val="00C97DDF"/>
    <w:rsid w:val="00CA1DE7"/>
    <w:rsid w:val="00CA27E1"/>
    <w:rsid w:val="00CA2D14"/>
    <w:rsid w:val="00CA2DCE"/>
    <w:rsid w:val="00CA4740"/>
    <w:rsid w:val="00CA5D4F"/>
    <w:rsid w:val="00CA7118"/>
    <w:rsid w:val="00CA7132"/>
    <w:rsid w:val="00CA737D"/>
    <w:rsid w:val="00CA7427"/>
    <w:rsid w:val="00CB076E"/>
    <w:rsid w:val="00CB363F"/>
    <w:rsid w:val="00CB4645"/>
    <w:rsid w:val="00CB4B7F"/>
    <w:rsid w:val="00CB5D8B"/>
    <w:rsid w:val="00CB6B7E"/>
    <w:rsid w:val="00CB73F9"/>
    <w:rsid w:val="00CB7F30"/>
    <w:rsid w:val="00CC0B35"/>
    <w:rsid w:val="00CC35D8"/>
    <w:rsid w:val="00CC68D6"/>
    <w:rsid w:val="00CC6D78"/>
    <w:rsid w:val="00CC79DD"/>
    <w:rsid w:val="00CC7B5A"/>
    <w:rsid w:val="00CC7DA1"/>
    <w:rsid w:val="00CC7DE4"/>
    <w:rsid w:val="00CD2EB5"/>
    <w:rsid w:val="00CD3CBA"/>
    <w:rsid w:val="00CD44D4"/>
    <w:rsid w:val="00CD5DA4"/>
    <w:rsid w:val="00CD748F"/>
    <w:rsid w:val="00CE09A2"/>
    <w:rsid w:val="00CE0D48"/>
    <w:rsid w:val="00CE197C"/>
    <w:rsid w:val="00CE24D7"/>
    <w:rsid w:val="00CE307C"/>
    <w:rsid w:val="00CE38F6"/>
    <w:rsid w:val="00CE3BB3"/>
    <w:rsid w:val="00CE6B4E"/>
    <w:rsid w:val="00CF0CE7"/>
    <w:rsid w:val="00CF1279"/>
    <w:rsid w:val="00CF258F"/>
    <w:rsid w:val="00CF277F"/>
    <w:rsid w:val="00CF28F7"/>
    <w:rsid w:val="00CF2ECC"/>
    <w:rsid w:val="00CF3443"/>
    <w:rsid w:val="00CF40D5"/>
    <w:rsid w:val="00CF4459"/>
    <w:rsid w:val="00CF70D1"/>
    <w:rsid w:val="00D002BF"/>
    <w:rsid w:val="00D00371"/>
    <w:rsid w:val="00D0059E"/>
    <w:rsid w:val="00D0120F"/>
    <w:rsid w:val="00D01607"/>
    <w:rsid w:val="00D01B10"/>
    <w:rsid w:val="00D026CA"/>
    <w:rsid w:val="00D02C65"/>
    <w:rsid w:val="00D030CA"/>
    <w:rsid w:val="00D033AF"/>
    <w:rsid w:val="00D04749"/>
    <w:rsid w:val="00D04AE3"/>
    <w:rsid w:val="00D069BD"/>
    <w:rsid w:val="00D0733B"/>
    <w:rsid w:val="00D0790D"/>
    <w:rsid w:val="00D115F3"/>
    <w:rsid w:val="00D124F9"/>
    <w:rsid w:val="00D1426C"/>
    <w:rsid w:val="00D16E0F"/>
    <w:rsid w:val="00D17894"/>
    <w:rsid w:val="00D17BAC"/>
    <w:rsid w:val="00D20D88"/>
    <w:rsid w:val="00D234DD"/>
    <w:rsid w:val="00D27AB1"/>
    <w:rsid w:val="00D31C10"/>
    <w:rsid w:val="00D31D15"/>
    <w:rsid w:val="00D31D2D"/>
    <w:rsid w:val="00D33AB6"/>
    <w:rsid w:val="00D343EF"/>
    <w:rsid w:val="00D348C8"/>
    <w:rsid w:val="00D37682"/>
    <w:rsid w:val="00D41C45"/>
    <w:rsid w:val="00D440C0"/>
    <w:rsid w:val="00D449D3"/>
    <w:rsid w:val="00D45F43"/>
    <w:rsid w:val="00D4641F"/>
    <w:rsid w:val="00D47908"/>
    <w:rsid w:val="00D520CC"/>
    <w:rsid w:val="00D538AF"/>
    <w:rsid w:val="00D5629B"/>
    <w:rsid w:val="00D5662F"/>
    <w:rsid w:val="00D56DCA"/>
    <w:rsid w:val="00D56FCD"/>
    <w:rsid w:val="00D57134"/>
    <w:rsid w:val="00D60DFD"/>
    <w:rsid w:val="00D61129"/>
    <w:rsid w:val="00D62364"/>
    <w:rsid w:val="00D63D12"/>
    <w:rsid w:val="00D640F1"/>
    <w:rsid w:val="00D64B83"/>
    <w:rsid w:val="00D661C8"/>
    <w:rsid w:val="00D67353"/>
    <w:rsid w:val="00D705B8"/>
    <w:rsid w:val="00D70A20"/>
    <w:rsid w:val="00D71D3A"/>
    <w:rsid w:val="00D71D87"/>
    <w:rsid w:val="00D74E10"/>
    <w:rsid w:val="00D763ED"/>
    <w:rsid w:val="00D76C91"/>
    <w:rsid w:val="00D77160"/>
    <w:rsid w:val="00D775A3"/>
    <w:rsid w:val="00D80FEF"/>
    <w:rsid w:val="00D8295A"/>
    <w:rsid w:val="00D83AB9"/>
    <w:rsid w:val="00D84DD0"/>
    <w:rsid w:val="00D855B5"/>
    <w:rsid w:val="00D85EF0"/>
    <w:rsid w:val="00D87368"/>
    <w:rsid w:val="00D91AEA"/>
    <w:rsid w:val="00D922A2"/>
    <w:rsid w:val="00D9283B"/>
    <w:rsid w:val="00D93713"/>
    <w:rsid w:val="00D93FCF"/>
    <w:rsid w:val="00D96A8E"/>
    <w:rsid w:val="00DA167E"/>
    <w:rsid w:val="00DA17DA"/>
    <w:rsid w:val="00DA4C78"/>
    <w:rsid w:val="00DA55A9"/>
    <w:rsid w:val="00DA65A6"/>
    <w:rsid w:val="00DA6CCA"/>
    <w:rsid w:val="00DB0FDC"/>
    <w:rsid w:val="00DB1A3A"/>
    <w:rsid w:val="00DB1CC8"/>
    <w:rsid w:val="00DB1CE8"/>
    <w:rsid w:val="00DB284D"/>
    <w:rsid w:val="00DB3D9B"/>
    <w:rsid w:val="00DB588D"/>
    <w:rsid w:val="00DB67DD"/>
    <w:rsid w:val="00DB76A3"/>
    <w:rsid w:val="00DC03C9"/>
    <w:rsid w:val="00DC0D21"/>
    <w:rsid w:val="00DC0D7E"/>
    <w:rsid w:val="00DC1231"/>
    <w:rsid w:val="00DC2095"/>
    <w:rsid w:val="00DC2879"/>
    <w:rsid w:val="00DC4257"/>
    <w:rsid w:val="00DC5311"/>
    <w:rsid w:val="00DC5AD4"/>
    <w:rsid w:val="00DC5BD7"/>
    <w:rsid w:val="00DC608B"/>
    <w:rsid w:val="00DC67D7"/>
    <w:rsid w:val="00DC6D28"/>
    <w:rsid w:val="00DC6DBE"/>
    <w:rsid w:val="00DD0439"/>
    <w:rsid w:val="00DD2BE6"/>
    <w:rsid w:val="00DD3D51"/>
    <w:rsid w:val="00DD4739"/>
    <w:rsid w:val="00DD6DE7"/>
    <w:rsid w:val="00DD7BCA"/>
    <w:rsid w:val="00DE18BC"/>
    <w:rsid w:val="00DE2D63"/>
    <w:rsid w:val="00DE2DF7"/>
    <w:rsid w:val="00DE3A09"/>
    <w:rsid w:val="00DE3C7C"/>
    <w:rsid w:val="00DE6B98"/>
    <w:rsid w:val="00DF3659"/>
    <w:rsid w:val="00DF5C79"/>
    <w:rsid w:val="00DF5E1D"/>
    <w:rsid w:val="00DF62AB"/>
    <w:rsid w:val="00E00539"/>
    <w:rsid w:val="00E00EA9"/>
    <w:rsid w:val="00E01A76"/>
    <w:rsid w:val="00E02AD5"/>
    <w:rsid w:val="00E03394"/>
    <w:rsid w:val="00E03809"/>
    <w:rsid w:val="00E047EB"/>
    <w:rsid w:val="00E05870"/>
    <w:rsid w:val="00E12F9A"/>
    <w:rsid w:val="00E13A4C"/>
    <w:rsid w:val="00E15519"/>
    <w:rsid w:val="00E20343"/>
    <w:rsid w:val="00E206C8"/>
    <w:rsid w:val="00E20F85"/>
    <w:rsid w:val="00E22E7A"/>
    <w:rsid w:val="00E2359D"/>
    <w:rsid w:val="00E23853"/>
    <w:rsid w:val="00E248EC"/>
    <w:rsid w:val="00E24D26"/>
    <w:rsid w:val="00E24F2D"/>
    <w:rsid w:val="00E2521F"/>
    <w:rsid w:val="00E266D5"/>
    <w:rsid w:val="00E277B2"/>
    <w:rsid w:val="00E27C6D"/>
    <w:rsid w:val="00E3039F"/>
    <w:rsid w:val="00E30842"/>
    <w:rsid w:val="00E30E46"/>
    <w:rsid w:val="00E31538"/>
    <w:rsid w:val="00E3213C"/>
    <w:rsid w:val="00E3281D"/>
    <w:rsid w:val="00E32880"/>
    <w:rsid w:val="00E32CB6"/>
    <w:rsid w:val="00E32D35"/>
    <w:rsid w:val="00E333A0"/>
    <w:rsid w:val="00E36872"/>
    <w:rsid w:val="00E41E36"/>
    <w:rsid w:val="00E471C2"/>
    <w:rsid w:val="00E47CDA"/>
    <w:rsid w:val="00E5096A"/>
    <w:rsid w:val="00E5176F"/>
    <w:rsid w:val="00E517CD"/>
    <w:rsid w:val="00E528A1"/>
    <w:rsid w:val="00E54FBC"/>
    <w:rsid w:val="00E55C36"/>
    <w:rsid w:val="00E57026"/>
    <w:rsid w:val="00E57BA8"/>
    <w:rsid w:val="00E61F5C"/>
    <w:rsid w:val="00E62597"/>
    <w:rsid w:val="00E62E48"/>
    <w:rsid w:val="00E63612"/>
    <w:rsid w:val="00E63AB3"/>
    <w:rsid w:val="00E644E2"/>
    <w:rsid w:val="00E651C2"/>
    <w:rsid w:val="00E669B0"/>
    <w:rsid w:val="00E67627"/>
    <w:rsid w:val="00E703E3"/>
    <w:rsid w:val="00E71070"/>
    <w:rsid w:val="00E71346"/>
    <w:rsid w:val="00E71A42"/>
    <w:rsid w:val="00E71E8C"/>
    <w:rsid w:val="00E727BC"/>
    <w:rsid w:val="00E73159"/>
    <w:rsid w:val="00E74D84"/>
    <w:rsid w:val="00E74F99"/>
    <w:rsid w:val="00E75425"/>
    <w:rsid w:val="00E7548F"/>
    <w:rsid w:val="00E7575C"/>
    <w:rsid w:val="00E77F0F"/>
    <w:rsid w:val="00E77FCE"/>
    <w:rsid w:val="00E81C58"/>
    <w:rsid w:val="00E81F7C"/>
    <w:rsid w:val="00E82132"/>
    <w:rsid w:val="00E90614"/>
    <w:rsid w:val="00E90AF9"/>
    <w:rsid w:val="00E90B7B"/>
    <w:rsid w:val="00E938D1"/>
    <w:rsid w:val="00E941C4"/>
    <w:rsid w:val="00E946CF"/>
    <w:rsid w:val="00E953B7"/>
    <w:rsid w:val="00E96507"/>
    <w:rsid w:val="00E97E5C"/>
    <w:rsid w:val="00EA1913"/>
    <w:rsid w:val="00EA1FCD"/>
    <w:rsid w:val="00EA226F"/>
    <w:rsid w:val="00EA22C8"/>
    <w:rsid w:val="00EB0782"/>
    <w:rsid w:val="00EB19C3"/>
    <w:rsid w:val="00EB2126"/>
    <w:rsid w:val="00EB3387"/>
    <w:rsid w:val="00EB3A56"/>
    <w:rsid w:val="00EB4FAD"/>
    <w:rsid w:val="00EB5149"/>
    <w:rsid w:val="00EB543E"/>
    <w:rsid w:val="00EB71C8"/>
    <w:rsid w:val="00EC157C"/>
    <w:rsid w:val="00EC2691"/>
    <w:rsid w:val="00EC2C89"/>
    <w:rsid w:val="00EC468C"/>
    <w:rsid w:val="00EC4804"/>
    <w:rsid w:val="00EC4B37"/>
    <w:rsid w:val="00EC5F76"/>
    <w:rsid w:val="00EC68AC"/>
    <w:rsid w:val="00ED2D32"/>
    <w:rsid w:val="00ED36C9"/>
    <w:rsid w:val="00ED56CE"/>
    <w:rsid w:val="00ED5B88"/>
    <w:rsid w:val="00ED7A71"/>
    <w:rsid w:val="00EE04CD"/>
    <w:rsid w:val="00EE36EF"/>
    <w:rsid w:val="00EE4BBD"/>
    <w:rsid w:val="00EE50EC"/>
    <w:rsid w:val="00EE535C"/>
    <w:rsid w:val="00EE5FFC"/>
    <w:rsid w:val="00EE7530"/>
    <w:rsid w:val="00EF0117"/>
    <w:rsid w:val="00EF1A6D"/>
    <w:rsid w:val="00EF1DD7"/>
    <w:rsid w:val="00EF1E47"/>
    <w:rsid w:val="00EF3397"/>
    <w:rsid w:val="00EF43E4"/>
    <w:rsid w:val="00EF4C31"/>
    <w:rsid w:val="00EF5B28"/>
    <w:rsid w:val="00EF61AF"/>
    <w:rsid w:val="00F00B17"/>
    <w:rsid w:val="00F01F96"/>
    <w:rsid w:val="00F03230"/>
    <w:rsid w:val="00F05934"/>
    <w:rsid w:val="00F059F4"/>
    <w:rsid w:val="00F10D4D"/>
    <w:rsid w:val="00F122A2"/>
    <w:rsid w:val="00F13136"/>
    <w:rsid w:val="00F13C1D"/>
    <w:rsid w:val="00F15968"/>
    <w:rsid w:val="00F15C7B"/>
    <w:rsid w:val="00F163C4"/>
    <w:rsid w:val="00F23CF6"/>
    <w:rsid w:val="00F24437"/>
    <w:rsid w:val="00F24C80"/>
    <w:rsid w:val="00F271E7"/>
    <w:rsid w:val="00F306C8"/>
    <w:rsid w:val="00F31070"/>
    <w:rsid w:val="00F323AC"/>
    <w:rsid w:val="00F32E9B"/>
    <w:rsid w:val="00F33333"/>
    <w:rsid w:val="00F338DA"/>
    <w:rsid w:val="00F342D1"/>
    <w:rsid w:val="00F3454A"/>
    <w:rsid w:val="00F34639"/>
    <w:rsid w:val="00F353FF"/>
    <w:rsid w:val="00F363F6"/>
    <w:rsid w:val="00F36883"/>
    <w:rsid w:val="00F37C83"/>
    <w:rsid w:val="00F4026B"/>
    <w:rsid w:val="00F4214C"/>
    <w:rsid w:val="00F43061"/>
    <w:rsid w:val="00F43BA9"/>
    <w:rsid w:val="00F44685"/>
    <w:rsid w:val="00F44C3C"/>
    <w:rsid w:val="00F47317"/>
    <w:rsid w:val="00F5040D"/>
    <w:rsid w:val="00F51A68"/>
    <w:rsid w:val="00F51CCB"/>
    <w:rsid w:val="00F53FA4"/>
    <w:rsid w:val="00F54132"/>
    <w:rsid w:val="00F545F7"/>
    <w:rsid w:val="00F6072D"/>
    <w:rsid w:val="00F60F7D"/>
    <w:rsid w:val="00F627B1"/>
    <w:rsid w:val="00F63F40"/>
    <w:rsid w:val="00F64215"/>
    <w:rsid w:val="00F654AF"/>
    <w:rsid w:val="00F6595E"/>
    <w:rsid w:val="00F67EEF"/>
    <w:rsid w:val="00F7033D"/>
    <w:rsid w:val="00F73397"/>
    <w:rsid w:val="00F73D47"/>
    <w:rsid w:val="00F74D7C"/>
    <w:rsid w:val="00F758A0"/>
    <w:rsid w:val="00F76244"/>
    <w:rsid w:val="00F762AE"/>
    <w:rsid w:val="00F767E0"/>
    <w:rsid w:val="00F769FC"/>
    <w:rsid w:val="00F76D08"/>
    <w:rsid w:val="00F77245"/>
    <w:rsid w:val="00F77DDA"/>
    <w:rsid w:val="00F80829"/>
    <w:rsid w:val="00F81C7C"/>
    <w:rsid w:val="00F81EE9"/>
    <w:rsid w:val="00F82023"/>
    <w:rsid w:val="00F8294F"/>
    <w:rsid w:val="00F8297D"/>
    <w:rsid w:val="00F83FAB"/>
    <w:rsid w:val="00F84C54"/>
    <w:rsid w:val="00F87530"/>
    <w:rsid w:val="00F87E58"/>
    <w:rsid w:val="00F93BB1"/>
    <w:rsid w:val="00F93EC0"/>
    <w:rsid w:val="00F94087"/>
    <w:rsid w:val="00F95A26"/>
    <w:rsid w:val="00FA3723"/>
    <w:rsid w:val="00FA3944"/>
    <w:rsid w:val="00FA5714"/>
    <w:rsid w:val="00FA60FB"/>
    <w:rsid w:val="00FA6CCD"/>
    <w:rsid w:val="00FA6EE0"/>
    <w:rsid w:val="00FB06C3"/>
    <w:rsid w:val="00FB0919"/>
    <w:rsid w:val="00FB226F"/>
    <w:rsid w:val="00FB3DDD"/>
    <w:rsid w:val="00FB5E85"/>
    <w:rsid w:val="00FB62F3"/>
    <w:rsid w:val="00FC11B2"/>
    <w:rsid w:val="00FC2727"/>
    <w:rsid w:val="00FC3CA4"/>
    <w:rsid w:val="00FC4EBF"/>
    <w:rsid w:val="00FC5A2C"/>
    <w:rsid w:val="00FC6196"/>
    <w:rsid w:val="00FC730E"/>
    <w:rsid w:val="00FC7787"/>
    <w:rsid w:val="00FD3671"/>
    <w:rsid w:val="00FD4FC0"/>
    <w:rsid w:val="00FD56A5"/>
    <w:rsid w:val="00FD5AEC"/>
    <w:rsid w:val="00FD6219"/>
    <w:rsid w:val="00FD7563"/>
    <w:rsid w:val="00FD7A4F"/>
    <w:rsid w:val="00FE01AA"/>
    <w:rsid w:val="00FE052C"/>
    <w:rsid w:val="00FE4168"/>
    <w:rsid w:val="00FE77F4"/>
    <w:rsid w:val="00FE7A8B"/>
    <w:rsid w:val="00FF08EF"/>
    <w:rsid w:val="00FF0A34"/>
    <w:rsid w:val="00FF0E8E"/>
    <w:rsid w:val="00FF1354"/>
    <w:rsid w:val="00FF1E60"/>
    <w:rsid w:val="00FF26E8"/>
    <w:rsid w:val="00FF3F30"/>
    <w:rsid w:val="00FF539F"/>
    <w:rsid w:val="00FF5AE6"/>
    <w:rsid w:val="00FF677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5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pPr>
      <w:spacing w:after="0" w:line="240" w:lineRule="auto"/>
    </w:pPr>
    <w:rPr>
      <w:rFonts w:eastAsia="Times New Roman"/>
      <w:lang w:val="bg-BG" w:eastAsia="bg-BG"/>
    </w:rPr>
  </w:style>
  <w:style w:type="paragraph" w:styleId="Heading1">
    <w:name w:val="heading 1"/>
    <w:basedOn w:val="Normal"/>
    <w:next w:val="Normal"/>
    <w:link w:val="Heading1Char"/>
    <w:uiPriority w:val="9"/>
    <w:qFormat/>
    <w:rsid w:val="008E4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24C9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 Char Char,Char"/>
    <w:basedOn w:val="Normal"/>
    <w:link w:val="FootnoteTextChar"/>
    <w:uiPriority w:val="99"/>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
    <w:rsid w:val="00FB3DDD"/>
    <w:rPr>
      <w:vertAlign w:val="superscript"/>
    </w:rPr>
  </w:style>
  <w:style w:type="paragraph" w:styleId="ListParagraph">
    <w:name w:val="List Paragraph"/>
    <w:basedOn w:val="Normal"/>
    <w:link w:val="ListParagraphChar"/>
    <w:uiPriority w:val="34"/>
    <w:qFormat/>
    <w:rsid w:val="00FB3DDD"/>
    <w:pPr>
      <w:ind w:left="720"/>
      <w:contextualSpacing/>
    </w:pPr>
    <w:rPr>
      <w:rFonts w:ascii="Tahoma" w:hAnsi="Tahoma" w:cs="Tahoma"/>
      <w:lang w:val="en-US"/>
    </w:rPr>
  </w:style>
  <w:style w:type="paragraph" w:styleId="BalloonText">
    <w:name w:val="Balloon Text"/>
    <w:basedOn w:val="Normal"/>
    <w:link w:val="BalloonTextChar"/>
    <w:uiPriority w:val="99"/>
    <w:semiHidden/>
    <w:unhideWhenUsed/>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iPriority w:val="99"/>
    <w:unhideWhenUsed/>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paragraph" w:styleId="BodyText">
    <w:name w:val="Body Text"/>
    <w:basedOn w:val="Normal"/>
    <w:link w:val="BodyTextChar"/>
    <w:rsid w:val="002146AD"/>
    <w:pPr>
      <w:jc w:val="center"/>
    </w:pPr>
    <w:rPr>
      <w:rFonts w:ascii="Tahoma" w:hAnsi="Tahoma"/>
      <w:sz w:val="28"/>
      <w:szCs w:val="20"/>
      <w:lang w:eastAsia="en-US"/>
    </w:rPr>
  </w:style>
  <w:style w:type="character" w:customStyle="1" w:styleId="BodyTextChar">
    <w:name w:val="Body Text Char"/>
    <w:basedOn w:val="DefaultParagraphFont"/>
    <w:link w:val="BodyText"/>
    <w:rsid w:val="002146AD"/>
    <w:rPr>
      <w:rFonts w:ascii="Tahoma" w:eastAsia="Times New Roman" w:hAnsi="Tahoma"/>
      <w:sz w:val="28"/>
      <w:szCs w:val="20"/>
      <w:lang w:val="bg-BG"/>
    </w:rPr>
  </w:style>
  <w:style w:type="paragraph" w:customStyle="1" w:styleId="Default">
    <w:name w:val="Default"/>
    <w:rsid w:val="002146AD"/>
    <w:pPr>
      <w:autoSpaceDE w:val="0"/>
      <w:autoSpaceDN w:val="0"/>
      <w:adjustRightInd w:val="0"/>
      <w:spacing w:after="0" w:line="240" w:lineRule="auto"/>
    </w:pPr>
    <w:rPr>
      <w:rFonts w:ascii="Calibri" w:hAnsi="Calibri" w:cs="Calibri"/>
      <w:color w:val="000000"/>
      <w:lang w:val="bg-BG"/>
    </w:rPr>
  </w:style>
  <w:style w:type="character" w:styleId="Hyperlink">
    <w:name w:val="Hyperlink"/>
    <w:basedOn w:val="DefaultParagraphFont"/>
    <w:uiPriority w:val="99"/>
    <w:unhideWhenUsed/>
    <w:rsid w:val="002F1D24"/>
    <w:rPr>
      <w:color w:val="0000FF" w:themeColor="hyperlink"/>
      <w:u w:val="single"/>
    </w:rPr>
  </w:style>
  <w:style w:type="table" w:styleId="TableGrid">
    <w:name w:val="Table Grid"/>
    <w:basedOn w:val="TableNormal"/>
    <w:uiPriority w:val="59"/>
    <w:rsid w:val="00611093"/>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F23F9"/>
  </w:style>
  <w:style w:type="character" w:customStyle="1" w:styleId="ListParagraphChar">
    <w:name w:val="List Paragraph Char"/>
    <w:link w:val="ListParagraph"/>
    <w:uiPriority w:val="34"/>
    <w:locked/>
    <w:rsid w:val="009F23F9"/>
    <w:rPr>
      <w:rFonts w:ascii="Tahoma" w:eastAsia="Times New Roman" w:hAnsi="Tahoma" w:cs="Tahoma"/>
      <w:lang w:eastAsia="bg-BG"/>
    </w:rPr>
  </w:style>
  <w:style w:type="table" w:customStyle="1" w:styleId="TableGrid1">
    <w:name w:val="Table Grid1"/>
    <w:basedOn w:val="TableNormal"/>
    <w:next w:val="TableGrid"/>
    <w:uiPriority w:val="59"/>
    <w:rsid w:val="009F23F9"/>
    <w:pPr>
      <w:spacing w:after="0" w:line="240" w:lineRule="auto"/>
    </w:pPr>
    <w:rPr>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3F9"/>
    <w:pPr>
      <w:spacing w:after="0" w:line="240" w:lineRule="auto"/>
    </w:pPr>
    <w:rPr>
      <w:szCs w:val="22"/>
      <w:lang w:val="bg-BG"/>
    </w:rPr>
  </w:style>
  <w:style w:type="character" w:styleId="Emphasis">
    <w:name w:val="Emphasis"/>
    <w:basedOn w:val="DefaultParagraphFont"/>
    <w:uiPriority w:val="20"/>
    <w:qFormat/>
    <w:rsid w:val="009F23F9"/>
    <w:rPr>
      <w:b/>
      <w:bCs/>
      <w:i w:val="0"/>
      <w:iCs w:val="0"/>
    </w:rPr>
  </w:style>
  <w:style w:type="character" w:customStyle="1" w:styleId="st1">
    <w:name w:val="st1"/>
    <w:basedOn w:val="DefaultParagraphFont"/>
    <w:rsid w:val="009F23F9"/>
  </w:style>
  <w:style w:type="paragraph" w:styleId="NormalWeb">
    <w:name w:val="Normal (Web)"/>
    <w:basedOn w:val="Normal"/>
    <w:uiPriority w:val="99"/>
    <w:semiHidden/>
    <w:unhideWhenUsed/>
    <w:rsid w:val="009F23F9"/>
    <w:pPr>
      <w:spacing w:before="100" w:beforeAutospacing="1" w:after="100" w:afterAutospacing="1"/>
    </w:pPr>
  </w:style>
  <w:style w:type="paragraph" w:styleId="CommentText">
    <w:name w:val="annotation text"/>
    <w:basedOn w:val="Normal"/>
    <w:link w:val="CommentTextChar"/>
    <w:semiHidden/>
    <w:rsid w:val="009F23F9"/>
    <w:rPr>
      <w:rFonts w:ascii="Hebar" w:hAnsi="Hebar"/>
      <w:sz w:val="20"/>
      <w:szCs w:val="20"/>
      <w:lang w:val="en-GB" w:eastAsia="en-US"/>
    </w:rPr>
  </w:style>
  <w:style w:type="character" w:customStyle="1" w:styleId="CommentTextChar">
    <w:name w:val="Comment Text Char"/>
    <w:basedOn w:val="DefaultParagraphFont"/>
    <w:link w:val="CommentText"/>
    <w:semiHidden/>
    <w:rsid w:val="009F23F9"/>
    <w:rPr>
      <w:rFonts w:ascii="Hebar" w:eastAsia="Times New Roman" w:hAnsi="Hebar"/>
      <w:sz w:val="20"/>
      <w:szCs w:val="20"/>
      <w:lang w:val="en-GB"/>
    </w:rPr>
  </w:style>
  <w:style w:type="paragraph" w:customStyle="1" w:styleId="CharChar1Char">
    <w:name w:val="Char Char1 Char"/>
    <w:basedOn w:val="Normal"/>
    <w:rsid w:val="004056B7"/>
    <w:pPr>
      <w:tabs>
        <w:tab w:val="left" w:pos="709"/>
      </w:tabs>
    </w:pPr>
    <w:rPr>
      <w:rFonts w:ascii="Tahoma" w:hAnsi="Tahoma"/>
      <w:lang w:val="pl-PL" w:eastAsia="pl-PL"/>
    </w:rPr>
  </w:style>
  <w:style w:type="character" w:customStyle="1" w:styleId="newdocreference">
    <w:name w:val="newdocreference"/>
    <w:rsid w:val="00074997"/>
  </w:style>
  <w:style w:type="table" w:styleId="MediumGrid3-Accent5">
    <w:name w:val="Medium Grid 3 Accent 5"/>
    <w:basedOn w:val="TableNormal"/>
    <w:uiPriority w:val="69"/>
    <w:rsid w:val="0047761F"/>
    <w:pPr>
      <w:spacing w:after="0" w:line="240" w:lineRule="auto"/>
    </w:pPr>
    <w:rPr>
      <w:rFonts w:asciiTheme="minorHAnsi" w:hAnsiTheme="minorHAnsi" w:cstheme="minorBidi"/>
      <w:sz w:val="22"/>
      <w:szCs w:val="22"/>
      <w:lang w:val="bg-B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7761F"/>
    <w:pPr>
      <w:spacing w:after="0" w:line="240" w:lineRule="auto"/>
    </w:pPr>
    <w:rPr>
      <w:rFonts w:asciiTheme="minorHAnsi" w:hAnsiTheme="minorHAnsi" w:cstheme="minorBidi"/>
      <w:sz w:val="22"/>
      <w:szCs w:val="22"/>
      <w:lang w:val="bg-B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3">
    <w:name w:val="Medium Grid 3 Accent 3"/>
    <w:basedOn w:val="TableNormal"/>
    <w:uiPriority w:val="69"/>
    <w:rsid w:val="0047761F"/>
    <w:pPr>
      <w:spacing w:after="0" w:line="240" w:lineRule="auto"/>
    </w:pPr>
    <w:rPr>
      <w:rFonts w:asciiTheme="minorHAnsi" w:hAnsiTheme="minorHAnsi" w:cstheme="minorBidi"/>
      <w:sz w:val="22"/>
      <w:szCs w:val="22"/>
      <w:lang w:val="bg-B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eading3Char">
    <w:name w:val="Heading 3 Char"/>
    <w:basedOn w:val="DefaultParagraphFont"/>
    <w:link w:val="Heading3"/>
    <w:uiPriority w:val="9"/>
    <w:rsid w:val="00B24C9B"/>
    <w:rPr>
      <w:rFonts w:asciiTheme="majorHAnsi" w:eastAsiaTheme="majorEastAsia" w:hAnsiTheme="majorHAnsi" w:cstheme="majorBidi"/>
      <w:color w:val="243F60" w:themeColor="accent1" w:themeShade="7F"/>
      <w:lang w:val="bg-BG" w:eastAsia="bg-BG"/>
    </w:rPr>
  </w:style>
  <w:style w:type="character" w:customStyle="1" w:styleId="Heading1Char">
    <w:name w:val="Heading 1 Char"/>
    <w:basedOn w:val="DefaultParagraphFont"/>
    <w:link w:val="Heading1"/>
    <w:uiPriority w:val="9"/>
    <w:rsid w:val="008E4711"/>
    <w:rPr>
      <w:rFonts w:asciiTheme="majorHAnsi" w:eastAsiaTheme="majorEastAsia" w:hAnsiTheme="majorHAnsi" w:cstheme="majorBidi"/>
      <w:color w:val="365F91" w:themeColor="accent1" w:themeShade="BF"/>
      <w:sz w:val="32"/>
      <w:szCs w:val="32"/>
      <w:lang w:val="bg-BG" w:eastAsia="bg-BG"/>
    </w:rPr>
  </w:style>
  <w:style w:type="character" w:styleId="FollowedHyperlink">
    <w:name w:val="FollowedHyperlink"/>
    <w:basedOn w:val="DefaultParagraphFont"/>
    <w:uiPriority w:val="99"/>
    <w:semiHidden/>
    <w:unhideWhenUsed/>
    <w:rsid w:val="000D2F8E"/>
    <w:rPr>
      <w:color w:val="800080" w:themeColor="followedHyperlink"/>
      <w:u w:val="single"/>
    </w:rPr>
  </w:style>
  <w:style w:type="character" w:styleId="CommentReference">
    <w:name w:val="annotation reference"/>
    <w:basedOn w:val="DefaultParagraphFont"/>
    <w:uiPriority w:val="99"/>
    <w:semiHidden/>
    <w:unhideWhenUsed/>
    <w:rsid w:val="00B97070"/>
    <w:rPr>
      <w:sz w:val="16"/>
      <w:szCs w:val="16"/>
    </w:rPr>
  </w:style>
  <w:style w:type="paragraph" w:styleId="CommentSubject">
    <w:name w:val="annotation subject"/>
    <w:basedOn w:val="CommentText"/>
    <w:next w:val="CommentText"/>
    <w:link w:val="CommentSubjectChar"/>
    <w:uiPriority w:val="99"/>
    <w:semiHidden/>
    <w:unhideWhenUsed/>
    <w:rsid w:val="00B97070"/>
    <w:rPr>
      <w:rFonts w:ascii="Times New Roman" w:hAnsi="Times New Roman"/>
      <w:b/>
      <w:bCs/>
      <w:lang w:val="bg-BG" w:eastAsia="bg-BG"/>
    </w:rPr>
  </w:style>
  <w:style w:type="character" w:customStyle="1" w:styleId="CommentSubjectChar">
    <w:name w:val="Comment Subject Char"/>
    <w:basedOn w:val="CommentTextChar"/>
    <w:link w:val="CommentSubject"/>
    <w:uiPriority w:val="99"/>
    <w:semiHidden/>
    <w:rsid w:val="00B97070"/>
    <w:rPr>
      <w:rFonts w:ascii="Hebar" w:eastAsia="Times New Roman" w:hAnsi="Hebar"/>
      <w:b/>
      <w:bCs/>
      <w:sz w:val="20"/>
      <w:szCs w:val="20"/>
      <w:lang w:val="bg-BG" w:eastAsia="bg-BG"/>
    </w:rPr>
  </w:style>
  <w:style w:type="character" w:customStyle="1" w:styleId="CharCharCharCharCharCharCharCharChar1Char">
    <w:name w:val="Char Char Char Char Char Char Char Char Char1 Char"/>
    <w:aliases w:val="Char Char Char Char,Char Char Char Char Char Char Char Char Char,Char Char Char Char Char Char Char Char Char Char Char,Car Car Char Char,Char3 Char Char Char Char"/>
    <w:uiPriority w:val="99"/>
    <w:locked/>
    <w:rsid w:val="001A28D2"/>
    <w:rPr>
      <w:rFonts w:ascii="Tahoma" w:hAnsi="Tahoma" w:cs="Tahom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pPr>
      <w:spacing w:after="0" w:line="240" w:lineRule="auto"/>
    </w:pPr>
    <w:rPr>
      <w:rFonts w:eastAsia="Times New Roman"/>
      <w:lang w:val="bg-BG" w:eastAsia="bg-BG"/>
    </w:rPr>
  </w:style>
  <w:style w:type="paragraph" w:styleId="Heading1">
    <w:name w:val="heading 1"/>
    <w:basedOn w:val="Normal"/>
    <w:next w:val="Normal"/>
    <w:link w:val="Heading1Char"/>
    <w:uiPriority w:val="9"/>
    <w:qFormat/>
    <w:rsid w:val="008E4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24C9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 Char Char,Char"/>
    <w:basedOn w:val="Normal"/>
    <w:link w:val="FootnoteTextChar"/>
    <w:uiPriority w:val="99"/>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
    <w:rsid w:val="00FB3DDD"/>
    <w:rPr>
      <w:vertAlign w:val="superscript"/>
    </w:rPr>
  </w:style>
  <w:style w:type="paragraph" w:styleId="ListParagraph">
    <w:name w:val="List Paragraph"/>
    <w:basedOn w:val="Normal"/>
    <w:link w:val="ListParagraphChar"/>
    <w:uiPriority w:val="34"/>
    <w:qFormat/>
    <w:rsid w:val="00FB3DDD"/>
    <w:pPr>
      <w:ind w:left="720"/>
      <w:contextualSpacing/>
    </w:pPr>
    <w:rPr>
      <w:rFonts w:ascii="Tahoma" w:hAnsi="Tahoma" w:cs="Tahoma"/>
      <w:lang w:val="en-US"/>
    </w:rPr>
  </w:style>
  <w:style w:type="paragraph" w:styleId="BalloonText">
    <w:name w:val="Balloon Text"/>
    <w:basedOn w:val="Normal"/>
    <w:link w:val="BalloonTextChar"/>
    <w:uiPriority w:val="99"/>
    <w:semiHidden/>
    <w:unhideWhenUsed/>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iPriority w:val="99"/>
    <w:unhideWhenUsed/>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paragraph" w:styleId="BodyText">
    <w:name w:val="Body Text"/>
    <w:basedOn w:val="Normal"/>
    <w:link w:val="BodyTextChar"/>
    <w:rsid w:val="002146AD"/>
    <w:pPr>
      <w:jc w:val="center"/>
    </w:pPr>
    <w:rPr>
      <w:rFonts w:ascii="Tahoma" w:hAnsi="Tahoma"/>
      <w:sz w:val="28"/>
      <w:szCs w:val="20"/>
      <w:lang w:eastAsia="en-US"/>
    </w:rPr>
  </w:style>
  <w:style w:type="character" w:customStyle="1" w:styleId="BodyTextChar">
    <w:name w:val="Body Text Char"/>
    <w:basedOn w:val="DefaultParagraphFont"/>
    <w:link w:val="BodyText"/>
    <w:rsid w:val="002146AD"/>
    <w:rPr>
      <w:rFonts w:ascii="Tahoma" w:eastAsia="Times New Roman" w:hAnsi="Tahoma"/>
      <w:sz w:val="28"/>
      <w:szCs w:val="20"/>
      <w:lang w:val="bg-BG"/>
    </w:rPr>
  </w:style>
  <w:style w:type="paragraph" w:customStyle="1" w:styleId="Default">
    <w:name w:val="Default"/>
    <w:rsid w:val="002146AD"/>
    <w:pPr>
      <w:autoSpaceDE w:val="0"/>
      <w:autoSpaceDN w:val="0"/>
      <w:adjustRightInd w:val="0"/>
      <w:spacing w:after="0" w:line="240" w:lineRule="auto"/>
    </w:pPr>
    <w:rPr>
      <w:rFonts w:ascii="Calibri" w:hAnsi="Calibri" w:cs="Calibri"/>
      <w:color w:val="000000"/>
      <w:lang w:val="bg-BG"/>
    </w:rPr>
  </w:style>
  <w:style w:type="character" w:styleId="Hyperlink">
    <w:name w:val="Hyperlink"/>
    <w:basedOn w:val="DefaultParagraphFont"/>
    <w:uiPriority w:val="99"/>
    <w:unhideWhenUsed/>
    <w:rsid w:val="002F1D24"/>
    <w:rPr>
      <w:color w:val="0000FF" w:themeColor="hyperlink"/>
      <w:u w:val="single"/>
    </w:rPr>
  </w:style>
  <w:style w:type="table" w:styleId="TableGrid">
    <w:name w:val="Table Grid"/>
    <w:basedOn w:val="TableNormal"/>
    <w:uiPriority w:val="59"/>
    <w:rsid w:val="00611093"/>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F23F9"/>
  </w:style>
  <w:style w:type="character" w:customStyle="1" w:styleId="ListParagraphChar">
    <w:name w:val="List Paragraph Char"/>
    <w:link w:val="ListParagraph"/>
    <w:uiPriority w:val="34"/>
    <w:locked/>
    <w:rsid w:val="009F23F9"/>
    <w:rPr>
      <w:rFonts w:ascii="Tahoma" w:eastAsia="Times New Roman" w:hAnsi="Tahoma" w:cs="Tahoma"/>
      <w:lang w:eastAsia="bg-BG"/>
    </w:rPr>
  </w:style>
  <w:style w:type="table" w:customStyle="1" w:styleId="TableGrid1">
    <w:name w:val="Table Grid1"/>
    <w:basedOn w:val="TableNormal"/>
    <w:next w:val="TableGrid"/>
    <w:uiPriority w:val="59"/>
    <w:rsid w:val="009F23F9"/>
    <w:pPr>
      <w:spacing w:after="0" w:line="240" w:lineRule="auto"/>
    </w:pPr>
    <w:rPr>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3F9"/>
    <w:pPr>
      <w:spacing w:after="0" w:line="240" w:lineRule="auto"/>
    </w:pPr>
    <w:rPr>
      <w:szCs w:val="22"/>
      <w:lang w:val="bg-BG"/>
    </w:rPr>
  </w:style>
  <w:style w:type="character" w:styleId="Emphasis">
    <w:name w:val="Emphasis"/>
    <w:basedOn w:val="DefaultParagraphFont"/>
    <w:uiPriority w:val="20"/>
    <w:qFormat/>
    <w:rsid w:val="009F23F9"/>
    <w:rPr>
      <w:b/>
      <w:bCs/>
      <w:i w:val="0"/>
      <w:iCs w:val="0"/>
    </w:rPr>
  </w:style>
  <w:style w:type="character" w:customStyle="1" w:styleId="st1">
    <w:name w:val="st1"/>
    <w:basedOn w:val="DefaultParagraphFont"/>
    <w:rsid w:val="009F23F9"/>
  </w:style>
  <w:style w:type="paragraph" w:styleId="NormalWeb">
    <w:name w:val="Normal (Web)"/>
    <w:basedOn w:val="Normal"/>
    <w:uiPriority w:val="99"/>
    <w:semiHidden/>
    <w:unhideWhenUsed/>
    <w:rsid w:val="009F23F9"/>
    <w:pPr>
      <w:spacing w:before="100" w:beforeAutospacing="1" w:after="100" w:afterAutospacing="1"/>
    </w:pPr>
  </w:style>
  <w:style w:type="paragraph" w:styleId="CommentText">
    <w:name w:val="annotation text"/>
    <w:basedOn w:val="Normal"/>
    <w:link w:val="CommentTextChar"/>
    <w:semiHidden/>
    <w:rsid w:val="009F23F9"/>
    <w:rPr>
      <w:rFonts w:ascii="Hebar" w:hAnsi="Hebar"/>
      <w:sz w:val="20"/>
      <w:szCs w:val="20"/>
      <w:lang w:val="en-GB" w:eastAsia="en-US"/>
    </w:rPr>
  </w:style>
  <w:style w:type="character" w:customStyle="1" w:styleId="CommentTextChar">
    <w:name w:val="Comment Text Char"/>
    <w:basedOn w:val="DefaultParagraphFont"/>
    <w:link w:val="CommentText"/>
    <w:semiHidden/>
    <w:rsid w:val="009F23F9"/>
    <w:rPr>
      <w:rFonts w:ascii="Hebar" w:eastAsia="Times New Roman" w:hAnsi="Hebar"/>
      <w:sz w:val="20"/>
      <w:szCs w:val="20"/>
      <w:lang w:val="en-GB"/>
    </w:rPr>
  </w:style>
  <w:style w:type="paragraph" w:customStyle="1" w:styleId="CharChar1Char">
    <w:name w:val="Char Char1 Char"/>
    <w:basedOn w:val="Normal"/>
    <w:rsid w:val="004056B7"/>
    <w:pPr>
      <w:tabs>
        <w:tab w:val="left" w:pos="709"/>
      </w:tabs>
    </w:pPr>
    <w:rPr>
      <w:rFonts w:ascii="Tahoma" w:hAnsi="Tahoma"/>
      <w:lang w:val="pl-PL" w:eastAsia="pl-PL"/>
    </w:rPr>
  </w:style>
  <w:style w:type="character" w:customStyle="1" w:styleId="newdocreference">
    <w:name w:val="newdocreference"/>
    <w:rsid w:val="00074997"/>
  </w:style>
  <w:style w:type="table" w:styleId="MediumGrid3-Accent5">
    <w:name w:val="Medium Grid 3 Accent 5"/>
    <w:basedOn w:val="TableNormal"/>
    <w:uiPriority w:val="69"/>
    <w:rsid w:val="0047761F"/>
    <w:pPr>
      <w:spacing w:after="0" w:line="240" w:lineRule="auto"/>
    </w:pPr>
    <w:rPr>
      <w:rFonts w:asciiTheme="minorHAnsi" w:hAnsiTheme="minorHAnsi" w:cstheme="minorBidi"/>
      <w:sz w:val="22"/>
      <w:szCs w:val="22"/>
      <w:lang w:val="bg-B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7761F"/>
    <w:pPr>
      <w:spacing w:after="0" w:line="240" w:lineRule="auto"/>
    </w:pPr>
    <w:rPr>
      <w:rFonts w:asciiTheme="minorHAnsi" w:hAnsiTheme="minorHAnsi" w:cstheme="minorBidi"/>
      <w:sz w:val="22"/>
      <w:szCs w:val="22"/>
      <w:lang w:val="bg-B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3">
    <w:name w:val="Medium Grid 3 Accent 3"/>
    <w:basedOn w:val="TableNormal"/>
    <w:uiPriority w:val="69"/>
    <w:rsid w:val="0047761F"/>
    <w:pPr>
      <w:spacing w:after="0" w:line="240" w:lineRule="auto"/>
    </w:pPr>
    <w:rPr>
      <w:rFonts w:asciiTheme="minorHAnsi" w:hAnsiTheme="minorHAnsi" w:cstheme="minorBidi"/>
      <w:sz w:val="22"/>
      <w:szCs w:val="22"/>
      <w:lang w:val="bg-BG"/>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eading3Char">
    <w:name w:val="Heading 3 Char"/>
    <w:basedOn w:val="DefaultParagraphFont"/>
    <w:link w:val="Heading3"/>
    <w:uiPriority w:val="9"/>
    <w:rsid w:val="00B24C9B"/>
    <w:rPr>
      <w:rFonts w:asciiTheme="majorHAnsi" w:eastAsiaTheme="majorEastAsia" w:hAnsiTheme="majorHAnsi" w:cstheme="majorBidi"/>
      <w:color w:val="243F60" w:themeColor="accent1" w:themeShade="7F"/>
      <w:lang w:val="bg-BG" w:eastAsia="bg-BG"/>
    </w:rPr>
  </w:style>
  <w:style w:type="character" w:customStyle="1" w:styleId="Heading1Char">
    <w:name w:val="Heading 1 Char"/>
    <w:basedOn w:val="DefaultParagraphFont"/>
    <w:link w:val="Heading1"/>
    <w:uiPriority w:val="9"/>
    <w:rsid w:val="008E4711"/>
    <w:rPr>
      <w:rFonts w:asciiTheme="majorHAnsi" w:eastAsiaTheme="majorEastAsia" w:hAnsiTheme="majorHAnsi" w:cstheme="majorBidi"/>
      <w:color w:val="365F91" w:themeColor="accent1" w:themeShade="BF"/>
      <w:sz w:val="32"/>
      <w:szCs w:val="32"/>
      <w:lang w:val="bg-BG" w:eastAsia="bg-BG"/>
    </w:rPr>
  </w:style>
  <w:style w:type="character" w:styleId="FollowedHyperlink">
    <w:name w:val="FollowedHyperlink"/>
    <w:basedOn w:val="DefaultParagraphFont"/>
    <w:uiPriority w:val="99"/>
    <w:semiHidden/>
    <w:unhideWhenUsed/>
    <w:rsid w:val="000D2F8E"/>
    <w:rPr>
      <w:color w:val="800080" w:themeColor="followedHyperlink"/>
      <w:u w:val="single"/>
    </w:rPr>
  </w:style>
  <w:style w:type="character" w:styleId="CommentReference">
    <w:name w:val="annotation reference"/>
    <w:basedOn w:val="DefaultParagraphFont"/>
    <w:uiPriority w:val="99"/>
    <w:semiHidden/>
    <w:unhideWhenUsed/>
    <w:rsid w:val="00B97070"/>
    <w:rPr>
      <w:sz w:val="16"/>
      <w:szCs w:val="16"/>
    </w:rPr>
  </w:style>
  <w:style w:type="paragraph" w:styleId="CommentSubject">
    <w:name w:val="annotation subject"/>
    <w:basedOn w:val="CommentText"/>
    <w:next w:val="CommentText"/>
    <w:link w:val="CommentSubjectChar"/>
    <w:uiPriority w:val="99"/>
    <w:semiHidden/>
    <w:unhideWhenUsed/>
    <w:rsid w:val="00B97070"/>
    <w:rPr>
      <w:rFonts w:ascii="Times New Roman" w:hAnsi="Times New Roman"/>
      <w:b/>
      <w:bCs/>
      <w:lang w:val="bg-BG" w:eastAsia="bg-BG"/>
    </w:rPr>
  </w:style>
  <w:style w:type="character" w:customStyle="1" w:styleId="CommentSubjectChar">
    <w:name w:val="Comment Subject Char"/>
    <w:basedOn w:val="CommentTextChar"/>
    <w:link w:val="CommentSubject"/>
    <w:uiPriority w:val="99"/>
    <w:semiHidden/>
    <w:rsid w:val="00B97070"/>
    <w:rPr>
      <w:rFonts w:ascii="Hebar" w:eastAsia="Times New Roman" w:hAnsi="Hebar"/>
      <w:b/>
      <w:bCs/>
      <w:sz w:val="20"/>
      <w:szCs w:val="20"/>
      <w:lang w:val="bg-BG" w:eastAsia="bg-BG"/>
    </w:rPr>
  </w:style>
  <w:style w:type="character" w:customStyle="1" w:styleId="CharCharCharCharCharCharCharCharChar1Char">
    <w:name w:val="Char Char Char Char Char Char Char Char Char1 Char"/>
    <w:aliases w:val="Char Char Char Char,Char Char Char Char Char Char Char Char Char,Char Char Char Char Char Char Char Char Char Char Char,Car Car Char Char,Char3 Char Char Char Char"/>
    <w:uiPriority w:val="99"/>
    <w:locked/>
    <w:rsid w:val="001A28D2"/>
    <w:rPr>
      <w:rFonts w:ascii="Tahoma"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0311">
      <w:bodyDiv w:val="1"/>
      <w:marLeft w:val="0"/>
      <w:marRight w:val="0"/>
      <w:marTop w:val="0"/>
      <w:marBottom w:val="0"/>
      <w:divBdr>
        <w:top w:val="none" w:sz="0" w:space="0" w:color="auto"/>
        <w:left w:val="none" w:sz="0" w:space="0" w:color="auto"/>
        <w:bottom w:val="none" w:sz="0" w:space="0" w:color="auto"/>
        <w:right w:val="none" w:sz="0" w:space="0" w:color="auto"/>
      </w:divBdr>
    </w:div>
    <w:div w:id="208879309">
      <w:bodyDiv w:val="1"/>
      <w:marLeft w:val="0"/>
      <w:marRight w:val="0"/>
      <w:marTop w:val="0"/>
      <w:marBottom w:val="0"/>
      <w:divBdr>
        <w:top w:val="none" w:sz="0" w:space="0" w:color="auto"/>
        <w:left w:val="none" w:sz="0" w:space="0" w:color="auto"/>
        <w:bottom w:val="none" w:sz="0" w:space="0" w:color="auto"/>
        <w:right w:val="none" w:sz="0" w:space="0" w:color="auto"/>
      </w:divBdr>
    </w:div>
    <w:div w:id="244386277">
      <w:bodyDiv w:val="1"/>
      <w:marLeft w:val="0"/>
      <w:marRight w:val="0"/>
      <w:marTop w:val="0"/>
      <w:marBottom w:val="0"/>
      <w:divBdr>
        <w:top w:val="none" w:sz="0" w:space="0" w:color="auto"/>
        <w:left w:val="none" w:sz="0" w:space="0" w:color="auto"/>
        <w:bottom w:val="none" w:sz="0" w:space="0" w:color="auto"/>
        <w:right w:val="none" w:sz="0" w:space="0" w:color="auto"/>
      </w:divBdr>
    </w:div>
    <w:div w:id="373621181">
      <w:bodyDiv w:val="1"/>
      <w:marLeft w:val="0"/>
      <w:marRight w:val="0"/>
      <w:marTop w:val="0"/>
      <w:marBottom w:val="0"/>
      <w:divBdr>
        <w:top w:val="none" w:sz="0" w:space="0" w:color="auto"/>
        <w:left w:val="none" w:sz="0" w:space="0" w:color="auto"/>
        <w:bottom w:val="none" w:sz="0" w:space="0" w:color="auto"/>
        <w:right w:val="none" w:sz="0" w:space="0" w:color="auto"/>
      </w:divBdr>
    </w:div>
    <w:div w:id="493028381">
      <w:bodyDiv w:val="1"/>
      <w:marLeft w:val="0"/>
      <w:marRight w:val="0"/>
      <w:marTop w:val="0"/>
      <w:marBottom w:val="0"/>
      <w:divBdr>
        <w:top w:val="none" w:sz="0" w:space="0" w:color="auto"/>
        <w:left w:val="none" w:sz="0" w:space="0" w:color="auto"/>
        <w:bottom w:val="none" w:sz="0" w:space="0" w:color="auto"/>
        <w:right w:val="none" w:sz="0" w:space="0" w:color="auto"/>
      </w:divBdr>
    </w:div>
    <w:div w:id="1337536546">
      <w:bodyDiv w:val="1"/>
      <w:marLeft w:val="0"/>
      <w:marRight w:val="0"/>
      <w:marTop w:val="0"/>
      <w:marBottom w:val="0"/>
      <w:divBdr>
        <w:top w:val="none" w:sz="0" w:space="0" w:color="auto"/>
        <w:left w:val="none" w:sz="0" w:space="0" w:color="auto"/>
        <w:bottom w:val="none" w:sz="0" w:space="0" w:color="auto"/>
        <w:right w:val="none" w:sz="0" w:space="0" w:color="auto"/>
      </w:divBdr>
    </w:div>
    <w:div w:id="1647125561">
      <w:bodyDiv w:val="1"/>
      <w:marLeft w:val="0"/>
      <w:marRight w:val="0"/>
      <w:marTop w:val="0"/>
      <w:marBottom w:val="0"/>
      <w:divBdr>
        <w:top w:val="none" w:sz="0" w:space="0" w:color="auto"/>
        <w:left w:val="none" w:sz="0" w:space="0" w:color="auto"/>
        <w:bottom w:val="none" w:sz="0" w:space="0" w:color="auto"/>
        <w:right w:val="none" w:sz="0" w:space="0" w:color="auto"/>
      </w:divBdr>
    </w:div>
    <w:div w:id="1676571551">
      <w:bodyDiv w:val="1"/>
      <w:marLeft w:val="0"/>
      <w:marRight w:val="0"/>
      <w:marTop w:val="0"/>
      <w:marBottom w:val="0"/>
      <w:divBdr>
        <w:top w:val="none" w:sz="0" w:space="0" w:color="auto"/>
        <w:left w:val="none" w:sz="0" w:space="0" w:color="auto"/>
        <w:bottom w:val="none" w:sz="0" w:space="0" w:color="auto"/>
        <w:right w:val="none" w:sz="0" w:space="0" w:color="auto"/>
      </w:divBdr>
    </w:div>
    <w:div w:id="1973441691">
      <w:bodyDiv w:val="1"/>
      <w:marLeft w:val="0"/>
      <w:marRight w:val="0"/>
      <w:marTop w:val="0"/>
      <w:marBottom w:val="0"/>
      <w:divBdr>
        <w:top w:val="none" w:sz="0" w:space="0" w:color="auto"/>
        <w:left w:val="none" w:sz="0" w:space="0" w:color="auto"/>
        <w:bottom w:val="none" w:sz="0" w:space="0" w:color="auto"/>
        <w:right w:val="none" w:sz="0" w:space="0" w:color="auto"/>
      </w:divBdr>
    </w:div>
    <w:div w:id="20082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fin.bg/document/16470:3" TargetMode="External"/><Relationship Id="rId18" Type="http://schemas.openxmlformats.org/officeDocument/2006/relationships/hyperlink" Target="http://web.apis.bg/p.php?i=2708190" TargetMode="External"/><Relationship Id="rId26" Type="http://schemas.openxmlformats.org/officeDocument/2006/relationships/hyperlink" Target="http://web.apis.bg/p.php?i=76151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fin.bg/document/19005:1" TargetMode="External"/><Relationship Id="rId34"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bg.wikipedia.org/wiki/%D0%91%D0%9D%D0%91" TargetMode="External"/><Relationship Id="rId25" Type="http://schemas.openxmlformats.org/officeDocument/2006/relationships/hyperlink" Target="https://www.minfin.bg/document/18171:5" TargetMode="External"/><Relationship Id="rId33" Type="http://schemas.openxmlformats.org/officeDocument/2006/relationships/hyperlink" Target="http://web.apis.bg/p.php?i=303842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apis.bg/p.php?i=5606" TargetMode="External"/><Relationship Id="rId20" Type="http://schemas.openxmlformats.org/officeDocument/2006/relationships/hyperlink" Target="http://www.minfin.bg/document/18738:1" TargetMode="External"/><Relationship Id="rId29" Type="http://schemas.openxmlformats.org/officeDocument/2006/relationships/hyperlink" Target="http://web.apis.bg/p.php?i=2304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bg/url?sa=t&amp;rct=j&amp;q=&amp;esrc=s&amp;source=web&amp;cd=1&amp;cad=rja&amp;uact=8&amp;ved=0ahUKEwi0xeOf0dvVAhWCbxQKHevpA3AQFggkMAA&amp;url=http%3A%2F%2Fwww.ciaf.government.bg%2F&amp;usg=AFQjCNE5wpAzqcrb60aeiST-o3Gfm5RFCg" TargetMode="External"/><Relationship Id="rId24" Type="http://schemas.openxmlformats.org/officeDocument/2006/relationships/hyperlink" Target="http://www.minfin.bg/document/19005:1" TargetMode="External"/><Relationship Id="rId32" Type="http://schemas.openxmlformats.org/officeDocument/2006/relationships/hyperlink" Target="http://web.apis.bg/p.php?i=2989349"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eb.apis.bg/e.php?b=1&amp;i=335228" TargetMode="External"/><Relationship Id="rId23" Type="http://schemas.openxmlformats.org/officeDocument/2006/relationships/hyperlink" Target="http://www.minfin.bg/document/18738:1" TargetMode="External"/><Relationship Id="rId28" Type="http://schemas.openxmlformats.org/officeDocument/2006/relationships/hyperlink" Target="http://web.apis.bg/p.php?i=350621" TargetMode="Externa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www.minfin.bg/document/17862:3" TargetMode="External"/><Relationship Id="rId31" Type="http://schemas.openxmlformats.org/officeDocument/2006/relationships/hyperlink" Target="http://web.apis.bg/p.php?i=38363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fin.bg/document/19941:2" TargetMode="External"/><Relationship Id="rId22" Type="http://schemas.openxmlformats.org/officeDocument/2006/relationships/hyperlink" Target="http://www.minfin.bg/document/17862:3" TargetMode="External"/><Relationship Id="rId27" Type="http://schemas.openxmlformats.org/officeDocument/2006/relationships/hyperlink" Target="http://web.apis.bg/p.php?i=761517" TargetMode="External"/><Relationship Id="rId30" Type="http://schemas.openxmlformats.org/officeDocument/2006/relationships/hyperlink" Target="http://web.apis.bg/p.php?i=374140"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minfin.bg/bg/statistics/4" TargetMode="External"/><Relationship Id="rId13" Type="http://schemas.openxmlformats.org/officeDocument/2006/relationships/hyperlink" Target="https://www.minfin.bg/bg/page/810" TargetMode="External"/><Relationship Id="rId3" Type="http://schemas.openxmlformats.org/officeDocument/2006/relationships/hyperlink" Target="http://www.minfin.bg/bg/page/1144" TargetMode="External"/><Relationship Id="rId7" Type="http://schemas.openxmlformats.org/officeDocument/2006/relationships/hyperlink" Target="http://www.minfin.bg/bg/statistics/20" TargetMode="External"/><Relationship Id="rId12" Type="http://schemas.openxmlformats.org/officeDocument/2006/relationships/hyperlink" Target="https://www.minfin.bg/bg/page/866" TargetMode="External"/><Relationship Id="rId2" Type="http://schemas.openxmlformats.org/officeDocument/2006/relationships/hyperlink" Target="http://web.apis.bg/p.php?i=761517" TargetMode="External"/><Relationship Id="rId1" Type="http://schemas.openxmlformats.org/officeDocument/2006/relationships/hyperlink" Target="http://web.apis.bg/p.php?i=761517" TargetMode="External"/><Relationship Id="rId6" Type="http://schemas.openxmlformats.org/officeDocument/2006/relationships/hyperlink" Target="http://www.minfin.bg/bg/page/860" TargetMode="External"/><Relationship Id="rId11" Type="http://schemas.openxmlformats.org/officeDocument/2006/relationships/hyperlink" Target="https://www.minfin.bg/tdocs/1477494616.pdf" TargetMode="External"/><Relationship Id="rId5" Type="http://schemas.openxmlformats.org/officeDocument/2006/relationships/hyperlink" Target="http://www.nsi.bg/bg/content/2206/%D0%B1%D0%B2%D0%BF-%D0%BF%D1%80%D0%BE%D0%B8%D0%B7%D0%B2%D0%BE%D0%B4%D1%81%D1%82%D0%B2%D0%B5%D0%BD-%D0%BC%D0%B5%D1%82%D0%BE%D0%B4-%D0%BD%D0%B0%D1%86%D0%B8%D0%BE%D0%BD%D0%B0%D0%BB%D0%BD%D0%BE-%D0%BD%D0%B8%D0%B2%D0%BE" TargetMode="External"/><Relationship Id="rId15" Type="http://schemas.openxmlformats.org/officeDocument/2006/relationships/hyperlink" Target="https://www.minfin.bg/bg/page/1144" TargetMode="External"/><Relationship Id="rId10" Type="http://schemas.openxmlformats.org/officeDocument/2006/relationships/hyperlink" Target="http://www.minfin.bg/bg/page/866" TargetMode="External"/><Relationship Id="rId4" Type="http://schemas.openxmlformats.org/officeDocument/2006/relationships/hyperlink" Target="http://www.nsi.bg/sites/default/files/files/pressreleases/GFS2016p_B4PZ7TU.pdf" TargetMode="External"/><Relationship Id="rId9" Type="http://schemas.openxmlformats.org/officeDocument/2006/relationships/hyperlink" Target="https://www.minfin.bg/document/19286:2" TargetMode="External"/><Relationship Id="rId14" Type="http://schemas.openxmlformats.org/officeDocument/2006/relationships/hyperlink" Target="https://www.minfin.bg/bg/page/114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Лист1!$A$2</c:f>
              <c:strCache>
                <c:ptCount val="1"/>
                <c:pt idx="0">
                  <c:v>Текущи нелихвени разходи</c:v>
                </c:pt>
              </c:strCache>
            </c:strRef>
          </c:tx>
          <c:spPr>
            <a:solidFill>
              <a:schemeClr val="accent5">
                <a:shade val="65000"/>
              </a:schemeClr>
            </a:solidFill>
            <a:ln>
              <a:noFill/>
            </a:ln>
            <a:effectLst/>
            <a:sp3d/>
          </c:spPr>
          <c:invertIfNegative val="0"/>
          <c:dLbls>
            <c:dLbl>
              <c:idx val="0"/>
              <c:layout>
                <c:manualLayout>
                  <c:x val="1.3888888888888888E-2"/>
                  <c:y val="0"/>
                </c:manualLayout>
              </c:layout>
              <c:tx>
                <c:rich>
                  <a:bodyPr/>
                  <a:lstStyle/>
                  <a:p>
                    <a:r>
                      <a:rPr lang="en-US"/>
                      <a:t>86,2%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5C-4A6B-85EC-C48F459F8BB0}"/>
                </c:ext>
              </c:extLst>
            </c:dLbl>
            <c:dLbl>
              <c:idx val="1"/>
              <c:layout>
                <c:manualLayout>
                  <c:x val="8.3333333333333332E-3"/>
                  <c:y val="0"/>
                </c:manualLayout>
              </c:layout>
              <c:tx>
                <c:rich>
                  <a:bodyPr/>
                  <a:lstStyle/>
                  <a:p>
                    <a:r>
                      <a:rPr lang="en-US"/>
                      <a:t>84,9%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5C-4A6B-85EC-C48F459F8BB0}"/>
                </c:ext>
              </c:extLst>
            </c:dLbl>
            <c:dLbl>
              <c:idx val="2"/>
              <c:layout>
                <c:manualLayout>
                  <c:x val="3.0585124651661194E-3"/>
                  <c:y val="-1.7147756501857674E-2"/>
                </c:manualLayout>
              </c:layout>
              <c:tx>
                <c:rich>
                  <a:bodyPr/>
                  <a:lstStyle/>
                  <a:p>
                    <a:r>
                      <a:rPr lang="en-US"/>
                      <a:t>73,2%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5C-4A6B-85EC-C48F459F8BB0}"/>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Лист1!$B$1:$D$1</c:f>
              <c:numCache>
                <c:formatCode>General</c:formatCode>
                <c:ptCount val="3"/>
                <c:pt idx="0">
                  <c:v>2014</c:v>
                </c:pt>
                <c:pt idx="1">
                  <c:v>2015</c:v>
                </c:pt>
                <c:pt idx="2">
                  <c:v>2016</c:v>
                </c:pt>
              </c:numCache>
            </c:numRef>
          </c:cat>
          <c:val>
            <c:numRef>
              <c:f>Лист1!$B$2:$D$2</c:f>
              <c:numCache>
                <c:formatCode>General</c:formatCode>
                <c:ptCount val="3"/>
                <c:pt idx="0">
                  <c:v>86.2</c:v>
                </c:pt>
                <c:pt idx="1">
                  <c:v>84.9</c:v>
                </c:pt>
                <c:pt idx="2">
                  <c:v>73.2</c:v>
                </c:pt>
              </c:numCache>
            </c:numRef>
          </c:val>
          <c:extLst xmlns:c16r2="http://schemas.microsoft.com/office/drawing/2015/06/chart">
            <c:ext xmlns:c16="http://schemas.microsoft.com/office/drawing/2014/chart" uri="{C3380CC4-5D6E-409C-BE32-E72D297353CC}">
              <c16:uniqueId val="{00000003-8F5C-4A6B-85EC-C48F459F8BB0}"/>
            </c:ext>
          </c:extLst>
        </c:ser>
        <c:ser>
          <c:idx val="1"/>
          <c:order val="1"/>
          <c:tx>
            <c:strRef>
              <c:f>Лист1!$A$3</c:f>
              <c:strCache>
                <c:ptCount val="1"/>
                <c:pt idx="0">
                  <c:v>Капиталови разходи</c:v>
                </c:pt>
              </c:strCache>
            </c:strRef>
          </c:tx>
          <c:spPr>
            <a:solidFill>
              <a:schemeClr val="accent5"/>
            </a:solidFill>
            <a:ln>
              <a:noFill/>
            </a:ln>
            <a:effectLst/>
            <a:sp3d/>
          </c:spPr>
          <c:invertIfNegative val="0"/>
          <c:dLbls>
            <c:dLbl>
              <c:idx val="0"/>
              <c:layout>
                <c:manualLayout>
                  <c:x val="2.5462668816039986E-17"/>
                  <c:y val="-9.2592592592592587E-3"/>
                </c:manualLayout>
              </c:layout>
              <c:tx>
                <c:rich>
                  <a:bodyPr/>
                  <a:lstStyle/>
                  <a:p>
                    <a:r>
                      <a:rPr lang="en-US"/>
                      <a:t>7,4%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F5C-4A6B-85EC-C48F459F8BB0}"/>
                </c:ext>
              </c:extLst>
            </c:dLbl>
            <c:dLbl>
              <c:idx val="1"/>
              <c:layout>
                <c:manualLayout>
                  <c:x val="2.7777777777777779E-3"/>
                  <c:y val="-9.2592592592592587E-3"/>
                </c:manualLayout>
              </c:layout>
              <c:tx>
                <c:rich>
                  <a:bodyPr/>
                  <a:lstStyle/>
                  <a:p>
                    <a:r>
                      <a:rPr lang="en-US"/>
                      <a:t>7,6%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F5C-4A6B-85EC-C48F459F8BB0}"/>
                </c:ext>
              </c:extLst>
            </c:dLbl>
            <c:dLbl>
              <c:idx val="2"/>
              <c:layout>
                <c:manualLayout>
                  <c:x val="1.111112285303352E-2"/>
                  <c:y val="-3.7838932608416802E-2"/>
                </c:manualLayout>
              </c:layout>
              <c:tx>
                <c:rich>
                  <a:bodyPr/>
                  <a:lstStyle/>
                  <a:p>
                    <a:r>
                      <a:rPr lang="en-US"/>
                      <a:t>19,9%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F5C-4A6B-85EC-C48F459F8BB0}"/>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Лист1!$B$1:$D$1</c:f>
              <c:numCache>
                <c:formatCode>General</c:formatCode>
                <c:ptCount val="3"/>
                <c:pt idx="0">
                  <c:v>2014</c:v>
                </c:pt>
                <c:pt idx="1">
                  <c:v>2015</c:v>
                </c:pt>
                <c:pt idx="2">
                  <c:v>2016</c:v>
                </c:pt>
              </c:numCache>
            </c:numRef>
          </c:cat>
          <c:val>
            <c:numRef>
              <c:f>Лист1!$B$3:$D$3</c:f>
              <c:numCache>
                <c:formatCode>General</c:formatCode>
                <c:ptCount val="3"/>
                <c:pt idx="0">
                  <c:v>7.4</c:v>
                </c:pt>
                <c:pt idx="1">
                  <c:v>7.6</c:v>
                </c:pt>
                <c:pt idx="2">
                  <c:v>19.899999999999999</c:v>
                </c:pt>
              </c:numCache>
            </c:numRef>
          </c:val>
          <c:extLst xmlns:c16r2="http://schemas.microsoft.com/office/drawing/2015/06/chart">
            <c:ext xmlns:c16="http://schemas.microsoft.com/office/drawing/2014/chart" uri="{C3380CC4-5D6E-409C-BE32-E72D297353CC}">
              <c16:uniqueId val="{00000007-8F5C-4A6B-85EC-C48F459F8BB0}"/>
            </c:ext>
          </c:extLst>
        </c:ser>
        <c:ser>
          <c:idx val="2"/>
          <c:order val="2"/>
          <c:tx>
            <c:strRef>
              <c:f>Лист1!$A$4</c:f>
              <c:strCache>
                <c:ptCount val="1"/>
                <c:pt idx="0">
                  <c:v>Лихвени разходи</c:v>
                </c:pt>
              </c:strCache>
            </c:strRef>
          </c:tx>
          <c:spPr>
            <a:solidFill>
              <a:schemeClr val="accent5">
                <a:tint val="65000"/>
              </a:schemeClr>
            </a:solidFill>
            <a:ln>
              <a:noFill/>
            </a:ln>
            <a:effectLst/>
            <a:sp3d/>
          </c:spPr>
          <c:invertIfNegative val="0"/>
          <c:dLbls>
            <c:dLbl>
              <c:idx val="0"/>
              <c:layout>
                <c:manualLayout>
                  <c:x val="-1.5543862949221025E-2"/>
                  <c:y val="-3.4295513003715451E-2"/>
                </c:manualLayout>
              </c:layout>
              <c:tx>
                <c:rich>
                  <a:bodyPr/>
                  <a:lstStyle/>
                  <a:p>
                    <a:r>
                      <a:rPr lang="en-US"/>
                      <a:t>6,4%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F5C-4A6B-85EC-C48F459F8BB0}"/>
                </c:ext>
              </c:extLst>
            </c:dLbl>
            <c:dLbl>
              <c:idx val="1"/>
              <c:layout>
                <c:manualLayout>
                  <c:x val="3.0585124651661194E-3"/>
                  <c:y val="-4.5727350671620516E-2"/>
                </c:manualLayout>
              </c:layout>
              <c:tx>
                <c:rich>
                  <a:bodyPr/>
                  <a:lstStyle/>
                  <a:p>
                    <a:r>
                      <a:rPr lang="en-US"/>
                      <a:t>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F5C-4A6B-85EC-C48F459F8BB0}"/>
                </c:ext>
              </c:extLst>
            </c:dLbl>
            <c:dLbl>
              <c:idx val="2"/>
              <c:layout>
                <c:manualLayout>
                  <c:x val="-4.9940979227013054E-3"/>
                  <c:y val="-3.4295513003715361E-2"/>
                </c:manualLayout>
              </c:layout>
              <c:tx>
                <c:rich>
                  <a:bodyPr/>
                  <a:lstStyle/>
                  <a:p>
                    <a:r>
                      <a:rPr lang="en-US"/>
                      <a:t>6,9%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F5C-4A6B-85EC-C48F459F8BB0}"/>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bg-BG"/>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Лист1!$B$1:$D$1</c:f>
              <c:numCache>
                <c:formatCode>General</c:formatCode>
                <c:ptCount val="3"/>
                <c:pt idx="0">
                  <c:v>2014</c:v>
                </c:pt>
                <c:pt idx="1">
                  <c:v>2015</c:v>
                </c:pt>
                <c:pt idx="2">
                  <c:v>2016</c:v>
                </c:pt>
              </c:numCache>
            </c:numRef>
          </c:cat>
          <c:val>
            <c:numRef>
              <c:f>Лист1!$B$4:$D$4</c:f>
              <c:numCache>
                <c:formatCode>General</c:formatCode>
                <c:ptCount val="3"/>
                <c:pt idx="0">
                  <c:v>6.4</c:v>
                </c:pt>
                <c:pt idx="1">
                  <c:v>7.5</c:v>
                </c:pt>
                <c:pt idx="2">
                  <c:v>6.9</c:v>
                </c:pt>
              </c:numCache>
            </c:numRef>
          </c:val>
          <c:extLst xmlns:c16r2="http://schemas.microsoft.com/office/drawing/2015/06/chart">
            <c:ext xmlns:c16="http://schemas.microsoft.com/office/drawing/2014/chart" uri="{C3380CC4-5D6E-409C-BE32-E72D297353CC}">
              <c16:uniqueId val="{0000000B-8F5C-4A6B-85EC-C48F459F8BB0}"/>
            </c:ext>
          </c:extLst>
        </c:ser>
        <c:dLbls>
          <c:showLegendKey val="0"/>
          <c:showVal val="0"/>
          <c:showCatName val="0"/>
          <c:showSerName val="0"/>
          <c:showPercent val="0"/>
          <c:showBubbleSize val="0"/>
        </c:dLbls>
        <c:gapWidth val="150"/>
        <c:shape val="box"/>
        <c:axId val="110423040"/>
        <c:axId val="207819520"/>
        <c:axId val="0"/>
      </c:bar3DChart>
      <c:catAx>
        <c:axId val="110423040"/>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bg-BG"/>
          </a:p>
        </c:txPr>
        <c:crossAx val="207819520"/>
        <c:crosses val="autoZero"/>
        <c:auto val="1"/>
        <c:lblAlgn val="ctr"/>
        <c:lblOffset val="100"/>
        <c:noMultiLvlLbl val="0"/>
      </c:catAx>
      <c:valAx>
        <c:axId val="207819520"/>
        <c:scaling>
          <c:orientation val="minMax"/>
        </c:scaling>
        <c:delete val="1"/>
        <c:axPos val="b"/>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crossAx val="110423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DBFB-9CBB-49D5-B1F9-6B2D22D1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22954</Words>
  <Characters>130841</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NAO</Company>
  <LinksUpToDate>false</LinksUpToDate>
  <CharactersWithSpaces>153489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2017-09-19T10:03:00Z</cp:lastPrinted>
  <dcterms:created xsi:type="dcterms:W3CDTF">2017-10-03T13:16:00Z</dcterms:created>
  <dcterms:modified xsi:type="dcterms:W3CDTF">2017-10-03T13:16:00Z</dcterms:modified>
</cp:coreProperties>
</file>